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5144D" w14:textId="52806133" w:rsidR="004F2AC2" w:rsidRPr="00D13154" w:rsidRDefault="00AD7032" w:rsidP="0089668B">
      <w:pPr>
        <w:jc w:val="right"/>
        <w:sectPr w:rsidR="004F2AC2" w:rsidRPr="00D13154" w:rsidSect="00A21374">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675" w:right="680" w:bottom="680" w:left="907" w:header="567" w:footer="624" w:gutter="0"/>
          <w:cols w:space="708"/>
          <w:titlePg/>
          <w:docGrid w:linePitch="360"/>
        </w:sectPr>
      </w:pPr>
      <w:bookmarkStart w:id="0" w:name="_Hlk151468490"/>
      <w:bookmarkEnd w:id="0"/>
      <w:r w:rsidRPr="00D13154">
        <w:rPr>
          <w:noProof/>
        </w:rPr>
        <w:drawing>
          <wp:inline distT="0" distB="0" distL="0" distR="0" wp14:anchorId="57F3EF73" wp14:editId="221DC02A">
            <wp:extent cx="2124000" cy="792000"/>
            <wp:effectExtent l="0" t="0" r="0" b="8255"/>
            <wp:docPr id="1" name="Picture 1" descr="British Business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ritish Business Bank logo"/>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124000" cy="792000"/>
                    </a:xfrm>
                    <a:prstGeom prst="rect">
                      <a:avLst/>
                    </a:prstGeom>
                  </pic:spPr>
                </pic:pic>
              </a:graphicData>
            </a:graphic>
          </wp:inline>
        </w:drawing>
      </w:r>
    </w:p>
    <w:p w14:paraId="28600D33" w14:textId="4A8D08F0" w:rsidR="0089668B" w:rsidRPr="00D13154" w:rsidRDefault="0089668B" w:rsidP="0089668B">
      <w:pPr>
        <w:jc w:val="right"/>
        <w:sectPr w:rsidR="0089668B" w:rsidRPr="00D13154" w:rsidSect="00A21374">
          <w:type w:val="continuous"/>
          <w:pgSz w:w="11906" w:h="16838" w:code="9"/>
          <w:pgMar w:top="675" w:right="680" w:bottom="680" w:left="907" w:header="567" w:footer="624" w:gutter="0"/>
          <w:cols w:space="708"/>
          <w:titlePg/>
          <w:docGrid w:linePitch="360"/>
        </w:sectPr>
      </w:pPr>
    </w:p>
    <w:p w14:paraId="2427D71F" w14:textId="7C3EF698" w:rsidR="004F2AC2" w:rsidRPr="00D13154" w:rsidRDefault="00267C70" w:rsidP="004F2AC2">
      <w:pPr>
        <w:pStyle w:val="Title"/>
      </w:pPr>
      <w:r>
        <w:t xml:space="preserve">Evaluation of </w:t>
      </w:r>
      <w:r w:rsidR="000056E7">
        <w:t>Recovery Loan</w:t>
      </w:r>
      <w:r w:rsidR="00160008">
        <w:t xml:space="preserve"> </w:t>
      </w:r>
      <w:r>
        <w:t>Scheme</w:t>
      </w:r>
      <w:r w:rsidR="000056E7">
        <w:t xml:space="preserve"> 1.0</w:t>
      </w:r>
    </w:p>
    <w:p w14:paraId="12F4997D" w14:textId="6F3A4BC8" w:rsidR="004F2AC2" w:rsidRPr="00D13154" w:rsidRDefault="004F2AC2" w:rsidP="000F53CC">
      <w:pPr>
        <w:pStyle w:val="Subtitle"/>
      </w:pPr>
      <w:r w:rsidRPr="00D13154">
        <w:br w:type="column"/>
      </w:r>
      <w:r w:rsidR="000C49E7">
        <w:t>RLS 1.0</w:t>
      </w:r>
      <w:r w:rsidR="00B66051">
        <w:t xml:space="preserve"> </w:t>
      </w:r>
      <w:r w:rsidR="000C49E7">
        <w:t>E</w:t>
      </w:r>
      <w:r w:rsidR="00B66051">
        <w:t>valuation</w:t>
      </w:r>
    </w:p>
    <w:p w14:paraId="704A1861" w14:textId="06ED7057" w:rsidR="004F2AC2" w:rsidRPr="00D13154" w:rsidRDefault="1DD12D77" w:rsidP="004F2AC2">
      <w:pPr>
        <w:pStyle w:val="Date"/>
      </w:pPr>
      <w:r w:rsidRPr="006017CC">
        <w:t>2024</w:t>
      </w:r>
    </w:p>
    <w:p w14:paraId="683B702A" w14:textId="77777777" w:rsidR="00016B1D" w:rsidRPr="00D13154" w:rsidRDefault="00016B1D" w:rsidP="004F2AC2">
      <w:pPr>
        <w:sectPr w:rsidR="00016B1D" w:rsidRPr="00D13154" w:rsidSect="00A21374">
          <w:type w:val="continuous"/>
          <w:pgSz w:w="11906" w:h="16838" w:code="9"/>
          <w:pgMar w:top="675" w:right="680" w:bottom="680" w:left="907" w:header="567" w:footer="624" w:gutter="0"/>
          <w:cols w:num="2" w:space="284" w:equalWidth="0">
            <w:col w:w="6980" w:space="284"/>
            <w:col w:w="3055"/>
          </w:cols>
          <w:titlePg/>
          <w:docGrid w:linePitch="360"/>
        </w:sectPr>
      </w:pPr>
    </w:p>
    <w:p w14:paraId="453D88AE" w14:textId="4B4ADAB7" w:rsidR="004F2AC2" w:rsidRPr="00D13154" w:rsidRDefault="004F2AC2" w:rsidP="004F2AC2"/>
    <w:p w14:paraId="0C156C4D" w14:textId="04059403" w:rsidR="00016B1D" w:rsidRPr="00D13154" w:rsidRDefault="00016B1D" w:rsidP="004F2AC2"/>
    <w:p w14:paraId="54384C49" w14:textId="630BA8C9" w:rsidR="00B85EE0" w:rsidRDefault="00B85EE0" w:rsidP="004F2AC2"/>
    <w:p w14:paraId="51570D25" w14:textId="07C38128" w:rsidR="00773F48" w:rsidRDefault="00773F48" w:rsidP="004F2AC2"/>
    <w:p w14:paraId="723E7ED2" w14:textId="1F67AA96" w:rsidR="00773F48" w:rsidRDefault="00773F48" w:rsidP="004F2AC2"/>
    <w:p w14:paraId="6707F968" w14:textId="15C624FF" w:rsidR="00773F48" w:rsidRDefault="00773F48" w:rsidP="004F2AC2"/>
    <w:p w14:paraId="5F7309EB" w14:textId="709CC8FF" w:rsidR="00773F48" w:rsidRDefault="00773F48" w:rsidP="004F2AC2"/>
    <w:p w14:paraId="49D7DDF1" w14:textId="77777777" w:rsidR="00773F48" w:rsidRPr="00D13154" w:rsidRDefault="00773F48" w:rsidP="004F2AC2"/>
    <w:p w14:paraId="089E01BD" w14:textId="4F439314" w:rsidR="00F56FD5" w:rsidRPr="00D13154" w:rsidRDefault="00885E1E" w:rsidP="00F56FD5">
      <w:pPr>
        <w:pStyle w:val="Closing"/>
      </w:pPr>
      <w:hyperlink r:id="rId19" w:history="1">
        <w:r w:rsidR="00F56FD5" w:rsidRPr="00D13154">
          <w:rPr>
            <w:rStyle w:val="Hyperlink"/>
          </w:rPr>
          <w:t>british-business-bank.co.uk</w:t>
        </w:r>
      </w:hyperlink>
    </w:p>
    <w:p w14:paraId="3BA83417" w14:textId="30B56DA1" w:rsidR="00F56FD5" w:rsidRPr="00D13154" w:rsidRDefault="00F56FD5" w:rsidP="00F56FD5">
      <w:pPr>
        <w:pStyle w:val="Closing"/>
      </w:pPr>
      <w:r w:rsidRPr="00D13154">
        <w:t>@britishbbank</w:t>
      </w:r>
    </w:p>
    <w:p w14:paraId="07C05D67" w14:textId="77777777" w:rsidR="004F2AC2" w:rsidRPr="00D13154" w:rsidRDefault="004F2AC2" w:rsidP="004F2AC2">
      <w:pPr>
        <w:sectPr w:rsidR="004F2AC2" w:rsidRPr="00D13154" w:rsidSect="00A21374">
          <w:type w:val="continuous"/>
          <w:pgSz w:w="11906" w:h="16838" w:code="9"/>
          <w:pgMar w:top="675" w:right="680" w:bottom="680" w:left="907" w:header="567" w:footer="624" w:gutter="0"/>
          <w:cols w:space="284"/>
          <w:titlePg/>
          <w:docGrid w:linePitch="360"/>
        </w:sectPr>
      </w:pPr>
    </w:p>
    <w:p w14:paraId="79F75912" w14:textId="7FA68271" w:rsidR="004F2AC2" w:rsidRPr="00D13154" w:rsidRDefault="00F731CB" w:rsidP="00B717E9">
      <w:pPr>
        <w:pStyle w:val="Contentsheading"/>
      </w:pPr>
      <w:r w:rsidRPr="00D13154">
        <w:lastRenderedPageBreak/>
        <w:t>Contents</w:t>
      </w:r>
    </w:p>
    <w:p w14:paraId="38E4AE67" w14:textId="790A5289" w:rsidR="00BE5D26" w:rsidRDefault="006E2CDE">
      <w:pPr>
        <w:pStyle w:val="TOC1"/>
        <w:rPr>
          <w:rFonts w:eastAsiaTheme="minorEastAsia"/>
          <w:b w:val="0"/>
          <w:noProof/>
          <w:color w:val="auto"/>
          <w:kern w:val="2"/>
          <w:sz w:val="24"/>
          <w:szCs w:val="24"/>
          <w:lang w:eastAsia="en-GB"/>
          <w14:ligatures w14:val="standardContextual"/>
        </w:rPr>
      </w:pPr>
      <w:r>
        <w:fldChar w:fldCharType="begin"/>
      </w:r>
      <w:r>
        <w:instrText xml:space="preserve"> TOC \o "1-2" \h \z \u </w:instrText>
      </w:r>
      <w:r>
        <w:fldChar w:fldCharType="separate"/>
      </w:r>
      <w:hyperlink w:anchor="_Toc161327566" w:history="1">
        <w:r w:rsidR="00BE5D26" w:rsidRPr="00F61D40">
          <w:rPr>
            <w:rStyle w:val="Hyperlink"/>
            <w:noProof/>
          </w:rPr>
          <w:t>List of terms</w:t>
        </w:r>
        <w:r w:rsidR="00BE5D26">
          <w:rPr>
            <w:noProof/>
            <w:webHidden/>
          </w:rPr>
          <w:tab/>
        </w:r>
        <w:r w:rsidR="00BE5D26">
          <w:rPr>
            <w:noProof/>
            <w:webHidden/>
          </w:rPr>
          <w:fldChar w:fldCharType="begin"/>
        </w:r>
        <w:r w:rsidR="00BE5D26">
          <w:rPr>
            <w:noProof/>
            <w:webHidden/>
          </w:rPr>
          <w:instrText xml:space="preserve"> PAGEREF _Toc161327566 \h </w:instrText>
        </w:r>
        <w:r w:rsidR="00BE5D26">
          <w:rPr>
            <w:noProof/>
            <w:webHidden/>
          </w:rPr>
        </w:r>
        <w:r w:rsidR="00BE5D26">
          <w:rPr>
            <w:noProof/>
            <w:webHidden/>
          </w:rPr>
          <w:fldChar w:fldCharType="separate"/>
        </w:r>
        <w:r w:rsidR="00BE5D26">
          <w:rPr>
            <w:noProof/>
            <w:webHidden/>
          </w:rPr>
          <w:t>3</w:t>
        </w:r>
        <w:r w:rsidR="00BE5D26">
          <w:rPr>
            <w:noProof/>
            <w:webHidden/>
          </w:rPr>
          <w:fldChar w:fldCharType="end"/>
        </w:r>
      </w:hyperlink>
    </w:p>
    <w:p w14:paraId="3803767E" w14:textId="1BFF3C80" w:rsidR="00BE5D26" w:rsidRDefault="00885E1E">
      <w:pPr>
        <w:pStyle w:val="TOC1"/>
        <w:rPr>
          <w:rFonts w:eastAsiaTheme="minorEastAsia"/>
          <w:b w:val="0"/>
          <w:noProof/>
          <w:color w:val="auto"/>
          <w:kern w:val="2"/>
          <w:sz w:val="24"/>
          <w:szCs w:val="24"/>
          <w:lang w:eastAsia="en-GB"/>
          <w14:ligatures w14:val="standardContextual"/>
        </w:rPr>
      </w:pPr>
      <w:hyperlink w:anchor="_Toc161327567" w:history="1">
        <w:r w:rsidR="00BE5D26" w:rsidRPr="00F61D40">
          <w:rPr>
            <w:rStyle w:val="Hyperlink"/>
            <w:noProof/>
          </w:rPr>
          <w:t>Note to readers</w:t>
        </w:r>
        <w:r w:rsidR="00BE5D26">
          <w:rPr>
            <w:noProof/>
            <w:webHidden/>
          </w:rPr>
          <w:tab/>
        </w:r>
        <w:r w:rsidR="00BE5D26">
          <w:rPr>
            <w:noProof/>
            <w:webHidden/>
          </w:rPr>
          <w:fldChar w:fldCharType="begin"/>
        </w:r>
        <w:r w:rsidR="00BE5D26">
          <w:rPr>
            <w:noProof/>
            <w:webHidden/>
          </w:rPr>
          <w:instrText xml:space="preserve"> PAGEREF _Toc161327567 \h </w:instrText>
        </w:r>
        <w:r w:rsidR="00BE5D26">
          <w:rPr>
            <w:noProof/>
            <w:webHidden/>
          </w:rPr>
        </w:r>
        <w:r w:rsidR="00BE5D26">
          <w:rPr>
            <w:noProof/>
            <w:webHidden/>
          </w:rPr>
          <w:fldChar w:fldCharType="separate"/>
        </w:r>
        <w:r w:rsidR="00BE5D26">
          <w:rPr>
            <w:noProof/>
            <w:webHidden/>
          </w:rPr>
          <w:t>4</w:t>
        </w:r>
        <w:r w:rsidR="00BE5D26">
          <w:rPr>
            <w:noProof/>
            <w:webHidden/>
          </w:rPr>
          <w:fldChar w:fldCharType="end"/>
        </w:r>
      </w:hyperlink>
    </w:p>
    <w:p w14:paraId="77E587C7" w14:textId="1B26BA66" w:rsidR="00BE5D26" w:rsidRDefault="00885E1E">
      <w:pPr>
        <w:pStyle w:val="TOC1"/>
        <w:rPr>
          <w:rFonts w:eastAsiaTheme="minorEastAsia"/>
          <w:b w:val="0"/>
          <w:noProof/>
          <w:color w:val="auto"/>
          <w:kern w:val="2"/>
          <w:sz w:val="24"/>
          <w:szCs w:val="24"/>
          <w:lang w:eastAsia="en-GB"/>
          <w14:ligatures w14:val="standardContextual"/>
        </w:rPr>
      </w:pPr>
      <w:hyperlink w:anchor="_Toc161327568" w:history="1">
        <w:r w:rsidR="00BE5D26" w:rsidRPr="00F61D40">
          <w:rPr>
            <w:rStyle w:val="Hyperlink"/>
            <w:noProof/>
          </w:rPr>
          <w:t>Executive summary</w:t>
        </w:r>
        <w:r w:rsidR="00BE5D26">
          <w:rPr>
            <w:noProof/>
            <w:webHidden/>
          </w:rPr>
          <w:tab/>
        </w:r>
        <w:r w:rsidR="00BE5D26">
          <w:rPr>
            <w:noProof/>
            <w:webHidden/>
          </w:rPr>
          <w:fldChar w:fldCharType="begin"/>
        </w:r>
        <w:r w:rsidR="00BE5D26">
          <w:rPr>
            <w:noProof/>
            <w:webHidden/>
          </w:rPr>
          <w:instrText xml:space="preserve"> PAGEREF _Toc161327568 \h </w:instrText>
        </w:r>
        <w:r w:rsidR="00BE5D26">
          <w:rPr>
            <w:noProof/>
            <w:webHidden/>
          </w:rPr>
        </w:r>
        <w:r w:rsidR="00BE5D26">
          <w:rPr>
            <w:noProof/>
            <w:webHidden/>
          </w:rPr>
          <w:fldChar w:fldCharType="separate"/>
        </w:r>
        <w:r w:rsidR="00BE5D26">
          <w:rPr>
            <w:noProof/>
            <w:webHidden/>
          </w:rPr>
          <w:t>5</w:t>
        </w:r>
        <w:r w:rsidR="00BE5D26">
          <w:rPr>
            <w:noProof/>
            <w:webHidden/>
          </w:rPr>
          <w:fldChar w:fldCharType="end"/>
        </w:r>
      </w:hyperlink>
    </w:p>
    <w:p w14:paraId="3B96CC7D" w14:textId="470473B6" w:rsidR="00BE5D26" w:rsidRDefault="00885E1E">
      <w:pPr>
        <w:pStyle w:val="TOC2"/>
        <w:rPr>
          <w:rFonts w:eastAsiaTheme="minorEastAsia"/>
          <w:noProof/>
          <w:color w:val="auto"/>
          <w:kern w:val="2"/>
          <w:sz w:val="24"/>
          <w:szCs w:val="24"/>
          <w:lang w:eastAsia="en-GB"/>
          <w14:ligatures w14:val="standardContextual"/>
        </w:rPr>
      </w:pPr>
      <w:hyperlink w:anchor="_Toc161327569" w:history="1">
        <w:r w:rsidR="00BE5D26" w:rsidRPr="00F61D40">
          <w:rPr>
            <w:rStyle w:val="Hyperlink"/>
            <w:noProof/>
          </w:rPr>
          <w:t>Context</w:t>
        </w:r>
        <w:r w:rsidR="00BE5D26">
          <w:rPr>
            <w:noProof/>
            <w:webHidden/>
          </w:rPr>
          <w:tab/>
        </w:r>
        <w:r w:rsidR="00BE5D26">
          <w:rPr>
            <w:noProof/>
            <w:webHidden/>
          </w:rPr>
          <w:fldChar w:fldCharType="begin"/>
        </w:r>
        <w:r w:rsidR="00BE5D26">
          <w:rPr>
            <w:noProof/>
            <w:webHidden/>
          </w:rPr>
          <w:instrText xml:space="preserve"> PAGEREF _Toc161327569 \h </w:instrText>
        </w:r>
        <w:r w:rsidR="00BE5D26">
          <w:rPr>
            <w:noProof/>
            <w:webHidden/>
          </w:rPr>
        </w:r>
        <w:r w:rsidR="00BE5D26">
          <w:rPr>
            <w:noProof/>
            <w:webHidden/>
          </w:rPr>
          <w:fldChar w:fldCharType="separate"/>
        </w:r>
        <w:r w:rsidR="00BE5D26">
          <w:rPr>
            <w:noProof/>
            <w:webHidden/>
          </w:rPr>
          <w:t>5</w:t>
        </w:r>
        <w:r w:rsidR="00BE5D26">
          <w:rPr>
            <w:noProof/>
            <w:webHidden/>
          </w:rPr>
          <w:fldChar w:fldCharType="end"/>
        </w:r>
      </w:hyperlink>
    </w:p>
    <w:p w14:paraId="232FA02B" w14:textId="5F8C056B" w:rsidR="00BE5D26" w:rsidRDefault="00885E1E">
      <w:pPr>
        <w:pStyle w:val="TOC2"/>
        <w:rPr>
          <w:rFonts w:eastAsiaTheme="minorEastAsia"/>
          <w:noProof/>
          <w:color w:val="auto"/>
          <w:kern w:val="2"/>
          <w:sz w:val="24"/>
          <w:szCs w:val="24"/>
          <w:lang w:eastAsia="en-GB"/>
          <w14:ligatures w14:val="standardContextual"/>
        </w:rPr>
      </w:pPr>
      <w:hyperlink w:anchor="_Toc161327570" w:history="1">
        <w:r w:rsidR="00BE5D26" w:rsidRPr="00F61D40">
          <w:rPr>
            <w:rStyle w:val="Hyperlink"/>
            <w:noProof/>
          </w:rPr>
          <w:t>Approach</w:t>
        </w:r>
        <w:r w:rsidR="00BE5D26">
          <w:rPr>
            <w:noProof/>
            <w:webHidden/>
          </w:rPr>
          <w:tab/>
        </w:r>
        <w:r w:rsidR="00BE5D26">
          <w:rPr>
            <w:noProof/>
            <w:webHidden/>
          </w:rPr>
          <w:fldChar w:fldCharType="begin"/>
        </w:r>
        <w:r w:rsidR="00BE5D26">
          <w:rPr>
            <w:noProof/>
            <w:webHidden/>
          </w:rPr>
          <w:instrText xml:space="preserve"> PAGEREF _Toc161327570 \h </w:instrText>
        </w:r>
        <w:r w:rsidR="00BE5D26">
          <w:rPr>
            <w:noProof/>
            <w:webHidden/>
          </w:rPr>
        </w:r>
        <w:r w:rsidR="00BE5D26">
          <w:rPr>
            <w:noProof/>
            <w:webHidden/>
          </w:rPr>
          <w:fldChar w:fldCharType="separate"/>
        </w:r>
        <w:r w:rsidR="00BE5D26">
          <w:rPr>
            <w:noProof/>
            <w:webHidden/>
          </w:rPr>
          <w:t>5</w:t>
        </w:r>
        <w:r w:rsidR="00BE5D26">
          <w:rPr>
            <w:noProof/>
            <w:webHidden/>
          </w:rPr>
          <w:fldChar w:fldCharType="end"/>
        </w:r>
      </w:hyperlink>
    </w:p>
    <w:p w14:paraId="75205368" w14:textId="70D0BDAD" w:rsidR="00BE5D26" w:rsidRDefault="00885E1E">
      <w:pPr>
        <w:pStyle w:val="TOC2"/>
        <w:rPr>
          <w:rFonts w:eastAsiaTheme="minorEastAsia"/>
          <w:noProof/>
          <w:color w:val="auto"/>
          <w:kern w:val="2"/>
          <w:sz w:val="24"/>
          <w:szCs w:val="24"/>
          <w:lang w:eastAsia="en-GB"/>
          <w14:ligatures w14:val="standardContextual"/>
        </w:rPr>
      </w:pPr>
      <w:hyperlink w:anchor="_Toc161327571" w:history="1">
        <w:r w:rsidR="00BE5D26" w:rsidRPr="00F61D40">
          <w:rPr>
            <w:rStyle w:val="Hyperlink"/>
            <w:noProof/>
          </w:rPr>
          <w:t>Key findings</w:t>
        </w:r>
        <w:r w:rsidR="00BE5D26">
          <w:rPr>
            <w:noProof/>
            <w:webHidden/>
          </w:rPr>
          <w:tab/>
        </w:r>
        <w:r w:rsidR="00BE5D26">
          <w:rPr>
            <w:noProof/>
            <w:webHidden/>
          </w:rPr>
          <w:fldChar w:fldCharType="begin"/>
        </w:r>
        <w:r w:rsidR="00BE5D26">
          <w:rPr>
            <w:noProof/>
            <w:webHidden/>
          </w:rPr>
          <w:instrText xml:space="preserve"> PAGEREF _Toc161327571 \h </w:instrText>
        </w:r>
        <w:r w:rsidR="00BE5D26">
          <w:rPr>
            <w:noProof/>
            <w:webHidden/>
          </w:rPr>
        </w:r>
        <w:r w:rsidR="00BE5D26">
          <w:rPr>
            <w:noProof/>
            <w:webHidden/>
          </w:rPr>
          <w:fldChar w:fldCharType="separate"/>
        </w:r>
        <w:r w:rsidR="00BE5D26">
          <w:rPr>
            <w:noProof/>
            <w:webHidden/>
          </w:rPr>
          <w:t>6</w:t>
        </w:r>
        <w:r w:rsidR="00BE5D26">
          <w:rPr>
            <w:noProof/>
            <w:webHidden/>
          </w:rPr>
          <w:fldChar w:fldCharType="end"/>
        </w:r>
      </w:hyperlink>
    </w:p>
    <w:p w14:paraId="742CA90D" w14:textId="2866355C" w:rsidR="00BE5D26" w:rsidRDefault="00885E1E">
      <w:pPr>
        <w:pStyle w:val="TOC2"/>
        <w:rPr>
          <w:rFonts w:eastAsiaTheme="minorEastAsia"/>
          <w:noProof/>
          <w:color w:val="auto"/>
          <w:kern w:val="2"/>
          <w:sz w:val="24"/>
          <w:szCs w:val="24"/>
          <w:lang w:eastAsia="en-GB"/>
          <w14:ligatures w14:val="standardContextual"/>
        </w:rPr>
      </w:pPr>
      <w:hyperlink w:anchor="_Toc161327572" w:history="1">
        <w:r w:rsidR="00BE5D26" w:rsidRPr="00F61D40">
          <w:rPr>
            <w:rStyle w:val="Hyperlink"/>
            <w:noProof/>
          </w:rPr>
          <w:t>Process evaluation</w:t>
        </w:r>
        <w:r w:rsidR="00BE5D26">
          <w:rPr>
            <w:noProof/>
            <w:webHidden/>
          </w:rPr>
          <w:tab/>
        </w:r>
        <w:r w:rsidR="00BE5D26">
          <w:rPr>
            <w:noProof/>
            <w:webHidden/>
          </w:rPr>
          <w:fldChar w:fldCharType="begin"/>
        </w:r>
        <w:r w:rsidR="00BE5D26">
          <w:rPr>
            <w:noProof/>
            <w:webHidden/>
          </w:rPr>
          <w:instrText xml:space="preserve"> PAGEREF _Toc161327572 \h </w:instrText>
        </w:r>
        <w:r w:rsidR="00BE5D26">
          <w:rPr>
            <w:noProof/>
            <w:webHidden/>
          </w:rPr>
        </w:r>
        <w:r w:rsidR="00BE5D26">
          <w:rPr>
            <w:noProof/>
            <w:webHidden/>
          </w:rPr>
          <w:fldChar w:fldCharType="separate"/>
        </w:r>
        <w:r w:rsidR="00BE5D26">
          <w:rPr>
            <w:noProof/>
            <w:webHidden/>
          </w:rPr>
          <w:t>8</w:t>
        </w:r>
        <w:r w:rsidR="00BE5D26">
          <w:rPr>
            <w:noProof/>
            <w:webHidden/>
          </w:rPr>
          <w:fldChar w:fldCharType="end"/>
        </w:r>
      </w:hyperlink>
    </w:p>
    <w:p w14:paraId="705E43B1" w14:textId="38AB3CA1" w:rsidR="00BE5D26" w:rsidRDefault="00885E1E">
      <w:pPr>
        <w:pStyle w:val="TOC2"/>
        <w:rPr>
          <w:rFonts w:eastAsiaTheme="minorEastAsia"/>
          <w:noProof/>
          <w:color w:val="auto"/>
          <w:kern w:val="2"/>
          <w:sz w:val="24"/>
          <w:szCs w:val="24"/>
          <w:lang w:eastAsia="en-GB"/>
          <w14:ligatures w14:val="standardContextual"/>
        </w:rPr>
      </w:pPr>
      <w:hyperlink w:anchor="_Toc161327573" w:history="1">
        <w:r w:rsidR="00BE5D26" w:rsidRPr="00F61D40">
          <w:rPr>
            <w:rStyle w:val="Hyperlink"/>
            <w:noProof/>
          </w:rPr>
          <w:t>Impact evaluation</w:t>
        </w:r>
        <w:r w:rsidR="00BE5D26">
          <w:rPr>
            <w:noProof/>
            <w:webHidden/>
          </w:rPr>
          <w:tab/>
        </w:r>
        <w:r w:rsidR="00BE5D26">
          <w:rPr>
            <w:noProof/>
            <w:webHidden/>
          </w:rPr>
          <w:fldChar w:fldCharType="begin"/>
        </w:r>
        <w:r w:rsidR="00BE5D26">
          <w:rPr>
            <w:noProof/>
            <w:webHidden/>
          </w:rPr>
          <w:instrText xml:space="preserve"> PAGEREF _Toc161327573 \h </w:instrText>
        </w:r>
        <w:r w:rsidR="00BE5D26">
          <w:rPr>
            <w:noProof/>
            <w:webHidden/>
          </w:rPr>
        </w:r>
        <w:r w:rsidR="00BE5D26">
          <w:rPr>
            <w:noProof/>
            <w:webHidden/>
          </w:rPr>
          <w:fldChar w:fldCharType="separate"/>
        </w:r>
        <w:r w:rsidR="00BE5D26">
          <w:rPr>
            <w:noProof/>
            <w:webHidden/>
          </w:rPr>
          <w:t>9</w:t>
        </w:r>
        <w:r w:rsidR="00BE5D26">
          <w:rPr>
            <w:noProof/>
            <w:webHidden/>
          </w:rPr>
          <w:fldChar w:fldCharType="end"/>
        </w:r>
      </w:hyperlink>
    </w:p>
    <w:p w14:paraId="6B57D3C3" w14:textId="0C181B71" w:rsidR="00BE5D26" w:rsidRDefault="00885E1E">
      <w:pPr>
        <w:pStyle w:val="TOC1"/>
        <w:rPr>
          <w:rFonts w:eastAsiaTheme="minorEastAsia"/>
          <w:b w:val="0"/>
          <w:noProof/>
          <w:color w:val="auto"/>
          <w:kern w:val="2"/>
          <w:sz w:val="24"/>
          <w:szCs w:val="24"/>
          <w:lang w:eastAsia="en-GB"/>
          <w14:ligatures w14:val="standardContextual"/>
        </w:rPr>
      </w:pPr>
      <w:hyperlink w:anchor="_Toc161327574" w:history="1">
        <w:r w:rsidR="00BE5D26" w:rsidRPr="00F61D40">
          <w:rPr>
            <w:rStyle w:val="Hyperlink"/>
            <w:noProof/>
          </w:rPr>
          <w:t>Introduction</w:t>
        </w:r>
        <w:r w:rsidR="00BE5D26">
          <w:rPr>
            <w:noProof/>
            <w:webHidden/>
          </w:rPr>
          <w:tab/>
        </w:r>
        <w:r w:rsidR="00BE5D26">
          <w:rPr>
            <w:noProof/>
            <w:webHidden/>
          </w:rPr>
          <w:fldChar w:fldCharType="begin"/>
        </w:r>
        <w:r w:rsidR="00BE5D26">
          <w:rPr>
            <w:noProof/>
            <w:webHidden/>
          </w:rPr>
          <w:instrText xml:space="preserve"> PAGEREF _Toc161327574 \h </w:instrText>
        </w:r>
        <w:r w:rsidR="00BE5D26">
          <w:rPr>
            <w:noProof/>
            <w:webHidden/>
          </w:rPr>
        </w:r>
        <w:r w:rsidR="00BE5D26">
          <w:rPr>
            <w:noProof/>
            <w:webHidden/>
          </w:rPr>
          <w:fldChar w:fldCharType="separate"/>
        </w:r>
        <w:r w:rsidR="00BE5D26">
          <w:rPr>
            <w:noProof/>
            <w:webHidden/>
          </w:rPr>
          <w:t>19</w:t>
        </w:r>
        <w:r w:rsidR="00BE5D26">
          <w:rPr>
            <w:noProof/>
            <w:webHidden/>
          </w:rPr>
          <w:fldChar w:fldCharType="end"/>
        </w:r>
      </w:hyperlink>
    </w:p>
    <w:p w14:paraId="2363C06D" w14:textId="39605ADF" w:rsidR="00BE5D26" w:rsidRDefault="00885E1E">
      <w:pPr>
        <w:pStyle w:val="TOC2"/>
        <w:rPr>
          <w:rFonts w:eastAsiaTheme="minorEastAsia"/>
          <w:noProof/>
          <w:color w:val="auto"/>
          <w:kern w:val="2"/>
          <w:sz w:val="24"/>
          <w:szCs w:val="24"/>
          <w:lang w:eastAsia="en-GB"/>
          <w14:ligatures w14:val="standardContextual"/>
        </w:rPr>
      </w:pPr>
      <w:hyperlink w:anchor="_Toc161327575" w:history="1">
        <w:r w:rsidR="00BE5D26" w:rsidRPr="00F61D40">
          <w:rPr>
            <w:rStyle w:val="Hyperlink"/>
            <w:noProof/>
          </w:rPr>
          <w:t>Policy context</w:t>
        </w:r>
        <w:r w:rsidR="00BE5D26">
          <w:rPr>
            <w:noProof/>
            <w:webHidden/>
          </w:rPr>
          <w:tab/>
        </w:r>
        <w:r w:rsidR="00BE5D26">
          <w:rPr>
            <w:noProof/>
            <w:webHidden/>
          </w:rPr>
          <w:fldChar w:fldCharType="begin"/>
        </w:r>
        <w:r w:rsidR="00BE5D26">
          <w:rPr>
            <w:noProof/>
            <w:webHidden/>
          </w:rPr>
          <w:instrText xml:space="preserve"> PAGEREF _Toc161327575 \h </w:instrText>
        </w:r>
        <w:r w:rsidR="00BE5D26">
          <w:rPr>
            <w:noProof/>
            <w:webHidden/>
          </w:rPr>
        </w:r>
        <w:r w:rsidR="00BE5D26">
          <w:rPr>
            <w:noProof/>
            <w:webHidden/>
          </w:rPr>
          <w:fldChar w:fldCharType="separate"/>
        </w:r>
        <w:r w:rsidR="00BE5D26">
          <w:rPr>
            <w:noProof/>
            <w:webHidden/>
          </w:rPr>
          <w:t>19</w:t>
        </w:r>
        <w:r w:rsidR="00BE5D26">
          <w:rPr>
            <w:noProof/>
            <w:webHidden/>
          </w:rPr>
          <w:fldChar w:fldCharType="end"/>
        </w:r>
      </w:hyperlink>
    </w:p>
    <w:p w14:paraId="44D9CE52" w14:textId="453332FC" w:rsidR="00BE5D26" w:rsidRDefault="00885E1E">
      <w:pPr>
        <w:pStyle w:val="TOC2"/>
        <w:rPr>
          <w:rFonts w:eastAsiaTheme="minorEastAsia"/>
          <w:noProof/>
          <w:color w:val="auto"/>
          <w:kern w:val="2"/>
          <w:sz w:val="24"/>
          <w:szCs w:val="24"/>
          <w:lang w:eastAsia="en-GB"/>
          <w14:ligatures w14:val="standardContextual"/>
        </w:rPr>
      </w:pPr>
      <w:hyperlink w:anchor="_Toc161327576" w:history="1">
        <w:r w:rsidR="00BE5D26" w:rsidRPr="00F61D40">
          <w:rPr>
            <w:rStyle w:val="Hyperlink"/>
            <w:noProof/>
          </w:rPr>
          <w:t>Evaluation context</w:t>
        </w:r>
        <w:r w:rsidR="00BE5D26">
          <w:rPr>
            <w:noProof/>
            <w:webHidden/>
          </w:rPr>
          <w:tab/>
        </w:r>
        <w:r w:rsidR="00BE5D26">
          <w:rPr>
            <w:noProof/>
            <w:webHidden/>
          </w:rPr>
          <w:fldChar w:fldCharType="begin"/>
        </w:r>
        <w:r w:rsidR="00BE5D26">
          <w:rPr>
            <w:noProof/>
            <w:webHidden/>
          </w:rPr>
          <w:instrText xml:space="preserve"> PAGEREF _Toc161327576 \h </w:instrText>
        </w:r>
        <w:r w:rsidR="00BE5D26">
          <w:rPr>
            <w:noProof/>
            <w:webHidden/>
          </w:rPr>
        </w:r>
        <w:r w:rsidR="00BE5D26">
          <w:rPr>
            <w:noProof/>
            <w:webHidden/>
          </w:rPr>
          <w:fldChar w:fldCharType="separate"/>
        </w:r>
        <w:r w:rsidR="00BE5D26">
          <w:rPr>
            <w:noProof/>
            <w:webHidden/>
          </w:rPr>
          <w:t>21</w:t>
        </w:r>
        <w:r w:rsidR="00BE5D26">
          <w:rPr>
            <w:noProof/>
            <w:webHidden/>
          </w:rPr>
          <w:fldChar w:fldCharType="end"/>
        </w:r>
      </w:hyperlink>
    </w:p>
    <w:p w14:paraId="72CCE685" w14:textId="778C1253" w:rsidR="00BE5D26" w:rsidRDefault="00885E1E">
      <w:pPr>
        <w:pStyle w:val="TOC2"/>
        <w:rPr>
          <w:rFonts w:eastAsiaTheme="minorEastAsia"/>
          <w:noProof/>
          <w:color w:val="auto"/>
          <w:kern w:val="2"/>
          <w:sz w:val="24"/>
          <w:szCs w:val="24"/>
          <w:lang w:eastAsia="en-GB"/>
          <w14:ligatures w14:val="standardContextual"/>
        </w:rPr>
      </w:pPr>
      <w:hyperlink w:anchor="_Toc161327577" w:history="1">
        <w:r w:rsidR="00BE5D26" w:rsidRPr="00F61D40">
          <w:rPr>
            <w:rStyle w:val="Hyperlink"/>
            <w:noProof/>
          </w:rPr>
          <w:t>Report structure</w:t>
        </w:r>
        <w:r w:rsidR="00BE5D26">
          <w:rPr>
            <w:noProof/>
            <w:webHidden/>
          </w:rPr>
          <w:tab/>
        </w:r>
        <w:r w:rsidR="00BE5D26">
          <w:rPr>
            <w:noProof/>
            <w:webHidden/>
          </w:rPr>
          <w:fldChar w:fldCharType="begin"/>
        </w:r>
        <w:r w:rsidR="00BE5D26">
          <w:rPr>
            <w:noProof/>
            <w:webHidden/>
          </w:rPr>
          <w:instrText xml:space="preserve"> PAGEREF _Toc161327577 \h </w:instrText>
        </w:r>
        <w:r w:rsidR="00BE5D26">
          <w:rPr>
            <w:noProof/>
            <w:webHidden/>
          </w:rPr>
        </w:r>
        <w:r w:rsidR="00BE5D26">
          <w:rPr>
            <w:noProof/>
            <w:webHidden/>
          </w:rPr>
          <w:fldChar w:fldCharType="separate"/>
        </w:r>
        <w:r w:rsidR="00BE5D26">
          <w:rPr>
            <w:noProof/>
            <w:webHidden/>
          </w:rPr>
          <w:t>23</w:t>
        </w:r>
        <w:r w:rsidR="00BE5D26">
          <w:rPr>
            <w:noProof/>
            <w:webHidden/>
          </w:rPr>
          <w:fldChar w:fldCharType="end"/>
        </w:r>
      </w:hyperlink>
    </w:p>
    <w:p w14:paraId="39B46824" w14:textId="2B8C1AA0" w:rsidR="00BE5D26" w:rsidRDefault="00885E1E">
      <w:pPr>
        <w:pStyle w:val="TOC1"/>
        <w:rPr>
          <w:rFonts w:eastAsiaTheme="minorEastAsia"/>
          <w:b w:val="0"/>
          <w:noProof/>
          <w:color w:val="auto"/>
          <w:kern w:val="2"/>
          <w:sz w:val="24"/>
          <w:szCs w:val="24"/>
          <w:lang w:eastAsia="en-GB"/>
          <w14:ligatures w14:val="standardContextual"/>
        </w:rPr>
      </w:pPr>
      <w:hyperlink w:anchor="_Toc161327578" w:history="1">
        <w:r w:rsidR="00BE5D26" w:rsidRPr="00F61D40">
          <w:rPr>
            <w:rStyle w:val="Hyperlink"/>
            <w:noProof/>
          </w:rPr>
          <w:t>Process evaluation</w:t>
        </w:r>
        <w:r w:rsidR="00BE5D26">
          <w:rPr>
            <w:noProof/>
            <w:webHidden/>
          </w:rPr>
          <w:tab/>
        </w:r>
        <w:r w:rsidR="00BE5D26">
          <w:rPr>
            <w:noProof/>
            <w:webHidden/>
          </w:rPr>
          <w:fldChar w:fldCharType="begin"/>
        </w:r>
        <w:r w:rsidR="00BE5D26">
          <w:rPr>
            <w:noProof/>
            <w:webHidden/>
          </w:rPr>
          <w:instrText xml:space="preserve"> PAGEREF _Toc161327578 \h </w:instrText>
        </w:r>
        <w:r w:rsidR="00BE5D26">
          <w:rPr>
            <w:noProof/>
            <w:webHidden/>
          </w:rPr>
        </w:r>
        <w:r w:rsidR="00BE5D26">
          <w:rPr>
            <w:noProof/>
            <w:webHidden/>
          </w:rPr>
          <w:fldChar w:fldCharType="separate"/>
        </w:r>
        <w:r w:rsidR="00BE5D26">
          <w:rPr>
            <w:noProof/>
            <w:webHidden/>
          </w:rPr>
          <w:t>24</w:t>
        </w:r>
        <w:r w:rsidR="00BE5D26">
          <w:rPr>
            <w:noProof/>
            <w:webHidden/>
          </w:rPr>
          <w:fldChar w:fldCharType="end"/>
        </w:r>
      </w:hyperlink>
    </w:p>
    <w:p w14:paraId="590BEF3D" w14:textId="657600BD" w:rsidR="00BE5D26" w:rsidRDefault="00885E1E">
      <w:pPr>
        <w:pStyle w:val="TOC2"/>
        <w:rPr>
          <w:rFonts w:eastAsiaTheme="minorEastAsia"/>
          <w:noProof/>
          <w:color w:val="auto"/>
          <w:kern w:val="2"/>
          <w:sz w:val="24"/>
          <w:szCs w:val="24"/>
          <w:lang w:eastAsia="en-GB"/>
          <w14:ligatures w14:val="standardContextual"/>
        </w:rPr>
      </w:pPr>
      <w:hyperlink w:anchor="_Toc161327579" w:history="1">
        <w:r w:rsidR="00BE5D26" w:rsidRPr="00F61D40">
          <w:rPr>
            <w:rStyle w:val="Hyperlink"/>
            <w:noProof/>
          </w:rPr>
          <w:t>Objectives and methodology</w:t>
        </w:r>
        <w:r w:rsidR="00BE5D26">
          <w:rPr>
            <w:noProof/>
            <w:webHidden/>
          </w:rPr>
          <w:tab/>
        </w:r>
        <w:r w:rsidR="00BE5D26">
          <w:rPr>
            <w:noProof/>
            <w:webHidden/>
          </w:rPr>
          <w:fldChar w:fldCharType="begin"/>
        </w:r>
        <w:r w:rsidR="00BE5D26">
          <w:rPr>
            <w:noProof/>
            <w:webHidden/>
          </w:rPr>
          <w:instrText xml:space="preserve"> PAGEREF _Toc161327579 \h </w:instrText>
        </w:r>
        <w:r w:rsidR="00BE5D26">
          <w:rPr>
            <w:noProof/>
            <w:webHidden/>
          </w:rPr>
        </w:r>
        <w:r w:rsidR="00BE5D26">
          <w:rPr>
            <w:noProof/>
            <w:webHidden/>
          </w:rPr>
          <w:fldChar w:fldCharType="separate"/>
        </w:r>
        <w:r w:rsidR="00BE5D26">
          <w:rPr>
            <w:noProof/>
            <w:webHidden/>
          </w:rPr>
          <w:t>24</w:t>
        </w:r>
        <w:r w:rsidR="00BE5D26">
          <w:rPr>
            <w:noProof/>
            <w:webHidden/>
          </w:rPr>
          <w:fldChar w:fldCharType="end"/>
        </w:r>
      </w:hyperlink>
    </w:p>
    <w:p w14:paraId="39E5DFE9" w14:textId="7791ABE7" w:rsidR="00BE5D26" w:rsidRDefault="00885E1E">
      <w:pPr>
        <w:pStyle w:val="TOC2"/>
        <w:rPr>
          <w:rFonts w:eastAsiaTheme="minorEastAsia"/>
          <w:noProof/>
          <w:color w:val="auto"/>
          <w:kern w:val="2"/>
          <w:sz w:val="24"/>
          <w:szCs w:val="24"/>
          <w:lang w:eastAsia="en-GB"/>
          <w14:ligatures w14:val="standardContextual"/>
        </w:rPr>
      </w:pPr>
      <w:hyperlink w:anchor="_Toc161327580" w:history="1">
        <w:r w:rsidR="00BE5D26" w:rsidRPr="00F61D40">
          <w:rPr>
            <w:rStyle w:val="Hyperlink"/>
            <w:noProof/>
          </w:rPr>
          <w:t>Scheme design</w:t>
        </w:r>
        <w:r w:rsidR="00BE5D26">
          <w:rPr>
            <w:noProof/>
            <w:webHidden/>
          </w:rPr>
          <w:tab/>
        </w:r>
        <w:r w:rsidR="00BE5D26">
          <w:rPr>
            <w:noProof/>
            <w:webHidden/>
          </w:rPr>
          <w:fldChar w:fldCharType="begin"/>
        </w:r>
        <w:r w:rsidR="00BE5D26">
          <w:rPr>
            <w:noProof/>
            <w:webHidden/>
          </w:rPr>
          <w:instrText xml:space="preserve"> PAGEREF _Toc161327580 \h </w:instrText>
        </w:r>
        <w:r w:rsidR="00BE5D26">
          <w:rPr>
            <w:noProof/>
            <w:webHidden/>
          </w:rPr>
        </w:r>
        <w:r w:rsidR="00BE5D26">
          <w:rPr>
            <w:noProof/>
            <w:webHidden/>
          </w:rPr>
          <w:fldChar w:fldCharType="separate"/>
        </w:r>
        <w:r w:rsidR="00BE5D26">
          <w:rPr>
            <w:noProof/>
            <w:webHidden/>
          </w:rPr>
          <w:t>26</w:t>
        </w:r>
        <w:r w:rsidR="00BE5D26">
          <w:rPr>
            <w:noProof/>
            <w:webHidden/>
          </w:rPr>
          <w:fldChar w:fldCharType="end"/>
        </w:r>
      </w:hyperlink>
    </w:p>
    <w:p w14:paraId="42CBC4F0" w14:textId="6AACF891" w:rsidR="00BE5D26" w:rsidRDefault="00885E1E">
      <w:pPr>
        <w:pStyle w:val="TOC2"/>
        <w:rPr>
          <w:rFonts w:eastAsiaTheme="minorEastAsia"/>
          <w:noProof/>
          <w:color w:val="auto"/>
          <w:kern w:val="2"/>
          <w:sz w:val="24"/>
          <w:szCs w:val="24"/>
          <w:lang w:eastAsia="en-GB"/>
          <w14:ligatures w14:val="standardContextual"/>
        </w:rPr>
      </w:pPr>
      <w:hyperlink w:anchor="_Toc161327581" w:history="1">
        <w:r w:rsidR="00BE5D26" w:rsidRPr="00F61D40">
          <w:rPr>
            <w:rStyle w:val="Hyperlink"/>
            <w:noProof/>
          </w:rPr>
          <w:t>Lender accreditation and scheme establishment</w:t>
        </w:r>
        <w:r w:rsidR="00BE5D26">
          <w:rPr>
            <w:noProof/>
            <w:webHidden/>
          </w:rPr>
          <w:tab/>
        </w:r>
        <w:r w:rsidR="00BE5D26">
          <w:rPr>
            <w:noProof/>
            <w:webHidden/>
          </w:rPr>
          <w:fldChar w:fldCharType="begin"/>
        </w:r>
        <w:r w:rsidR="00BE5D26">
          <w:rPr>
            <w:noProof/>
            <w:webHidden/>
          </w:rPr>
          <w:instrText xml:space="preserve"> PAGEREF _Toc161327581 \h </w:instrText>
        </w:r>
        <w:r w:rsidR="00BE5D26">
          <w:rPr>
            <w:noProof/>
            <w:webHidden/>
          </w:rPr>
        </w:r>
        <w:r w:rsidR="00BE5D26">
          <w:rPr>
            <w:noProof/>
            <w:webHidden/>
          </w:rPr>
          <w:fldChar w:fldCharType="separate"/>
        </w:r>
        <w:r w:rsidR="00BE5D26">
          <w:rPr>
            <w:noProof/>
            <w:webHidden/>
          </w:rPr>
          <w:t>34</w:t>
        </w:r>
        <w:r w:rsidR="00BE5D26">
          <w:rPr>
            <w:noProof/>
            <w:webHidden/>
          </w:rPr>
          <w:fldChar w:fldCharType="end"/>
        </w:r>
      </w:hyperlink>
    </w:p>
    <w:p w14:paraId="1E4EF61E" w14:textId="2300518E" w:rsidR="00BE5D26" w:rsidRDefault="00885E1E">
      <w:pPr>
        <w:pStyle w:val="TOC2"/>
        <w:rPr>
          <w:rFonts w:eastAsiaTheme="minorEastAsia"/>
          <w:noProof/>
          <w:color w:val="auto"/>
          <w:kern w:val="2"/>
          <w:sz w:val="24"/>
          <w:szCs w:val="24"/>
          <w:lang w:eastAsia="en-GB"/>
          <w14:ligatures w14:val="standardContextual"/>
        </w:rPr>
      </w:pPr>
      <w:hyperlink w:anchor="_Toc161327582" w:history="1">
        <w:r w:rsidR="00BE5D26" w:rsidRPr="00F61D40">
          <w:rPr>
            <w:rStyle w:val="Hyperlink"/>
            <w:noProof/>
          </w:rPr>
          <w:t>Data sharing</w:t>
        </w:r>
        <w:r w:rsidR="00BE5D26">
          <w:rPr>
            <w:noProof/>
            <w:webHidden/>
          </w:rPr>
          <w:tab/>
        </w:r>
        <w:r w:rsidR="00BE5D26">
          <w:rPr>
            <w:noProof/>
            <w:webHidden/>
          </w:rPr>
          <w:fldChar w:fldCharType="begin"/>
        </w:r>
        <w:r w:rsidR="00BE5D26">
          <w:rPr>
            <w:noProof/>
            <w:webHidden/>
          </w:rPr>
          <w:instrText xml:space="preserve"> PAGEREF _Toc161327582 \h </w:instrText>
        </w:r>
        <w:r w:rsidR="00BE5D26">
          <w:rPr>
            <w:noProof/>
            <w:webHidden/>
          </w:rPr>
        </w:r>
        <w:r w:rsidR="00BE5D26">
          <w:rPr>
            <w:noProof/>
            <w:webHidden/>
          </w:rPr>
          <w:fldChar w:fldCharType="separate"/>
        </w:r>
        <w:r w:rsidR="00BE5D26">
          <w:rPr>
            <w:noProof/>
            <w:webHidden/>
          </w:rPr>
          <w:t>42</w:t>
        </w:r>
        <w:r w:rsidR="00BE5D26">
          <w:rPr>
            <w:noProof/>
            <w:webHidden/>
          </w:rPr>
          <w:fldChar w:fldCharType="end"/>
        </w:r>
      </w:hyperlink>
    </w:p>
    <w:p w14:paraId="5644A8F3" w14:textId="076F7D90" w:rsidR="00BE5D26" w:rsidRDefault="00885E1E">
      <w:pPr>
        <w:pStyle w:val="TOC2"/>
        <w:rPr>
          <w:rFonts w:eastAsiaTheme="minorEastAsia"/>
          <w:noProof/>
          <w:color w:val="auto"/>
          <w:kern w:val="2"/>
          <w:sz w:val="24"/>
          <w:szCs w:val="24"/>
          <w:lang w:eastAsia="en-GB"/>
          <w14:ligatures w14:val="standardContextual"/>
        </w:rPr>
      </w:pPr>
      <w:hyperlink w:anchor="_Toc161327583" w:history="1">
        <w:r w:rsidR="00BE5D26" w:rsidRPr="00F61D40">
          <w:rPr>
            <w:rStyle w:val="Hyperlink"/>
            <w:noProof/>
          </w:rPr>
          <w:t>Key conclusions</w:t>
        </w:r>
        <w:r w:rsidR="00BE5D26">
          <w:rPr>
            <w:noProof/>
            <w:webHidden/>
          </w:rPr>
          <w:tab/>
        </w:r>
        <w:r w:rsidR="00BE5D26">
          <w:rPr>
            <w:noProof/>
            <w:webHidden/>
          </w:rPr>
          <w:fldChar w:fldCharType="begin"/>
        </w:r>
        <w:r w:rsidR="00BE5D26">
          <w:rPr>
            <w:noProof/>
            <w:webHidden/>
          </w:rPr>
          <w:instrText xml:space="preserve"> PAGEREF _Toc161327583 \h </w:instrText>
        </w:r>
        <w:r w:rsidR="00BE5D26">
          <w:rPr>
            <w:noProof/>
            <w:webHidden/>
          </w:rPr>
        </w:r>
        <w:r w:rsidR="00BE5D26">
          <w:rPr>
            <w:noProof/>
            <w:webHidden/>
          </w:rPr>
          <w:fldChar w:fldCharType="separate"/>
        </w:r>
        <w:r w:rsidR="00BE5D26">
          <w:rPr>
            <w:noProof/>
            <w:webHidden/>
          </w:rPr>
          <w:t>44</w:t>
        </w:r>
        <w:r w:rsidR="00BE5D26">
          <w:rPr>
            <w:noProof/>
            <w:webHidden/>
          </w:rPr>
          <w:fldChar w:fldCharType="end"/>
        </w:r>
      </w:hyperlink>
    </w:p>
    <w:p w14:paraId="23125A21" w14:textId="37E724FC" w:rsidR="00BE5D26" w:rsidRDefault="00885E1E">
      <w:pPr>
        <w:pStyle w:val="TOC1"/>
        <w:rPr>
          <w:rFonts w:eastAsiaTheme="minorEastAsia"/>
          <w:b w:val="0"/>
          <w:noProof/>
          <w:color w:val="auto"/>
          <w:kern w:val="2"/>
          <w:sz w:val="24"/>
          <w:szCs w:val="24"/>
          <w:lang w:eastAsia="en-GB"/>
          <w14:ligatures w14:val="standardContextual"/>
        </w:rPr>
      </w:pPr>
      <w:hyperlink w:anchor="_Toc161327584" w:history="1">
        <w:r w:rsidR="00BE5D26" w:rsidRPr="00F61D40">
          <w:rPr>
            <w:rStyle w:val="Hyperlink"/>
            <w:noProof/>
          </w:rPr>
          <w:t>Impact evaluation</w:t>
        </w:r>
        <w:r w:rsidR="00BE5D26">
          <w:rPr>
            <w:noProof/>
            <w:webHidden/>
          </w:rPr>
          <w:tab/>
        </w:r>
        <w:r w:rsidR="00BE5D26">
          <w:rPr>
            <w:noProof/>
            <w:webHidden/>
          </w:rPr>
          <w:fldChar w:fldCharType="begin"/>
        </w:r>
        <w:r w:rsidR="00BE5D26">
          <w:rPr>
            <w:noProof/>
            <w:webHidden/>
          </w:rPr>
          <w:instrText xml:space="preserve"> PAGEREF _Toc161327584 \h </w:instrText>
        </w:r>
        <w:r w:rsidR="00BE5D26">
          <w:rPr>
            <w:noProof/>
            <w:webHidden/>
          </w:rPr>
        </w:r>
        <w:r w:rsidR="00BE5D26">
          <w:rPr>
            <w:noProof/>
            <w:webHidden/>
          </w:rPr>
          <w:fldChar w:fldCharType="separate"/>
        </w:r>
        <w:r w:rsidR="00BE5D26">
          <w:rPr>
            <w:noProof/>
            <w:webHidden/>
          </w:rPr>
          <w:t>47</w:t>
        </w:r>
        <w:r w:rsidR="00BE5D26">
          <w:rPr>
            <w:noProof/>
            <w:webHidden/>
          </w:rPr>
          <w:fldChar w:fldCharType="end"/>
        </w:r>
      </w:hyperlink>
    </w:p>
    <w:p w14:paraId="12187464" w14:textId="4650ECF2" w:rsidR="00BE5D26" w:rsidRDefault="00885E1E">
      <w:pPr>
        <w:pStyle w:val="TOC2"/>
        <w:rPr>
          <w:rFonts w:eastAsiaTheme="minorEastAsia"/>
          <w:noProof/>
          <w:color w:val="auto"/>
          <w:kern w:val="2"/>
          <w:sz w:val="24"/>
          <w:szCs w:val="24"/>
          <w:lang w:eastAsia="en-GB"/>
          <w14:ligatures w14:val="standardContextual"/>
        </w:rPr>
      </w:pPr>
      <w:hyperlink w:anchor="_Toc161327585" w:history="1">
        <w:r w:rsidR="00BE5D26" w:rsidRPr="00F61D40">
          <w:rPr>
            <w:rStyle w:val="Hyperlink"/>
            <w:noProof/>
          </w:rPr>
          <w:t>Introduction</w:t>
        </w:r>
        <w:r w:rsidR="00BE5D26">
          <w:rPr>
            <w:noProof/>
            <w:webHidden/>
          </w:rPr>
          <w:tab/>
        </w:r>
        <w:r w:rsidR="00BE5D26">
          <w:rPr>
            <w:noProof/>
            <w:webHidden/>
          </w:rPr>
          <w:fldChar w:fldCharType="begin"/>
        </w:r>
        <w:r w:rsidR="00BE5D26">
          <w:rPr>
            <w:noProof/>
            <w:webHidden/>
          </w:rPr>
          <w:instrText xml:space="preserve"> PAGEREF _Toc161327585 \h </w:instrText>
        </w:r>
        <w:r w:rsidR="00BE5D26">
          <w:rPr>
            <w:noProof/>
            <w:webHidden/>
          </w:rPr>
        </w:r>
        <w:r w:rsidR="00BE5D26">
          <w:rPr>
            <w:noProof/>
            <w:webHidden/>
          </w:rPr>
          <w:fldChar w:fldCharType="separate"/>
        </w:r>
        <w:r w:rsidR="00BE5D26">
          <w:rPr>
            <w:noProof/>
            <w:webHidden/>
          </w:rPr>
          <w:t>47</w:t>
        </w:r>
        <w:r w:rsidR="00BE5D26">
          <w:rPr>
            <w:noProof/>
            <w:webHidden/>
          </w:rPr>
          <w:fldChar w:fldCharType="end"/>
        </w:r>
      </w:hyperlink>
    </w:p>
    <w:p w14:paraId="4F35CFFB" w14:textId="62BDB915" w:rsidR="00BE5D26" w:rsidRDefault="00885E1E">
      <w:pPr>
        <w:pStyle w:val="TOC2"/>
        <w:rPr>
          <w:rFonts w:eastAsiaTheme="minorEastAsia"/>
          <w:noProof/>
          <w:color w:val="auto"/>
          <w:kern w:val="2"/>
          <w:sz w:val="24"/>
          <w:szCs w:val="24"/>
          <w:lang w:eastAsia="en-GB"/>
          <w14:ligatures w14:val="standardContextual"/>
        </w:rPr>
      </w:pPr>
      <w:hyperlink w:anchor="_Toc161327586" w:history="1">
        <w:r w:rsidR="00BE5D26" w:rsidRPr="00F61D40">
          <w:rPr>
            <w:rStyle w:val="Hyperlink"/>
            <w:noProof/>
          </w:rPr>
          <w:t>Characteristics of surveyed businesses</w:t>
        </w:r>
        <w:r w:rsidR="00BE5D26">
          <w:rPr>
            <w:noProof/>
            <w:webHidden/>
          </w:rPr>
          <w:tab/>
        </w:r>
        <w:r w:rsidR="00BE5D26">
          <w:rPr>
            <w:noProof/>
            <w:webHidden/>
          </w:rPr>
          <w:fldChar w:fldCharType="begin"/>
        </w:r>
        <w:r w:rsidR="00BE5D26">
          <w:rPr>
            <w:noProof/>
            <w:webHidden/>
          </w:rPr>
          <w:instrText xml:space="preserve"> PAGEREF _Toc161327586 \h </w:instrText>
        </w:r>
        <w:r w:rsidR="00BE5D26">
          <w:rPr>
            <w:noProof/>
            <w:webHidden/>
          </w:rPr>
        </w:r>
        <w:r w:rsidR="00BE5D26">
          <w:rPr>
            <w:noProof/>
            <w:webHidden/>
          </w:rPr>
          <w:fldChar w:fldCharType="separate"/>
        </w:r>
        <w:r w:rsidR="00BE5D26">
          <w:rPr>
            <w:noProof/>
            <w:webHidden/>
          </w:rPr>
          <w:t>48</w:t>
        </w:r>
        <w:r w:rsidR="00BE5D26">
          <w:rPr>
            <w:noProof/>
            <w:webHidden/>
          </w:rPr>
          <w:fldChar w:fldCharType="end"/>
        </w:r>
      </w:hyperlink>
    </w:p>
    <w:p w14:paraId="5E78BE1A" w14:textId="0246CB6B" w:rsidR="00BE5D26" w:rsidRDefault="00885E1E">
      <w:pPr>
        <w:pStyle w:val="TOC2"/>
        <w:rPr>
          <w:rFonts w:eastAsiaTheme="minorEastAsia"/>
          <w:noProof/>
          <w:color w:val="auto"/>
          <w:kern w:val="2"/>
          <w:sz w:val="24"/>
          <w:szCs w:val="24"/>
          <w:lang w:eastAsia="en-GB"/>
          <w14:ligatures w14:val="standardContextual"/>
        </w:rPr>
      </w:pPr>
      <w:hyperlink w:anchor="_Toc161327587" w:history="1">
        <w:r w:rsidR="00BE5D26" w:rsidRPr="00F61D40">
          <w:rPr>
            <w:rStyle w:val="Hyperlink"/>
            <w:noProof/>
          </w:rPr>
          <w:t>Additionality of lending</w:t>
        </w:r>
        <w:r w:rsidR="00BE5D26">
          <w:rPr>
            <w:noProof/>
            <w:webHidden/>
          </w:rPr>
          <w:tab/>
        </w:r>
        <w:r w:rsidR="00BE5D26">
          <w:rPr>
            <w:noProof/>
            <w:webHidden/>
          </w:rPr>
          <w:fldChar w:fldCharType="begin"/>
        </w:r>
        <w:r w:rsidR="00BE5D26">
          <w:rPr>
            <w:noProof/>
            <w:webHidden/>
          </w:rPr>
          <w:instrText xml:space="preserve"> PAGEREF _Toc161327587 \h </w:instrText>
        </w:r>
        <w:r w:rsidR="00BE5D26">
          <w:rPr>
            <w:noProof/>
            <w:webHidden/>
          </w:rPr>
        </w:r>
        <w:r w:rsidR="00BE5D26">
          <w:rPr>
            <w:noProof/>
            <w:webHidden/>
          </w:rPr>
          <w:fldChar w:fldCharType="separate"/>
        </w:r>
        <w:r w:rsidR="00BE5D26">
          <w:rPr>
            <w:noProof/>
            <w:webHidden/>
          </w:rPr>
          <w:t>53</w:t>
        </w:r>
        <w:r w:rsidR="00BE5D26">
          <w:rPr>
            <w:noProof/>
            <w:webHidden/>
          </w:rPr>
          <w:fldChar w:fldCharType="end"/>
        </w:r>
      </w:hyperlink>
    </w:p>
    <w:p w14:paraId="5921D731" w14:textId="045C343B" w:rsidR="00BE5D26" w:rsidRDefault="00885E1E">
      <w:pPr>
        <w:pStyle w:val="TOC2"/>
        <w:rPr>
          <w:rFonts w:eastAsiaTheme="minorEastAsia"/>
          <w:noProof/>
          <w:color w:val="auto"/>
          <w:kern w:val="2"/>
          <w:sz w:val="24"/>
          <w:szCs w:val="24"/>
          <w:lang w:eastAsia="en-GB"/>
          <w14:ligatures w14:val="standardContextual"/>
        </w:rPr>
      </w:pPr>
      <w:hyperlink w:anchor="_Toc161327588" w:history="1">
        <w:r w:rsidR="00BE5D26" w:rsidRPr="00F61D40">
          <w:rPr>
            <w:rStyle w:val="Hyperlink"/>
            <w:noProof/>
          </w:rPr>
          <w:t>Product market displacement</w:t>
        </w:r>
        <w:r w:rsidR="00BE5D26">
          <w:rPr>
            <w:noProof/>
            <w:webHidden/>
          </w:rPr>
          <w:tab/>
        </w:r>
        <w:r w:rsidR="00BE5D26">
          <w:rPr>
            <w:noProof/>
            <w:webHidden/>
          </w:rPr>
          <w:fldChar w:fldCharType="begin"/>
        </w:r>
        <w:r w:rsidR="00BE5D26">
          <w:rPr>
            <w:noProof/>
            <w:webHidden/>
          </w:rPr>
          <w:instrText xml:space="preserve"> PAGEREF _Toc161327588 \h </w:instrText>
        </w:r>
        <w:r w:rsidR="00BE5D26">
          <w:rPr>
            <w:noProof/>
            <w:webHidden/>
          </w:rPr>
        </w:r>
        <w:r w:rsidR="00BE5D26">
          <w:rPr>
            <w:noProof/>
            <w:webHidden/>
          </w:rPr>
          <w:fldChar w:fldCharType="separate"/>
        </w:r>
        <w:r w:rsidR="00BE5D26">
          <w:rPr>
            <w:noProof/>
            <w:webHidden/>
          </w:rPr>
          <w:t>60</w:t>
        </w:r>
        <w:r w:rsidR="00BE5D26">
          <w:rPr>
            <w:noProof/>
            <w:webHidden/>
          </w:rPr>
          <w:fldChar w:fldCharType="end"/>
        </w:r>
      </w:hyperlink>
    </w:p>
    <w:p w14:paraId="02495449" w14:textId="3C6358DC" w:rsidR="00BE5D26" w:rsidRDefault="00885E1E">
      <w:pPr>
        <w:pStyle w:val="TOC2"/>
        <w:rPr>
          <w:rFonts w:eastAsiaTheme="minorEastAsia"/>
          <w:noProof/>
          <w:color w:val="auto"/>
          <w:kern w:val="2"/>
          <w:sz w:val="24"/>
          <w:szCs w:val="24"/>
          <w:lang w:eastAsia="en-GB"/>
          <w14:ligatures w14:val="standardContextual"/>
        </w:rPr>
      </w:pPr>
      <w:hyperlink w:anchor="_Toc161327589" w:history="1">
        <w:r w:rsidR="00BE5D26" w:rsidRPr="00F61D40">
          <w:rPr>
            <w:rStyle w:val="Hyperlink"/>
            <w:noProof/>
          </w:rPr>
          <w:t>Impact of lending on businesses</w:t>
        </w:r>
        <w:r w:rsidR="00BE5D26">
          <w:rPr>
            <w:noProof/>
            <w:webHidden/>
          </w:rPr>
          <w:tab/>
        </w:r>
        <w:r w:rsidR="00BE5D26">
          <w:rPr>
            <w:noProof/>
            <w:webHidden/>
          </w:rPr>
          <w:fldChar w:fldCharType="begin"/>
        </w:r>
        <w:r w:rsidR="00BE5D26">
          <w:rPr>
            <w:noProof/>
            <w:webHidden/>
          </w:rPr>
          <w:instrText xml:space="preserve"> PAGEREF _Toc161327589 \h </w:instrText>
        </w:r>
        <w:r w:rsidR="00BE5D26">
          <w:rPr>
            <w:noProof/>
            <w:webHidden/>
          </w:rPr>
        </w:r>
        <w:r w:rsidR="00BE5D26">
          <w:rPr>
            <w:noProof/>
            <w:webHidden/>
          </w:rPr>
          <w:fldChar w:fldCharType="separate"/>
        </w:r>
        <w:r w:rsidR="00BE5D26">
          <w:rPr>
            <w:noProof/>
            <w:webHidden/>
          </w:rPr>
          <w:t>63</w:t>
        </w:r>
        <w:r w:rsidR="00BE5D26">
          <w:rPr>
            <w:noProof/>
            <w:webHidden/>
          </w:rPr>
          <w:fldChar w:fldCharType="end"/>
        </w:r>
      </w:hyperlink>
    </w:p>
    <w:p w14:paraId="5233340F" w14:textId="3A28132D" w:rsidR="00BE5D26" w:rsidRDefault="00885E1E">
      <w:pPr>
        <w:pStyle w:val="TOC2"/>
        <w:rPr>
          <w:rFonts w:eastAsiaTheme="minorEastAsia"/>
          <w:noProof/>
          <w:color w:val="auto"/>
          <w:kern w:val="2"/>
          <w:sz w:val="24"/>
          <w:szCs w:val="24"/>
          <w:lang w:eastAsia="en-GB"/>
          <w14:ligatures w14:val="standardContextual"/>
        </w:rPr>
      </w:pPr>
      <w:hyperlink w:anchor="_Toc161327590" w:history="1">
        <w:r w:rsidR="00BE5D26" w:rsidRPr="00F61D40">
          <w:rPr>
            <w:rStyle w:val="Hyperlink"/>
            <w:noProof/>
          </w:rPr>
          <w:t>Lender response to scheme parameters</w:t>
        </w:r>
        <w:r w:rsidR="00BE5D26">
          <w:rPr>
            <w:noProof/>
            <w:webHidden/>
          </w:rPr>
          <w:tab/>
        </w:r>
        <w:r w:rsidR="00BE5D26">
          <w:rPr>
            <w:noProof/>
            <w:webHidden/>
          </w:rPr>
          <w:fldChar w:fldCharType="begin"/>
        </w:r>
        <w:r w:rsidR="00BE5D26">
          <w:rPr>
            <w:noProof/>
            <w:webHidden/>
          </w:rPr>
          <w:instrText xml:space="preserve"> PAGEREF _Toc161327590 \h </w:instrText>
        </w:r>
        <w:r w:rsidR="00BE5D26">
          <w:rPr>
            <w:noProof/>
            <w:webHidden/>
          </w:rPr>
        </w:r>
        <w:r w:rsidR="00BE5D26">
          <w:rPr>
            <w:noProof/>
            <w:webHidden/>
          </w:rPr>
          <w:fldChar w:fldCharType="separate"/>
        </w:r>
        <w:r w:rsidR="00BE5D26">
          <w:rPr>
            <w:noProof/>
            <w:webHidden/>
          </w:rPr>
          <w:t>74</w:t>
        </w:r>
        <w:r w:rsidR="00BE5D26">
          <w:rPr>
            <w:noProof/>
            <w:webHidden/>
          </w:rPr>
          <w:fldChar w:fldCharType="end"/>
        </w:r>
      </w:hyperlink>
    </w:p>
    <w:p w14:paraId="1160FE7E" w14:textId="3C44E671" w:rsidR="00BE5D26" w:rsidRDefault="00885E1E">
      <w:pPr>
        <w:pStyle w:val="TOC1"/>
        <w:rPr>
          <w:rFonts w:eastAsiaTheme="minorEastAsia"/>
          <w:b w:val="0"/>
          <w:noProof/>
          <w:color w:val="auto"/>
          <w:kern w:val="2"/>
          <w:sz w:val="24"/>
          <w:szCs w:val="24"/>
          <w:lang w:eastAsia="en-GB"/>
          <w14:ligatures w14:val="standardContextual"/>
        </w:rPr>
      </w:pPr>
      <w:hyperlink w:anchor="_Toc161327591" w:history="1">
        <w:r w:rsidR="00BE5D26" w:rsidRPr="00F61D40">
          <w:rPr>
            <w:rStyle w:val="Hyperlink"/>
            <w:noProof/>
          </w:rPr>
          <w:t>Concluding remarks</w:t>
        </w:r>
        <w:r w:rsidR="00BE5D26">
          <w:rPr>
            <w:noProof/>
            <w:webHidden/>
          </w:rPr>
          <w:tab/>
        </w:r>
        <w:r w:rsidR="00BE5D26">
          <w:rPr>
            <w:noProof/>
            <w:webHidden/>
          </w:rPr>
          <w:fldChar w:fldCharType="begin"/>
        </w:r>
        <w:r w:rsidR="00BE5D26">
          <w:rPr>
            <w:noProof/>
            <w:webHidden/>
          </w:rPr>
          <w:instrText xml:space="preserve"> PAGEREF _Toc161327591 \h </w:instrText>
        </w:r>
        <w:r w:rsidR="00BE5D26">
          <w:rPr>
            <w:noProof/>
            <w:webHidden/>
          </w:rPr>
        </w:r>
        <w:r w:rsidR="00BE5D26">
          <w:rPr>
            <w:noProof/>
            <w:webHidden/>
          </w:rPr>
          <w:fldChar w:fldCharType="separate"/>
        </w:r>
        <w:r w:rsidR="00BE5D26">
          <w:rPr>
            <w:noProof/>
            <w:webHidden/>
          </w:rPr>
          <w:t>77</w:t>
        </w:r>
        <w:r w:rsidR="00BE5D26">
          <w:rPr>
            <w:noProof/>
            <w:webHidden/>
          </w:rPr>
          <w:fldChar w:fldCharType="end"/>
        </w:r>
      </w:hyperlink>
    </w:p>
    <w:p w14:paraId="510FE67D" w14:textId="57CF9549" w:rsidR="00BE5D26" w:rsidRDefault="00885E1E">
      <w:pPr>
        <w:pStyle w:val="TOC1"/>
        <w:rPr>
          <w:rFonts w:eastAsiaTheme="minorEastAsia"/>
          <w:b w:val="0"/>
          <w:noProof/>
          <w:color w:val="auto"/>
          <w:kern w:val="2"/>
          <w:sz w:val="24"/>
          <w:szCs w:val="24"/>
          <w:lang w:eastAsia="en-GB"/>
          <w14:ligatures w14:val="standardContextual"/>
        </w:rPr>
      </w:pPr>
      <w:hyperlink w:anchor="_Toc161327592" w:history="1">
        <w:r w:rsidR="00BE5D26" w:rsidRPr="00F61D40">
          <w:rPr>
            <w:rStyle w:val="Hyperlink"/>
            <w:noProof/>
          </w:rPr>
          <w:t>Annex 1</w:t>
        </w:r>
        <w:r w:rsidR="00BE5D26">
          <w:rPr>
            <w:noProof/>
            <w:webHidden/>
          </w:rPr>
          <w:tab/>
        </w:r>
        <w:r w:rsidR="00BE5D26">
          <w:rPr>
            <w:noProof/>
            <w:webHidden/>
          </w:rPr>
          <w:fldChar w:fldCharType="begin"/>
        </w:r>
        <w:r w:rsidR="00BE5D26">
          <w:rPr>
            <w:noProof/>
            <w:webHidden/>
          </w:rPr>
          <w:instrText xml:space="preserve"> PAGEREF _Toc161327592 \h </w:instrText>
        </w:r>
        <w:r w:rsidR="00BE5D26">
          <w:rPr>
            <w:noProof/>
            <w:webHidden/>
          </w:rPr>
        </w:r>
        <w:r w:rsidR="00BE5D26">
          <w:rPr>
            <w:noProof/>
            <w:webHidden/>
          </w:rPr>
          <w:fldChar w:fldCharType="separate"/>
        </w:r>
        <w:r w:rsidR="00BE5D26">
          <w:rPr>
            <w:noProof/>
            <w:webHidden/>
          </w:rPr>
          <w:t>79</w:t>
        </w:r>
        <w:r w:rsidR="00BE5D26">
          <w:rPr>
            <w:noProof/>
            <w:webHidden/>
          </w:rPr>
          <w:fldChar w:fldCharType="end"/>
        </w:r>
      </w:hyperlink>
    </w:p>
    <w:p w14:paraId="6A0A2485" w14:textId="1C8CE81B" w:rsidR="00BE5D26" w:rsidRDefault="00885E1E">
      <w:pPr>
        <w:pStyle w:val="TOC2"/>
        <w:rPr>
          <w:rFonts w:eastAsiaTheme="minorEastAsia"/>
          <w:noProof/>
          <w:color w:val="auto"/>
          <w:kern w:val="2"/>
          <w:sz w:val="24"/>
          <w:szCs w:val="24"/>
          <w:lang w:eastAsia="en-GB"/>
          <w14:ligatures w14:val="standardContextual"/>
        </w:rPr>
      </w:pPr>
      <w:hyperlink w:anchor="_Toc161327593" w:history="1">
        <w:r w:rsidR="00BE5D26" w:rsidRPr="00F61D40">
          <w:rPr>
            <w:rStyle w:val="Hyperlink"/>
            <w:noProof/>
          </w:rPr>
          <w:t>Final design of RLS 1.0</w:t>
        </w:r>
        <w:r w:rsidR="00BE5D26">
          <w:rPr>
            <w:noProof/>
            <w:webHidden/>
          </w:rPr>
          <w:tab/>
        </w:r>
        <w:r w:rsidR="00BE5D26">
          <w:rPr>
            <w:noProof/>
            <w:webHidden/>
          </w:rPr>
          <w:fldChar w:fldCharType="begin"/>
        </w:r>
        <w:r w:rsidR="00BE5D26">
          <w:rPr>
            <w:noProof/>
            <w:webHidden/>
          </w:rPr>
          <w:instrText xml:space="preserve"> PAGEREF _Toc161327593 \h </w:instrText>
        </w:r>
        <w:r w:rsidR="00BE5D26">
          <w:rPr>
            <w:noProof/>
            <w:webHidden/>
          </w:rPr>
        </w:r>
        <w:r w:rsidR="00BE5D26">
          <w:rPr>
            <w:noProof/>
            <w:webHidden/>
          </w:rPr>
          <w:fldChar w:fldCharType="separate"/>
        </w:r>
        <w:r w:rsidR="00BE5D26">
          <w:rPr>
            <w:noProof/>
            <w:webHidden/>
          </w:rPr>
          <w:t>79</w:t>
        </w:r>
        <w:r w:rsidR="00BE5D26">
          <w:rPr>
            <w:noProof/>
            <w:webHidden/>
          </w:rPr>
          <w:fldChar w:fldCharType="end"/>
        </w:r>
      </w:hyperlink>
    </w:p>
    <w:p w14:paraId="2227FDBA" w14:textId="6B16B114" w:rsidR="00BE5D26" w:rsidRDefault="00885E1E">
      <w:pPr>
        <w:pStyle w:val="TOC2"/>
        <w:rPr>
          <w:rFonts w:eastAsiaTheme="minorEastAsia"/>
          <w:noProof/>
          <w:color w:val="auto"/>
          <w:kern w:val="2"/>
          <w:sz w:val="24"/>
          <w:szCs w:val="24"/>
          <w:lang w:eastAsia="en-GB"/>
          <w14:ligatures w14:val="standardContextual"/>
        </w:rPr>
      </w:pPr>
      <w:hyperlink w:anchor="_Toc161327594" w:history="1">
        <w:r w:rsidR="00BE5D26" w:rsidRPr="00F61D40">
          <w:rPr>
            <w:rStyle w:val="Hyperlink"/>
            <w:noProof/>
          </w:rPr>
          <w:t>Framework for process evaluation and assessing the impact of scheme parameters</w:t>
        </w:r>
        <w:r w:rsidR="00BE5D26">
          <w:rPr>
            <w:noProof/>
            <w:webHidden/>
          </w:rPr>
          <w:tab/>
        </w:r>
        <w:r w:rsidR="00BE5D26">
          <w:rPr>
            <w:noProof/>
            <w:webHidden/>
          </w:rPr>
          <w:fldChar w:fldCharType="begin"/>
        </w:r>
        <w:r w:rsidR="00BE5D26">
          <w:rPr>
            <w:noProof/>
            <w:webHidden/>
          </w:rPr>
          <w:instrText xml:space="preserve"> PAGEREF _Toc161327594 \h </w:instrText>
        </w:r>
        <w:r w:rsidR="00BE5D26">
          <w:rPr>
            <w:noProof/>
            <w:webHidden/>
          </w:rPr>
        </w:r>
        <w:r w:rsidR="00BE5D26">
          <w:rPr>
            <w:noProof/>
            <w:webHidden/>
          </w:rPr>
          <w:fldChar w:fldCharType="separate"/>
        </w:r>
        <w:r w:rsidR="00BE5D26">
          <w:rPr>
            <w:noProof/>
            <w:webHidden/>
          </w:rPr>
          <w:t>81</w:t>
        </w:r>
        <w:r w:rsidR="00BE5D26">
          <w:rPr>
            <w:noProof/>
            <w:webHidden/>
          </w:rPr>
          <w:fldChar w:fldCharType="end"/>
        </w:r>
      </w:hyperlink>
    </w:p>
    <w:p w14:paraId="733D8243" w14:textId="57B2DE2B" w:rsidR="00BE5D26" w:rsidRDefault="00885E1E">
      <w:pPr>
        <w:pStyle w:val="TOC1"/>
        <w:rPr>
          <w:rFonts w:eastAsiaTheme="minorEastAsia"/>
          <w:b w:val="0"/>
          <w:noProof/>
          <w:color w:val="auto"/>
          <w:kern w:val="2"/>
          <w:sz w:val="24"/>
          <w:szCs w:val="24"/>
          <w:lang w:eastAsia="en-GB"/>
          <w14:ligatures w14:val="standardContextual"/>
        </w:rPr>
      </w:pPr>
      <w:hyperlink w:anchor="_Toc161327595" w:history="1">
        <w:r w:rsidR="00BE5D26" w:rsidRPr="00F61D40">
          <w:rPr>
            <w:rStyle w:val="Hyperlink"/>
            <w:noProof/>
          </w:rPr>
          <w:t>Annex 2</w:t>
        </w:r>
        <w:r w:rsidR="00BE5D26">
          <w:rPr>
            <w:noProof/>
            <w:webHidden/>
          </w:rPr>
          <w:tab/>
        </w:r>
        <w:r w:rsidR="00BE5D26">
          <w:rPr>
            <w:noProof/>
            <w:webHidden/>
          </w:rPr>
          <w:fldChar w:fldCharType="begin"/>
        </w:r>
        <w:r w:rsidR="00BE5D26">
          <w:rPr>
            <w:noProof/>
            <w:webHidden/>
          </w:rPr>
          <w:instrText xml:space="preserve"> PAGEREF _Toc161327595 \h </w:instrText>
        </w:r>
        <w:r w:rsidR="00BE5D26">
          <w:rPr>
            <w:noProof/>
            <w:webHidden/>
          </w:rPr>
        </w:r>
        <w:r w:rsidR="00BE5D26">
          <w:rPr>
            <w:noProof/>
            <w:webHidden/>
          </w:rPr>
          <w:fldChar w:fldCharType="separate"/>
        </w:r>
        <w:r w:rsidR="00BE5D26">
          <w:rPr>
            <w:noProof/>
            <w:webHidden/>
          </w:rPr>
          <w:t>90</w:t>
        </w:r>
        <w:r w:rsidR="00BE5D26">
          <w:rPr>
            <w:noProof/>
            <w:webHidden/>
          </w:rPr>
          <w:fldChar w:fldCharType="end"/>
        </w:r>
      </w:hyperlink>
    </w:p>
    <w:p w14:paraId="19BB3F4D" w14:textId="165F8F99" w:rsidR="00BE5D26" w:rsidRDefault="00885E1E">
      <w:pPr>
        <w:pStyle w:val="TOC2"/>
        <w:rPr>
          <w:rFonts w:eastAsiaTheme="minorEastAsia"/>
          <w:noProof/>
          <w:color w:val="auto"/>
          <w:kern w:val="2"/>
          <w:sz w:val="24"/>
          <w:szCs w:val="24"/>
          <w:lang w:eastAsia="en-GB"/>
          <w14:ligatures w14:val="standardContextual"/>
        </w:rPr>
      </w:pPr>
      <w:hyperlink w:anchor="_Toc161327596" w:history="1">
        <w:r w:rsidR="00BE5D26" w:rsidRPr="00F61D40">
          <w:rPr>
            <w:rStyle w:val="Hyperlink"/>
            <w:noProof/>
          </w:rPr>
          <w:t>Primary data collection</w:t>
        </w:r>
        <w:r w:rsidR="00BE5D26">
          <w:rPr>
            <w:noProof/>
            <w:webHidden/>
          </w:rPr>
          <w:tab/>
        </w:r>
        <w:r w:rsidR="00BE5D26">
          <w:rPr>
            <w:noProof/>
            <w:webHidden/>
          </w:rPr>
          <w:fldChar w:fldCharType="begin"/>
        </w:r>
        <w:r w:rsidR="00BE5D26">
          <w:rPr>
            <w:noProof/>
            <w:webHidden/>
          </w:rPr>
          <w:instrText xml:space="preserve"> PAGEREF _Toc161327596 \h </w:instrText>
        </w:r>
        <w:r w:rsidR="00BE5D26">
          <w:rPr>
            <w:noProof/>
            <w:webHidden/>
          </w:rPr>
        </w:r>
        <w:r w:rsidR="00BE5D26">
          <w:rPr>
            <w:noProof/>
            <w:webHidden/>
          </w:rPr>
          <w:fldChar w:fldCharType="separate"/>
        </w:r>
        <w:r w:rsidR="00BE5D26">
          <w:rPr>
            <w:noProof/>
            <w:webHidden/>
          </w:rPr>
          <w:t>90</w:t>
        </w:r>
        <w:r w:rsidR="00BE5D26">
          <w:rPr>
            <w:noProof/>
            <w:webHidden/>
          </w:rPr>
          <w:fldChar w:fldCharType="end"/>
        </w:r>
      </w:hyperlink>
    </w:p>
    <w:p w14:paraId="3F78234C" w14:textId="0FC2BDFE" w:rsidR="00BE5D26" w:rsidRDefault="00885E1E">
      <w:pPr>
        <w:pStyle w:val="TOC2"/>
        <w:rPr>
          <w:rFonts w:eastAsiaTheme="minorEastAsia"/>
          <w:noProof/>
          <w:color w:val="auto"/>
          <w:kern w:val="2"/>
          <w:sz w:val="24"/>
          <w:szCs w:val="24"/>
          <w:lang w:eastAsia="en-GB"/>
          <w14:ligatures w14:val="standardContextual"/>
        </w:rPr>
      </w:pPr>
      <w:hyperlink w:anchor="_Toc161327597" w:history="1">
        <w:r w:rsidR="00BE5D26" w:rsidRPr="00F61D40">
          <w:rPr>
            <w:rStyle w:val="Hyperlink"/>
            <w:noProof/>
          </w:rPr>
          <w:t>Survey questionnaire</w:t>
        </w:r>
        <w:r w:rsidR="00BE5D26">
          <w:rPr>
            <w:noProof/>
            <w:webHidden/>
          </w:rPr>
          <w:tab/>
        </w:r>
        <w:r w:rsidR="00BE5D26">
          <w:rPr>
            <w:noProof/>
            <w:webHidden/>
          </w:rPr>
          <w:fldChar w:fldCharType="begin"/>
        </w:r>
        <w:r w:rsidR="00BE5D26">
          <w:rPr>
            <w:noProof/>
            <w:webHidden/>
          </w:rPr>
          <w:instrText xml:space="preserve"> PAGEREF _Toc161327597 \h </w:instrText>
        </w:r>
        <w:r w:rsidR="00BE5D26">
          <w:rPr>
            <w:noProof/>
            <w:webHidden/>
          </w:rPr>
        </w:r>
        <w:r w:rsidR="00BE5D26">
          <w:rPr>
            <w:noProof/>
            <w:webHidden/>
          </w:rPr>
          <w:fldChar w:fldCharType="separate"/>
        </w:r>
        <w:r w:rsidR="00BE5D26">
          <w:rPr>
            <w:noProof/>
            <w:webHidden/>
          </w:rPr>
          <w:t>95</w:t>
        </w:r>
        <w:r w:rsidR="00BE5D26">
          <w:rPr>
            <w:noProof/>
            <w:webHidden/>
          </w:rPr>
          <w:fldChar w:fldCharType="end"/>
        </w:r>
      </w:hyperlink>
    </w:p>
    <w:p w14:paraId="7EEEE888" w14:textId="090E29BF" w:rsidR="00BE5D26" w:rsidRDefault="00885E1E">
      <w:pPr>
        <w:pStyle w:val="TOC1"/>
        <w:rPr>
          <w:rFonts w:eastAsiaTheme="minorEastAsia"/>
          <w:b w:val="0"/>
          <w:noProof/>
          <w:color w:val="auto"/>
          <w:kern w:val="2"/>
          <w:sz w:val="24"/>
          <w:szCs w:val="24"/>
          <w:lang w:eastAsia="en-GB"/>
          <w14:ligatures w14:val="standardContextual"/>
        </w:rPr>
      </w:pPr>
      <w:hyperlink w:anchor="_Toc161327598" w:history="1">
        <w:r w:rsidR="00BE5D26" w:rsidRPr="00F61D40">
          <w:rPr>
            <w:rStyle w:val="Hyperlink"/>
            <w:noProof/>
          </w:rPr>
          <w:t>Annex 3 – Survey statistics</w:t>
        </w:r>
        <w:r w:rsidR="00BE5D26">
          <w:rPr>
            <w:noProof/>
            <w:webHidden/>
          </w:rPr>
          <w:tab/>
        </w:r>
        <w:r w:rsidR="00BE5D26">
          <w:rPr>
            <w:noProof/>
            <w:webHidden/>
          </w:rPr>
          <w:fldChar w:fldCharType="begin"/>
        </w:r>
        <w:r w:rsidR="00BE5D26">
          <w:rPr>
            <w:noProof/>
            <w:webHidden/>
          </w:rPr>
          <w:instrText xml:space="preserve"> PAGEREF _Toc161327598 \h </w:instrText>
        </w:r>
        <w:r w:rsidR="00BE5D26">
          <w:rPr>
            <w:noProof/>
            <w:webHidden/>
          </w:rPr>
        </w:r>
        <w:r w:rsidR="00BE5D26">
          <w:rPr>
            <w:noProof/>
            <w:webHidden/>
          </w:rPr>
          <w:fldChar w:fldCharType="separate"/>
        </w:r>
        <w:r w:rsidR="00BE5D26">
          <w:rPr>
            <w:noProof/>
            <w:webHidden/>
          </w:rPr>
          <w:t>130</w:t>
        </w:r>
        <w:r w:rsidR="00BE5D26">
          <w:rPr>
            <w:noProof/>
            <w:webHidden/>
          </w:rPr>
          <w:fldChar w:fldCharType="end"/>
        </w:r>
      </w:hyperlink>
    </w:p>
    <w:p w14:paraId="2E5BA603" w14:textId="320D480C" w:rsidR="00BE5D26" w:rsidRDefault="00885E1E">
      <w:pPr>
        <w:pStyle w:val="TOC1"/>
        <w:rPr>
          <w:rFonts w:eastAsiaTheme="minorEastAsia"/>
          <w:b w:val="0"/>
          <w:noProof/>
          <w:color w:val="auto"/>
          <w:kern w:val="2"/>
          <w:sz w:val="24"/>
          <w:szCs w:val="24"/>
          <w:lang w:eastAsia="en-GB"/>
          <w14:ligatures w14:val="standardContextual"/>
        </w:rPr>
      </w:pPr>
      <w:hyperlink w:anchor="_Toc161327599" w:history="1">
        <w:r w:rsidR="00BE5D26" w:rsidRPr="00F61D40">
          <w:rPr>
            <w:rStyle w:val="Hyperlink"/>
            <w:noProof/>
          </w:rPr>
          <w:t>Annex 4</w:t>
        </w:r>
        <w:r w:rsidR="00BE5D26">
          <w:rPr>
            <w:noProof/>
            <w:webHidden/>
          </w:rPr>
          <w:tab/>
        </w:r>
        <w:r w:rsidR="00BE5D26">
          <w:rPr>
            <w:noProof/>
            <w:webHidden/>
          </w:rPr>
          <w:fldChar w:fldCharType="begin"/>
        </w:r>
        <w:r w:rsidR="00BE5D26">
          <w:rPr>
            <w:noProof/>
            <w:webHidden/>
          </w:rPr>
          <w:instrText xml:space="preserve"> PAGEREF _Toc161327599 \h </w:instrText>
        </w:r>
        <w:r w:rsidR="00BE5D26">
          <w:rPr>
            <w:noProof/>
            <w:webHidden/>
          </w:rPr>
        </w:r>
        <w:r w:rsidR="00BE5D26">
          <w:rPr>
            <w:noProof/>
            <w:webHidden/>
          </w:rPr>
          <w:fldChar w:fldCharType="separate"/>
        </w:r>
        <w:r w:rsidR="00BE5D26">
          <w:rPr>
            <w:noProof/>
            <w:webHidden/>
          </w:rPr>
          <w:t>136</w:t>
        </w:r>
        <w:r w:rsidR="00BE5D26">
          <w:rPr>
            <w:noProof/>
            <w:webHidden/>
          </w:rPr>
          <w:fldChar w:fldCharType="end"/>
        </w:r>
      </w:hyperlink>
    </w:p>
    <w:p w14:paraId="0CFC9DA1" w14:textId="2851B007" w:rsidR="00BE5D26" w:rsidRDefault="00885E1E">
      <w:pPr>
        <w:pStyle w:val="TOC2"/>
        <w:rPr>
          <w:rFonts w:eastAsiaTheme="minorEastAsia"/>
          <w:noProof/>
          <w:color w:val="auto"/>
          <w:kern w:val="2"/>
          <w:sz w:val="24"/>
          <w:szCs w:val="24"/>
          <w:lang w:eastAsia="en-GB"/>
          <w14:ligatures w14:val="standardContextual"/>
        </w:rPr>
      </w:pPr>
      <w:hyperlink w:anchor="_Toc161327600" w:history="1">
        <w:r w:rsidR="00BE5D26" w:rsidRPr="00F61D40">
          <w:rPr>
            <w:rStyle w:val="Hyperlink"/>
            <w:noProof/>
          </w:rPr>
          <w:t>Measuring product market displacement</w:t>
        </w:r>
        <w:r w:rsidR="00BE5D26">
          <w:rPr>
            <w:noProof/>
            <w:webHidden/>
          </w:rPr>
          <w:tab/>
        </w:r>
        <w:r w:rsidR="00BE5D26">
          <w:rPr>
            <w:noProof/>
            <w:webHidden/>
          </w:rPr>
          <w:fldChar w:fldCharType="begin"/>
        </w:r>
        <w:r w:rsidR="00BE5D26">
          <w:rPr>
            <w:noProof/>
            <w:webHidden/>
          </w:rPr>
          <w:instrText xml:space="preserve"> PAGEREF _Toc161327600 \h </w:instrText>
        </w:r>
        <w:r w:rsidR="00BE5D26">
          <w:rPr>
            <w:noProof/>
            <w:webHidden/>
          </w:rPr>
        </w:r>
        <w:r w:rsidR="00BE5D26">
          <w:rPr>
            <w:noProof/>
            <w:webHidden/>
          </w:rPr>
          <w:fldChar w:fldCharType="separate"/>
        </w:r>
        <w:r w:rsidR="00BE5D26">
          <w:rPr>
            <w:noProof/>
            <w:webHidden/>
          </w:rPr>
          <w:t>136</w:t>
        </w:r>
        <w:r w:rsidR="00BE5D26">
          <w:rPr>
            <w:noProof/>
            <w:webHidden/>
          </w:rPr>
          <w:fldChar w:fldCharType="end"/>
        </w:r>
      </w:hyperlink>
    </w:p>
    <w:p w14:paraId="5237E97A" w14:textId="63090B50" w:rsidR="00BE5D26" w:rsidRDefault="00885E1E">
      <w:pPr>
        <w:pStyle w:val="TOC2"/>
        <w:rPr>
          <w:rFonts w:eastAsiaTheme="minorEastAsia"/>
          <w:noProof/>
          <w:color w:val="auto"/>
          <w:kern w:val="2"/>
          <w:sz w:val="24"/>
          <w:szCs w:val="24"/>
          <w:lang w:eastAsia="en-GB"/>
          <w14:ligatures w14:val="standardContextual"/>
        </w:rPr>
      </w:pPr>
      <w:hyperlink w:anchor="_Toc161327601" w:history="1">
        <w:r w:rsidR="00BE5D26" w:rsidRPr="00F61D40">
          <w:rPr>
            <w:rStyle w:val="Hyperlink"/>
            <w:noProof/>
          </w:rPr>
          <w:t>Econometrics methodology</w:t>
        </w:r>
        <w:r w:rsidR="00BE5D26">
          <w:rPr>
            <w:noProof/>
            <w:webHidden/>
          </w:rPr>
          <w:tab/>
        </w:r>
        <w:r w:rsidR="00BE5D26">
          <w:rPr>
            <w:noProof/>
            <w:webHidden/>
          </w:rPr>
          <w:fldChar w:fldCharType="begin"/>
        </w:r>
        <w:r w:rsidR="00BE5D26">
          <w:rPr>
            <w:noProof/>
            <w:webHidden/>
          </w:rPr>
          <w:instrText xml:space="preserve"> PAGEREF _Toc161327601 \h </w:instrText>
        </w:r>
        <w:r w:rsidR="00BE5D26">
          <w:rPr>
            <w:noProof/>
            <w:webHidden/>
          </w:rPr>
        </w:r>
        <w:r w:rsidR="00BE5D26">
          <w:rPr>
            <w:noProof/>
            <w:webHidden/>
          </w:rPr>
          <w:fldChar w:fldCharType="separate"/>
        </w:r>
        <w:r w:rsidR="00BE5D26">
          <w:rPr>
            <w:noProof/>
            <w:webHidden/>
          </w:rPr>
          <w:t>137</w:t>
        </w:r>
        <w:r w:rsidR="00BE5D26">
          <w:rPr>
            <w:noProof/>
            <w:webHidden/>
          </w:rPr>
          <w:fldChar w:fldCharType="end"/>
        </w:r>
      </w:hyperlink>
    </w:p>
    <w:p w14:paraId="4604CBCE" w14:textId="161694C7" w:rsidR="00BE5D26" w:rsidRDefault="00885E1E">
      <w:pPr>
        <w:pStyle w:val="TOC2"/>
        <w:rPr>
          <w:rFonts w:eastAsiaTheme="minorEastAsia"/>
          <w:noProof/>
          <w:color w:val="auto"/>
          <w:kern w:val="2"/>
          <w:sz w:val="24"/>
          <w:szCs w:val="24"/>
          <w:lang w:eastAsia="en-GB"/>
          <w14:ligatures w14:val="standardContextual"/>
        </w:rPr>
      </w:pPr>
      <w:hyperlink w:anchor="_Toc161327602" w:history="1">
        <w:r w:rsidR="00BE5D26" w:rsidRPr="00F61D40">
          <w:rPr>
            <w:rStyle w:val="Hyperlink"/>
            <w:noProof/>
          </w:rPr>
          <w:t>Econometric results</w:t>
        </w:r>
        <w:r w:rsidR="00BE5D26">
          <w:rPr>
            <w:noProof/>
            <w:webHidden/>
          </w:rPr>
          <w:tab/>
        </w:r>
        <w:r w:rsidR="00BE5D26">
          <w:rPr>
            <w:noProof/>
            <w:webHidden/>
          </w:rPr>
          <w:fldChar w:fldCharType="begin"/>
        </w:r>
        <w:r w:rsidR="00BE5D26">
          <w:rPr>
            <w:noProof/>
            <w:webHidden/>
          </w:rPr>
          <w:instrText xml:space="preserve"> PAGEREF _Toc161327602 \h </w:instrText>
        </w:r>
        <w:r w:rsidR="00BE5D26">
          <w:rPr>
            <w:noProof/>
            <w:webHidden/>
          </w:rPr>
        </w:r>
        <w:r w:rsidR="00BE5D26">
          <w:rPr>
            <w:noProof/>
            <w:webHidden/>
          </w:rPr>
          <w:fldChar w:fldCharType="separate"/>
        </w:r>
        <w:r w:rsidR="00BE5D26">
          <w:rPr>
            <w:noProof/>
            <w:webHidden/>
          </w:rPr>
          <w:t>154</w:t>
        </w:r>
        <w:r w:rsidR="00BE5D26">
          <w:rPr>
            <w:noProof/>
            <w:webHidden/>
          </w:rPr>
          <w:fldChar w:fldCharType="end"/>
        </w:r>
      </w:hyperlink>
    </w:p>
    <w:p w14:paraId="410B798C" w14:textId="2BDCF8AF" w:rsidR="00BE5D26" w:rsidRDefault="00885E1E">
      <w:pPr>
        <w:pStyle w:val="TOC1"/>
        <w:rPr>
          <w:rFonts w:eastAsiaTheme="minorEastAsia"/>
          <w:b w:val="0"/>
          <w:noProof/>
          <w:color w:val="auto"/>
          <w:kern w:val="2"/>
          <w:sz w:val="24"/>
          <w:szCs w:val="24"/>
          <w:lang w:eastAsia="en-GB"/>
          <w14:ligatures w14:val="standardContextual"/>
        </w:rPr>
      </w:pPr>
      <w:hyperlink w:anchor="_Toc161327603" w:history="1">
        <w:r w:rsidR="00BE5D26" w:rsidRPr="00F61D40">
          <w:rPr>
            <w:rStyle w:val="Hyperlink"/>
            <w:noProof/>
          </w:rPr>
          <w:t>Annex 5 – Lender mapping</w:t>
        </w:r>
        <w:r w:rsidR="00BE5D26">
          <w:rPr>
            <w:noProof/>
            <w:webHidden/>
          </w:rPr>
          <w:tab/>
        </w:r>
        <w:r w:rsidR="00BE5D26">
          <w:rPr>
            <w:noProof/>
            <w:webHidden/>
          </w:rPr>
          <w:fldChar w:fldCharType="begin"/>
        </w:r>
        <w:r w:rsidR="00BE5D26">
          <w:rPr>
            <w:noProof/>
            <w:webHidden/>
          </w:rPr>
          <w:instrText xml:space="preserve"> PAGEREF _Toc161327603 \h </w:instrText>
        </w:r>
        <w:r w:rsidR="00BE5D26">
          <w:rPr>
            <w:noProof/>
            <w:webHidden/>
          </w:rPr>
        </w:r>
        <w:r w:rsidR="00BE5D26">
          <w:rPr>
            <w:noProof/>
            <w:webHidden/>
          </w:rPr>
          <w:fldChar w:fldCharType="separate"/>
        </w:r>
        <w:r w:rsidR="00BE5D26">
          <w:rPr>
            <w:noProof/>
            <w:webHidden/>
          </w:rPr>
          <w:t>157</w:t>
        </w:r>
        <w:r w:rsidR="00BE5D26">
          <w:rPr>
            <w:noProof/>
            <w:webHidden/>
          </w:rPr>
          <w:fldChar w:fldCharType="end"/>
        </w:r>
      </w:hyperlink>
    </w:p>
    <w:p w14:paraId="1EC806E0" w14:textId="7042D649" w:rsidR="00C62D36" w:rsidRPr="00D13154" w:rsidRDefault="006E2CDE" w:rsidP="004F2AC2">
      <w:pPr>
        <w:sectPr w:rsidR="00C62D36" w:rsidRPr="00D13154" w:rsidSect="00A21374">
          <w:footerReference w:type="default" r:id="rId20"/>
          <w:headerReference w:type="first" r:id="rId21"/>
          <w:footerReference w:type="first" r:id="rId22"/>
          <w:pgSz w:w="11906" w:h="16838" w:code="9"/>
          <w:pgMar w:top="1701" w:right="4360" w:bottom="1531" w:left="907" w:header="567" w:footer="624" w:gutter="0"/>
          <w:pgNumType w:start="1"/>
          <w:cols w:space="284"/>
          <w:titlePg/>
          <w:docGrid w:linePitch="360"/>
        </w:sectPr>
      </w:pPr>
      <w:r>
        <w:rPr>
          <w:b/>
          <w:color w:val="142855" w:themeColor="text2"/>
          <w:sz w:val="28"/>
        </w:rPr>
        <w:fldChar w:fldCharType="end"/>
      </w:r>
    </w:p>
    <w:p w14:paraId="3D18E478" w14:textId="1C93B2CC" w:rsidR="00833A03" w:rsidRPr="006C744B" w:rsidRDefault="00833A03" w:rsidP="00833A03">
      <w:pPr>
        <w:pStyle w:val="Heading1"/>
      </w:pPr>
      <w:bookmarkStart w:id="1" w:name="_Toc161327566"/>
      <w:r w:rsidRPr="006C744B">
        <w:lastRenderedPageBreak/>
        <w:t xml:space="preserve">List of </w:t>
      </w:r>
      <w:r w:rsidR="009256BF" w:rsidRPr="006C744B">
        <w:t>terms</w:t>
      </w:r>
      <w:bookmarkEnd w:id="1"/>
    </w:p>
    <w:p w14:paraId="17983830" w14:textId="4ED2FEB1" w:rsidR="00833A03" w:rsidRPr="006C744B" w:rsidRDefault="002D4A3B" w:rsidP="00833A03">
      <w:r w:rsidRPr="006C744B">
        <w:t>BBB</w:t>
      </w:r>
      <w:r w:rsidR="007A5EB0" w:rsidRPr="006C744B">
        <w:t xml:space="preserve"> – </w:t>
      </w:r>
      <w:r w:rsidRPr="006C744B">
        <w:t>British Business Bank</w:t>
      </w:r>
    </w:p>
    <w:p w14:paraId="7E4DD305" w14:textId="11F0F30F" w:rsidR="002D4A3B" w:rsidRPr="006C744B" w:rsidRDefault="002D4A3B" w:rsidP="00833A03">
      <w:r w:rsidRPr="006C744B">
        <w:t>BBLS</w:t>
      </w:r>
      <w:r w:rsidR="007A5EB0" w:rsidRPr="006C744B">
        <w:t xml:space="preserve"> – </w:t>
      </w:r>
      <w:r w:rsidRPr="006C744B">
        <w:t>Bounce Back Loan Scheme</w:t>
      </w:r>
    </w:p>
    <w:p w14:paraId="77F40CEE" w14:textId="13712BF8" w:rsidR="00085F01" w:rsidRPr="006C744B" w:rsidRDefault="00085F01" w:rsidP="00833A03">
      <w:r w:rsidRPr="006C744B">
        <w:t>BICS – Business Insights and Conditions Survey</w:t>
      </w:r>
    </w:p>
    <w:p w14:paraId="458763FA" w14:textId="3CC2279D" w:rsidR="002D4A3B" w:rsidRPr="006C744B" w:rsidRDefault="002D4A3B" w:rsidP="00833A03">
      <w:r w:rsidRPr="006C744B">
        <w:t>CBILS</w:t>
      </w:r>
      <w:r w:rsidR="007A5EB0" w:rsidRPr="006C744B">
        <w:t xml:space="preserve"> – </w:t>
      </w:r>
      <w:r w:rsidRPr="006C744B">
        <w:t>Coronavirus Business Interruption Loan Scheme</w:t>
      </w:r>
    </w:p>
    <w:p w14:paraId="358CA876" w14:textId="260CA7B9" w:rsidR="00B56FCE" w:rsidRPr="006C744B" w:rsidRDefault="00B56FCE" w:rsidP="00833A03">
      <w:r w:rsidRPr="006C744B">
        <w:t>CJRS – Coronavirus Job Retention Scheme</w:t>
      </w:r>
    </w:p>
    <w:p w14:paraId="549F8381" w14:textId="71A72D95" w:rsidR="00B56FCE" w:rsidRPr="006C744B" w:rsidRDefault="002D4A3B" w:rsidP="00833A03">
      <w:r w:rsidRPr="006C744B">
        <w:t>CLBILS</w:t>
      </w:r>
      <w:r w:rsidR="007A5EB0" w:rsidRPr="006C744B">
        <w:t xml:space="preserve"> – </w:t>
      </w:r>
      <w:r w:rsidRPr="006C744B">
        <w:t xml:space="preserve">Coronavirus </w:t>
      </w:r>
      <w:r w:rsidR="007A5EB0" w:rsidRPr="006C744B">
        <w:t xml:space="preserve">Large </w:t>
      </w:r>
      <w:r w:rsidRPr="006C744B">
        <w:t>Business Interruption Loan Scheme</w:t>
      </w:r>
    </w:p>
    <w:p w14:paraId="27BD6850" w14:textId="0FCB6DE3" w:rsidR="009256BF" w:rsidRPr="006C744B" w:rsidRDefault="00B1180F" w:rsidP="00833A03">
      <w:r w:rsidRPr="006C744B">
        <w:t>Covid-19</w:t>
      </w:r>
      <w:r w:rsidR="009256BF" w:rsidRPr="006C744B">
        <w:t xml:space="preserve"> Loan Guarantee Schemes </w:t>
      </w:r>
      <w:r w:rsidR="007A37F0" w:rsidRPr="006C744B">
        <w:t>–</w:t>
      </w:r>
      <w:r w:rsidR="009256BF" w:rsidRPr="006C744B">
        <w:t xml:space="preserve"> </w:t>
      </w:r>
      <w:r w:rsidR="007A37F0" w:rsidRPr="006C744B">
        <w:t>Bounce Back Loan Scheme, Coronavirus Business Interruption Loan Scheme and Coronavirus Large Business Interruption Loan Scheme</w:t>
      </w:r>
    </w:p>
    <w:p w14:paraId="6EEC2E2B" w14:textId="40B1F038" w:rsidR="00FE124E" w:rsidRDefault="00FE124E" w:rsidP="00833A03">
      <w:r>
        <w:t>DBT – Department for Business and Trade</w:t>
      </w:r>
      <w:r w:rsidR="00BA166B">
        <w:t xml:space="preserve"> (formerly BEIS)</w:t>
      </w:r>
    </w:p>
    <w:p w14:paraId="65AF00B2" w14:textId="31093295" w:rsidR="00085F01" w:rsidRPr="006C744B" w:rsidRDefault="00085F01" w:rsidP="00833A03">
      <w:r w:rsidRPr="006C744B">
        <w:t>EFG – Enterprise Finance Guarantee</w:t>
      </w:r>
    </w:p>
    <w:p w14:paraId="2968A460" w14:textId="2100AC39" w:rsidR="007A5EB0" w:rsidRPr="006C744B" w:rsidRDefault="007A5EB0" w:rsidP="00833A03">
      <w:r w:rsidRPr="006C744B">
        <w:t>PSM – Propensity Score Matching</w:t>
      </w:r>
    </w:p>
    <w:p w14:paraId="28ACC6B4" w14:textId="096311B6" w:rsidR="002A3258" w:rsidRPr="006C744B" w:rsidRDefault="002A3258" w:rsidP="00833A03">
      <w:r w:rsidRPr="006C744B">
        <w:t>RLS – Recovery Loan Scheme</w:t>
      </w:r>
    </w:p>
    <w:p w14:paraId="1E4A1252" w14:textId="798575BA" w:rsidR="00CA0BE6" w:rsidRPr="006C744B" w:rsidRDefault="00CA0BE6" w:rsidP="00833A03">
      <w:r w:rsidRPr="006C744B">
        <w:t>R&amp;D – Research and Development</w:t>
      </w:r>
    </w:p>
    <w:p w14:paraId="05A6DCC1" w14:textId="703AE402" w:rsidR="007A5EB0" w:rsidRPr="006C744B" w:rsidRDefault="00B56FCE" w:rsidP="00833A03">
      <w:r w:rsidRPr="006C744B">
        <w:t>SME – Small and Medium-Sized Enterprises</w:t>
      </w:r>
    </w:p>
    <w:p w14:paraId="5C91A0CC" w14:textId="75E4DDC6" w:rsidR="00CA0BE6" w:rsidRPr="006C744B" w:rsidRDefault="00CA0BE6" w:rsidP="00833A03">
      <w:r w:rsidRPr="006C744B">
        <w:t>UK – United Kingdom</w:t>
      </w:r>
    </w:p>
    <w:p w14:paraId="371590D8" w14:textId="41B1C9A5" w:rsidR="00551A57" w:rsidRDefault="00551A57" w:rsidP="00833A03">
      <w:r w:rsidRPr="006C744B">
        <w:t xml:space="preserve">VAT </w:t>
      </w:r>
      <w:r w:rsidR="00CA0BE6" w:rsidRPr="006C744B">
        <w:t>–</w:t>
      </w:r>
      <w:r w:rsidRPr="006C744B">
        <w:t xml:space="preserve"> Value</w:t>
      </w:r>
      <w:r w:rsidR="00CA0BE6" w:rsidRPr="006C744B">
        <w:t>-Added Tax</w:t>
      </w:r>
    </w:p>
    <w:p w14:paraId="2E4949F4" w14:textId="3E1DC841" w:rsidR="00833A03" w:rsidRDefault="00833A03" w:rsidP="00833A03">
      <w:r>
        <w:br w:type="page"/>
      </w:r>
    </w:p>
    <w:p w14:paraId="2018ED52" w14:textId="3CF82552" w:rsidR="00687AC4" w:rsidRDefault="00687AC4" w:rsidP="00653746">
      <w:pPr>
        <w:pStyle w:val="Heading1"/>
      </w:pPr>
      <w:bookmarkStart w:id="2" w:name="_Toc161327567"/>
      <w:r>
        <w:t>Note to readers</w:t>
      </w:r>
      <w:bookmarkEnd w:id="2"/>
    </w:p>
    <w:p w14:paraId="1471DBE1" w14:textId="6FDCCC07" w:rsidR="00DF3D29" w:rsidRDefault="00DF3D29" w:rsidP="00DF3D29">
      <w:r>
        <w:t xml:space="preserve">After supporting over 1.6m businesses to access finance during a period of significant disruption, the original three Covid-19 Loan Guarantee Schemes – Coronavirus Business Interruption Loan Scheme (CBILS), Coronavirus Large Business Interruption Loan Scheme (CLBILS), and Bounce Back Loan Scheme (BBLS) – closed for new applications in March 2021. </w:t>
      </w:r>
    </w:p>
    <w:p w14:paraId="6F0D078D" w14:textId="3B08AD48" w:rsidR="00DF3D29" w:rsidRDefault="72639AA5" w:rsidP="00DF3D29">
      <w:r>
        <w:t>Economic uncertainty and disruption</w:t>
      </w:r>
      <w:r w:rsidR="03985B15">
        <w:t>,</w:t>
      </w:r>
      <w:r>
        <w:t xml:space="preserve"> however</w:t>
      </w:r>
      <w:r w:rsidR="7BE7E8F1">
        <w:t>,</w:t>
      </w:r>
      <w:r>
        <w:t xml:space="preserve"> continued to affect UK businesses and the British Business Bank (BBB) launched the Recovery Loan Scheme (RLS) on 6 April 2021, </w:t>
      </w:r>
      <w:r w:rsidR="775E1090">
        <w:t xml:space="preserve">with an initial </w:t>
      </w:r>
      <w:r w:rsidR="064F1617">
        <w:t xml:space="preserve">end date set to </w:t>
      </w:r>
      <w:r w:rsidR="775E1090">
        <w:t>31</w:t>
      </w:r>
      <w:r w:rsidR="775E1090" w:rsidRPr="064C0780">
        <w:rPr>
          <w:vertAlign w:val="superscript"/>
        </w:rPr>
        <w:t>st</w:t>
      </w:r>
      <w:r w:rsidR="775E1090">
        <w:t xml:space="preserve"> December 2021. </w:t>
      </w:r>
      <w:r>
        <w:t xml:space="preserve"> </w:t>
      </w:r>
    </w:p>
    <w:p w14:paraId="61E79622" w14:textId="323544B0" w:rsidR="00DF3D29" w:rsidRDefault="72639AA5" w:rsidP="00DF3D29">
      <w:r>
        <w:t xml:space="preserve">The core objective of RLS was to continue to support otherwise viable businesses </w:t>
      </w:r>
      <w:r w:rsidR="3F3EFECB">
        <w:t xml:space="preserve">with both working capital and productive finance </w:t>
      </w:r>
      <w:r>
        <w:t xml:space="preserve">to invest and grow through Government-guaranteed </w:t>
      </w:r>
      <w:r w:rsidR="24A11071">
        <w:t>debt facilities</w:t>
      </w:r>
      <w:r>
        <w:t>. The scheme was based on similar principles to</w:t>
      </w:r>
      <w:r w:rsidR="1AB3A8D8">
        <w:t>,</w:t>
      </w:r>
      <w:r>
        <w:t xml:space="preserve"> and structured like</w:t>
      </w:r>
      <w:r w:rsidR="24117A3A">
        <w:t>,</w:t>
      </w:r>
      <w:r>
        <w:t xml:space="preserve"> the first Covid-19 </w:t>
      </w:r>
      <w:r w:rsidR="00BD6FB5">
        <w:t>L</w:t>
      </w:r>
      <w:r>
        <w:t xml:space="preserve">oan </w:t>
      </w:r>
      <w:r w:rsidR="00BD6FB5">
        <w:t>Guarantee S</w:t>
      </w:r>
      <w:r>
        <w:t xml:space="preserve">cheme – CBILS – with Government guaranteeing 80% of credit losses incurred by lenders. </w:t>
      </w:r>
    </w:p>
    <w:p w14:paraId="0C7779C9" w14:textId="0BF02732" w:rsidR="00DF3D29" w:rsidRDefault="72639AA5" w:rsidP="00DF3D29">
      <w:r>
        <w:t xml:space="preserve">Since this first scheme was launched two further iterations of RLS have been launched, </w:t>
      </w:r>
      <w:r w:rsidR="6BA6D849">
        <w:t xml:space="preserve">with </w:t>
      </w:r>
      <w:r>
        <w:t xml:space="preserve">the </w:t>
      </w:r>
      <w:r w:rsidR="00196090">
        <w:t xml:space="preserve">current version </w:t>
      </w:r>
      <w:r w:rsidR="3D379925">
        <w:t>run</w:t>
      </w:r>
      <w:r w:rsidR="30986FF5">
        <w:t>ning</w:t>
      </w:r>
      <w:r w:rsidR="3D379925">
        <w:t xml:space="preserve"> until </w:t>
      </w:r>
      <w:r w:rsidR="007A1031">
        <w:t>30</w:t>
      </w:r>
      <w:r w:rsidR="007A1031" w:rsidRPr="0037598E">
        <w:rPr>
          <w:vertAlign w:val="superscript"/>
        </w:rPr>
        <w:t>th</w:t>
      </w:r>
      <w:r w:rsidR="007A1031">
        <w:t xml:space="preserve"> </w:t>
      </w:r>
      <w:r>
        <w:t>June 2024</w:t>
      </w:r>
      <w:r w:rsidR="00BB46B2">
        <w:t>.</w:t>
      </w:r>
      <w:r w:rsidR="00CD5A63">
        <w:t xml:space="preserve"> </w:t>
      </w:r>
      <w:r w:rsidR="00BB46B2">
        <w:t>A</w:t>
      </w:r>
      <w:r w:rsidR="00AC1DCA">
        <w:t xml:space="preserve"> </w:t>
      </w:r>
      <w:r w:rsidR="00E54046">
        <w:t>new</w:t>
      </w:r>
      <w:r w:rsidR="005637C5">
        <w:t xml:space="preserve"> </w:t>
      </w:r>
      <w:r w:rsidR="00FC5743">
        <w:t>21-month</w:t>
      </w:r>
      <w:r w:rsidR="004075EE">
        <w:t xml:space="preserve"> </w:t>
      </w:r>
      <w:r w:rsidR="005637C5">
        <w:t>extension</w:t>
      </w:r>
      <w:r w:rsidR="00CD5A63">
        <w:t xml:space="preserve"> </w:t>
      </w:r>
      <w:r w:rsidR="004075EE">
        <w:t>(</w:t>
      </w:r>
      <w:r w:rsidR="007F20A8">
        <w:t>until</w:t>
      </w:r>
      <w:r w:rsidR="00F914A1">
        <w:t xml:space="preserve"> March 2026</w:t>
      </w:r>
      <w:r w:rsidR="004075EE">
        <w:t>)</w:t>
      </w:r>
      <w:r w:rsidR="00451A71">
        <w:t xml:space="preserve"> a</w:t>
      </w:r>
      <w:r w:rsidR="00E54046">
        <w:t>longside</w:t>
      </w:r>
      <w:r w:rsidR="00F914A1">
        <w:t xml:space="preserve"> </w:t>
      </w:r>
      <w:r w:rsidR="00AA0799">
        <w:t xml:space="preserve">a name change to </w:t>
      </w:r>
      <w:r w:rsidR="00A57F88">
        <w:t xml:space="preserve">the </w:t>
      </w:r>
      <w:r w:rsidR="00ED48F5">
        <w:t>‘</w:t>
      </w:r>
      <w:r w:rsidR="00A57F88">
        <w:t>Growth Guarantee Scheme</w:t>
      </w:r>
      <w:r w:rsidR="00ED48F5">
        <w:t>’</w:t>
      </w:r>
      <w:r w:rsidR="00A57F88">
        <w:t xml:space="preserve"> </w:t>
      </w:r>
      <w:r w:rsidR="00BB46B2">
        <w:t xml:space="preserve">was </w:t>
      </w:r>
      <w:r w:rsidR="0009546E">
        <w:t xml:space="preserve">recently </w:t>
      </w:r>
      <w:r w:rsidR="00BB46B2">
        <w:t xml:space="preserve">announced in the </w:t>
      </w:r>
      <w:r w:rsidR="00A90297">
        <w:t>2024 Spring Budget</w:t>
      </w:r>
      <w:r>
        <w:t xml:space="preserve">. Importantly, each iteration has modified scheme parameters, </w:t>
      </w:r>
      <w:r w:rsidR="34B1B040">
        <w:t xml:space="preserve">such as </w:t>
      </w:r>
      <w:r>
        <w:t xml:space="preserve">the </w:t>
      </w:r>
      <w:r w:rsidR="00FF4E96">
        <w:t xml:space="preserve">guarantee rate </w:t>
      </w:r>
      <w:r>
        <w:t xml:space="preserve">and maximum loan size, meaning the schemes are not directly comparable. </w:t>
      </w:r>
    </w:p>
    <w:p w14:paraId="5E87C8EB" w14:textId="5E3A5CA8" w:rsidR="00DF3D29" w:rsidRDefault="72639AA5" w:rsidP="00DF3D29">
      <w:r>
        <w:t>To avoid confusion, this evaluation focuses on the first iteration of the</w:t>
      </w:r>
      <w:r w:rsidR="007A1031">
        <w:t xml:space="preserve"> Recovery Loan</w:t>
      </w:r>
      <w:r w:rsidR="222377B3">
        <w:t xml:space="preserve"> </w:t>
      </w:r>
      <w:r w:rsidR="007A1031">
        <w:t>S</w:t>
      </w:r>
      <w:r w:rsidR="00FF4E96">
        <w:t xml:space="preserve">cheme between </w:t>
      </w:r>
      <w:r>
        <w:t xml:space="preserve">April and December 2021, known hereafter as “RLS 1.0”. Evaluations of more recent iterations of RLS, as well as a longer-term evaluation of RLS 1.0, will take place in future years. </w:t>
      </w:r>
    </w:p>
    <w:p w14:paraId="4B2A1DB4" w14:textId="7740075F" w:rsidR="00DF3D29" w:rsidRPr="00DF3D29" w:rsidRDefault="72639AA5" w:rsidP="00DF3D29">
      <w:r>
        <w:t xml:space="preserve">Finally, RLS 1.0 was launched by BBB and the then </w:t>
      </w:r>
      <w:r w:rsidR="00FF4E96">
        <w:t>Department for Business</w:t>
      </w:r>
      <w:r w:rsidR="007A1031">
        <w:t>,</w:t>
      </w:r>
      <w:r w:rsidR="00FF4E96">
        <w:t xml:space="preserve"> Energy and Industrial Strategy (BEIS)</w:t>
      </w:r>
      <w:r>
        <w:t>. After the Machinery of Government change in February 202</w:t>
      </w:r>
      <w:r w:rsidR="0090458B">
        <w:t>3</w:t>
      </w:r>
      <w:r>
        <w:t>, responsibility for business finance and BBB moved to the newly created Department for Business and Trade (DBT). This evaluation report refers to DBT, rather than BEIS, throughout.</w:t>
      </w:r>
    </w:p>
    <w:p w14:paraId="778AFC9B" w14:textId="0673B5FA" w:rsidR="00653746" w:rsidRDefault="00653746" w:rsidP="00653746">
      <w:pPr>
        <w:pStyle w:val="Heading1"/>
      </w:pPr>
      <w:bookmarkStart w:id="3" w:name="_Toc161327568"/>
      <w:r>
        <w:t>Executive summary</w:t>
      </w:r>
      <w:bookmarkEnd w:id="3"/>
    </w:p>
    <w:p w14:paraId="0C8D024B" w14:textId="77777777" w:rsidR="00940A1A" w:rsidRPr="00C13DF5" w:rsidRDefault="00940A1A" w:rsidP="00940A1A">
      <w:pPr>
        <w:pStyle w:val="Heading2"/>
      </w:pPr>
      <w:bookmarkStart w:id="4" w:name="_Toc161327569"/>
      <w:r w:rsidRPr="00C13DF5">
        <w:t>Context</w:t>
      </w:r>
      <w:bookmarkEnd w:id="4"/>
    </w:p>
    <w:p w14:paraId="794A95E7" w14:textId="603A19C8" w:rsidR="00C13DF5" w:rsidRPr="00C13DF5" w:rsidRDefault="6317F20D" w:rsidP="00940A1A">
      <w:r>
        <w:t xml:space="preserve">In the early stages of the </w:t>
      </w:r>
      <w:r w:rsidR="14130589">
        <w:t xml:space="preserve">coronavirus </w:t>
      </w:r>
      <w:r>
        <w:t>pandemic the government moved quickly to support access to finance for businesses through</w:t>
      </w:r>
      <w:r w:rsidR="51D5547D">
        <w:t xml:space="preserve"> the three Covid-19 Loan Guarantee Schemes (BBLS, CBILS and CLBILS). These schemes closed for new applications in March 2021, however</w:t>
      </w:r>
      <w:r w:rsidR="243868B8">
        <w:t>,</w:t>
      </w:r>
      <w:r w:rsidR="51D5547D">
        <w:t xml:space="preserve"> the economy had not fully escaped pandemic induced disruption</w:t>
      </w:r>
      <w:r>
        <w:t xml:space="preserve"> and </w:t>
      </w:r>
      <w:r w:rsidR="51D5547D">
        <w:t>certain sectors were impacted particularly hard by pandemic restrictions</w:t>
      </w:r>
      <w:r>
        <w:t xml:space="preserve">. Furthermore, </w:t>
      </w:r>
      <w:r w:rsidR="51D5547D">
        <w:t xml:space="preserve">even long-term viable </w:t>
      </w:r>
      <w:r w:rsidR="00FF4E96">
        <w:t>Small and Medium-Sized Enterprises</w:t>
      </w:r>
      <w:r w:rsidR="51D5547D">
        <w:t xml:space="preserve"> </w:t>
      </w:r>
      <w:r w:rsidR="00FF4E96">
        <w:t xml:space="preserve">(SMEs) </w:t>
      </w:r>
      <w:r w:rsidR="51D5547D">
        <w:t xml:space="preserve">faced potential barriers to obtaining external finance. </w:t>
      </w:r>
    </w:p>
    <w:p w14:paraId="034895C4" w14:textId="77777777" w:rsidR="005F3E99" w:rsidRDefault="005F3E99" w:rsidP="00940A1A">
      <w:r>
        <w:t>As a result,</w:t>
      </w:r>
      <w:r w:rsidR="00C13DF5" w:rsidRPr="00C13DF5">
        <w:t xml:space="preserve"> the first iteration of the Recovery Loan Scheme (RLS 1.0) was launched on April 6</w:t>
      </w:r>
      <w:r w:rsidR="00C13DF5" w:rsidRPr="00C13DF5">
        <w:rPr>
          <w:vertAlign w:val="superscript"/>
        </w:rPr>
        <w:t>th</w:t>
      </w:r>
      <w:r w:rsidR="00C13DF5" w:rsidRPr="00C13DF5">
        <w:t xml:space="preserve"> 2021 with an initial end date of 31</w:t>
      </w:r>
      <w:r w:rsidR="00C13DF5" w:rsidRPr="00C13DF5">
        <w:rPr>
          <w:vertAlign w:val="superscript"/>
        </w:rPr>
        <w:t>st</w:t>
      </w:r>
      <w:r w:rsidR="00C13DF5" w:rsidRPr="00C13DF5">
        <w:t xml:space="preserve"> December 2021. The scheme aimed to provide further financial support to businesses to recover and grow following the pandemic. </w:t>
      </w:r>
    </w:p>
    <w:p w14:paraId="55DC019B" w14:textId="0A0A434D" w:rsidR="00C13DF5" w:rsidRPr="00C13DF5" w:rsidRDefault="00C13DF5" w:rsidP="00940A1A">
      <w:r w:rsidRPr="00C13DF5">
        <w:t xml:space="preserve">In February 2023, the British Business Bank (BBB) commissioned London Economics and Ipsos to undertake a process evaluation and early impact evaluation of RLS 1.0. The evaluation aims to assess whether the objectives of the Recovery Loan Scheme were satisfied. </w:t>
      </w:r>
      <w:r w:rsidR="006C5A09">
        <w:t xml:space="preserve">It should be noted that a further evaluation of RLS 1.0, relying more on secondary data as it becomes available, will be commissioned in </w:t>
      </w:r>
      <w:r w:rsidR="008F5438">
        <w:t>future</w:t>
      </w:r>
      <w:r w:rsidR="006C5A09">
        <w:t xml:space="preserve"> years. </w:t>
      </w:r>
    </w:p>
    <w:p w14:paraId="34A16E2F" w14:textId="2794DBAE" w:rsidR="00940A1A" w:rsidRPr="00FB4D24" w:rsidRDefault="00940A1A" w:rsidP="00940A1A">
      <w:pPr>
        <w:pStyle w:val="Heading2"/>
      </w:pPr>
      <w:bookmarkStart w:id="5" w:name="_Toc161327570"/>
      <w:r w:rsidRPr="00FB4D24">
        <w:t>Approach</w:t>
      </w:r>
      <w:bookmarkEnd w:id="5"/>
    </w:p>
    <w:p w14:paraId="6F026301" w14:textId="46C4A7A1" w:rsidR="006C5A09" w:rsidRDefault="00940A1A" w:rsidP="00940A1A">
      <w:r w:rsidRPr="00FB4D24">
        <w:t>Th</w:t>
      </w:r>
      <w:r w:rsidR="006C0975" w:rsidRPr="00FB4D24">
        <w:t xml:space="preserve">e </w:t>
      </w:r>
      <w:r w:rsidRPr="00FB4D24">
        <w:t>evaluation</w:t>
      </w:r>
      <w:r w:rsidR="006C5A09">
        <w:t xml:space="preserve"> </w:t>
      </w:r>
      <w:r w:rsidRPr="00FB4D24">
        <w:t xml:space="preserve">uses a mixed methods approach combining </w:t>
      </w:r>
      <w:r w:rsidR="006C0975" w:rsidRPr="00FB4D24">
        <w:t>a quantitative survey, qualitative interviews as well as primary and secondary sources.</w:t>
      </w:r>
      <w:r w:rsidR="006C5A09">
        <w:t xml:space="preserve"> It consists of two distinct strands, an impact evaluation and a process evaluation.</w:t>
      </w:r>
    </w:p>
    <w:p w14:paraId="77C6F9B8" w14:textId="57172DC1" w:rsidR="00940A1A" w:rsidRPr="00FB4D24" w:rsidRDefault="00940A1A" w:rsidP="00940A1A">
      <w:r w:rsidRPr="00FB4D24">
        <w:t xml:space="preserve">The impact </w:t>
      </w:r>
      <w:r w:rsidR="006C5A09">
        <w:t>evaluation</w:t>
      </w:r>
      <w:r w:rsidR="006C5A09" w:rsidRPr="00FB4D24">
        <w:t xml:space="preserve"> </w:t>
      </w:r>
      <w:r w:rsidRPr="00FB4D24">
        <w:t xml:space="preserve">relies </w:t>
      </w:r>
      <w:r w:rsidR="00CB2D9C">
        <w:t xml:space="preserve">mostly </w:t>
      </w:r>
      <w:r w:rsidRPr="00FB4D24">
        <w:t>on a primary data collection exercise, as well as BBB management information</w:t>
      </w:r>
      <w:r w:rsidR="00CB2D9C">
        <w:t xml:space="preserve"> and interviews with lenders</w:t>
      </w:r>
      <w:r w:rsidRPr="00FB4D24">
        <w:t xml:space="preserve">. Survey fieldwork undertaken by </w:t>
      </w:r>
      <w:r w:rsidR="00BE4C3E" w:rsidRPr="00FB4D24">
        <w:t>Ipsos</w:t>
      </w:r>
      <w:r w:rsidRPr="00FB4D24">
        <w:t xml:space="preserve"> resulted in </w:t>
      </w:r>
      <w:r w:rsidR="006C0975" w:rsidRPr="00FB4D24">
        <w:t>478</w:t>
      </w:r>
      <w:r w:rsidRPr="00FB4D24">
        <w:t xml:space="preserve"> interviews. </w:t>
      </w:r>
      <w:r w:rsidR="006C0975" w:rsidRPr="00FB4D24">
        <w:t>This consists of</w:t>
      </w:r>
      <w:r w:rsidRPr="00FB4D24">
        <w:t xml:space="preserve"> </w:t>
      </w:r>
      <w:r w:rsidR="006C0975" w:rsidRPr="00FB4D24">
        <w:t>242 RLS 1.0 borrowers and 236 non-</w:t>
      </w:r>
      <w:r w:rsidR="00B4158C" w:rsidRPr="00FB4D24">
        <w:t>borrowers</w:t>
      </w:r>
      <w:r w:rsidR="006C0975" w:rsidRPr="00FB4D24">
        <w:t xml:space="preserve"> </w:t>
      </w:r>
      <w:r w:rsidRPr="00FB4D24">
        <w:t xml:space="preserve">– the latter set of </w:t>
      </w:r>
      <w:r w:rsidR="00F9315C" w:rsidRPr="00FB4D24">
        <w:t>businesse</w:t>
      </w:r>
      <w:r w:rsidRPr="00FB4D24">
        <w:t>s are referred to as the ‘control’ group. Non-</w:t>
      </w:r>
      <w:r w:rsidR="00B4158C" w:rsidRPr="00FB4D24">
        <w:t>borrowers</w:t>
      </w:r>
      <w:r w:rsidRPr="00FB4D24">
        <w:t xml:space="preserve"> </w:t>
      </w:r>
      <w:r w:rsidR="00FB4D24" w:rsidRPr="00FB4D24">
        <w:t>were</w:t>
      </w:r>
      <w:r w:rsidRPr="00FB4D24">
        <w:t xml:space="preserve"> selected to be similar to </w:t>
      </w:r>
      <w:r w:rsidR="00A47B6D" w:rsidRPr="00FB4D24">
        <w:t xml:space="preserve">borrowing </w:t>
      </w:r>
      <w:r w:rsidR="00F9315C" w:rsidRPr="00FB4D24">
        <w:t xml:space="preserve">businesses </w:t>
      </w:r>
      <w:r w:rsidRPr="00FB4D24">
        <w:t>in that they have all faced challenge</w:t>
      </w:r>
      <w:r w:rsidR="00B60FA5" w:rsidRPr="00FB4D24">
        <w:t>s</w:t>
      </w:r>
      <w:r w:rsidRPr="00FB4D24">
        <w:t xml:space="preserve"> or opportunities because of the </w:t>
      </w:r>
      <w:r w:rsidR="00B1180F" w:rsidRPr="00FB4D24">
        <w:t>Covid-19</w:t>
      </w:r>
      <w:r w:rsidRPr="00FB4D24">
        <w:t xml:space="preserve"> pandemic</w:t>
      </w:r>
      <w:r w:rsidR="00FB4D24" w:rsidRPr="00FB4D24">
        <w:t>.</w:t>
      </w:r>
      <w:r w:rsidRPr="00FB4D24">
        <w:t xml:space="preserve"> </w:t>
      </w:r>
      <w:r w:rsidR="00FB4D24" w:rsidRPr="00FB4D24">
        <w:t>This increases</w:t>
      </w:r>
      <w:r w:rsidRPr="00FB4D24">
        <w:t xml:space="preserve"> the likelihood that both groups of </w:t>
      </w:r>
      <w:r w:rsidR="00F9315C" w:rsidRPr="00FB4D24">
        <w:t xml:space="preserve">businesses </w:t>
      </w:r>
      <w:r w:rsidRPr="00FB4D24">
        <w:t>have faced similar financial and operational issues during the reference period of the evaluation.</w:t>
      </w:r>
      <w:r w:rsidR="009B1A8C" w:rsidRPr="00FB4D24">
        <w:rPr>
          <w:rStyle w:val="FootnoteReference"/>
        </w:rPr>
        <w:footnoteReference w:id="2"/>
      </w:r>
      <w:r w:rsidR="00623C6A">
        <w:t xml:space="preserve"> The impact evaluation covers the economic additionality of the scheme, product market displacement, the imp</w:t>
      </w:r>
      <w:r w:rsidR="008671D2">
        <w:t>a</w:t>
      </w:r>
      <w:r w:rsidR="00623C6A">
        <w:t xml:space="preserve">ct of lending on businesses and the lender response to scheme parameters. </w:t>
      </w:r>
    </w:p>
    <w:p w14:paraId="2B95DD80" w14:textId="04E7649F" w:rsidR="003B2EF1" w:rsidRDefault="003B2EF1" w:rsidP="00C31D26">
      <w:r>
        <w:t xml:space="preserve">The process evaluation research included a review of: </w:t>
      </w:r>
      <w:r w:rsidRPr="00C31D26">
        <w:t xml:space="preserve">Programme documentation </w:t>
      </w:r>
      <w:r w:rsidR="080BD523">
        <w:t>(</w:t>
      </w:r>
      <w:r w:rsidRPr="00C31D26">
        <w:t>for example</w:t>
      </w:r>
      <w:r>
        <w:t xml:space="preserve"> documentation describing how the schemes had been designed, scheme guidance etc.); Management Information (data around the scheme portfolio and lenders); </w:t>
      </w:r>
      <w:r w:rsidR="7EFE87FA">
        <w:t xml:space="preserve">and </w:t>
      </w:r>
      <w:r>
        <w:t xml:space="preserve">secondary datasets (for example ONS datasets, </w:t>
      </w:r>
      <w:r w:rsidR="00A10525">
        <w:t>BBB</w:t>
      </w:r>
      <w:r>
        <w:t>’s SME Finance survey, and Bank of England data presenting commercial lending interest rates). The review of information and data was supplemented with stakeholder consultations with individuals involved with the design and delivery of RLS</w:t>
      </w:r>
      <w:r w:rsidR="0D44A44D">
        <w:t xml:space="preserve"> </w:t>
      </w:r>
      <w:r>
        <w:t>1.0, and accredited lenders delivering the scheme.</w:t>
      </w:r>
      <w:r w:rsidR="000D6E30">
        <w:t xml:space="preserve"> A</w:t>
      </w:r>
      <w:r>
        <w:t xml:space="preserve"> </w:t>
      </w:r>
      <w:r w:rsidR="000D6E30">
        <w:t>descriptive analysis was used for the quantitative data collected, and the qualitative data was analysed thematically.</w:t>
      </w:r>
    </w:p>
    <w:p w14:paraId="6AB66CAF" w14:textId="77777777" w:rsidR="002D3852" w:rsidRDefault="002D3852" w:rsidP="002D3852">
      <w:pPr>
        <w:pStyle w:val="Heading2"/>
      </w:pPr>
      <w:bookmarkStart w:id="6" w:name="_Toc161327571"/>
      <w:r w:rsidRPr="00417E9E">
        <w:t>Key findings</w:t>
      </w:r>
      <w:bookmarkEnd w:id="6"/>
    </w:p>
    <w:p w14:paraId="4EC90139" w14:textId="5A4B3E1F" w:rsidR="003C5FCC" w:rsidRDefault="003C5FCC" w:rsidP="002D3852">
      <w:r>
        <w:t xml:space="preserve">This is the first evaluation of RLS 1.0, covering the impact of the scheme as well as the processes that were in place as part of the scheme. There will be a subsequent evaluation of RLS 1.0 that both explores the </w:t>
      </w:r>
      <w:r w:rsidR="000B2996">
        <w:t>medium- and long-term</w:t>
      </w:r>
      <w:r>
        <w:t xml:space="preserve"> impacts of RLS 1.0 while also making use of alternative data sources to add robustness to the findings.</w:t>
      </w:r>
      <w:r w:rsidR="000B2996">
        <w:t xml:space="preserve"> This section highlights some key findings of this initial evaluation. </w:t>
      </w:r>
    </w:p>
    <w:p w14:paraId="7342F0B7" w14:textId="6FBF6EA0" w:rsidR="00EE5F8C" w:rsidRDefault="4B39F88E" w:rsidP="02AC3778">
      <w:pPr>
        <w:rPr>
          <w:b/>
          <w:bCs/>
        </w:rPr>
      </w:pPr>
      <w:r w:rsidRPr="02AC3778">
        <w:rPr>
          <w:b/>
          <w:bCs/>
        </w:rPr>
        <w:t>Process evaluation</w:t>
      </w:r>
      <w:r w:rsidR="775D09F3" w:rsidRPr="02AC3778">
        <w:rPr>
          <w:b/>
          <w:bCs/>
        </w:rPr>
        <w:t xml:space="preserve"> key findings</w:t>
      </w:r>
    </w:p>
    <w:p w14:paraId="683BF038" w14:textId="495F61E8" w:rsidR="00424342" w:rsidRDefault="216FBBB1" w:rsidP="002E562D">
      <w:pPr>
        <w:pStyle w:val="ListBullet"/>
      </w:pPr>
      <w:r>
        <w:t xml:space="preserve">RLS 1.0 evolved from CBILS. The key changes were around the introduction of an additionality test, changes to the </w:t>
      </w:r>
      <w:r w:rsidR="152CFD2E">
        <w:t>Scheme Lender Fee</w:t>
      </w:r>
      <w:r>
        <w:t xml:space="preserve">, the removal of the </w:t>
      </w:r>
      <w:r w:rsidR="152CFD2E">
        <w:t>Business Interruption Payment (</w:t>
      </w:r>
      <w:r>
        <w:t>BIP</w:t>
      </w:r>
      <w:r w:rsidR="152CFD2E">
        <w:t>)</w:t>
      </w:r>
      <w:r>
        <w:t xml:space="preserve"> and changes made to the Undertaking in Difficulty test in Great Britain. However, there were also learnings taken from the delivery of CBILS around data collection and sharing which have supported the implementation of RLS 1.0, such as the clarity of data fields being asked for and a lack of duplicate requests from different Government stakeholders. These changes appear to have a positive impact on lenders</w:t>
      </w:r>
      <w:r w:rsidR="152CFD2E">
        <w:t>’</w:t>
      </w:r>
      <w:r>
        <w:t xml:space="preserve"> ability to deliver the scheme alongside commercial lending</w:t>
      </w:r>
      <w:r w:rsidR="56E2E04A">
        <w:t>.</w:t>
      </w:r>
      <w:r>
        <w:t xml:space="preserve"> </w:t>
      </w:r>
    </w:p>
    <w:p w14:paraId="1B33E33C" w14:textId="0563E0C4" w:rsidR="00700EB8" w:rsidRDefault="007755B5" w:rsidP="002E562D">
      <w:pPr>
        <w:pStyle w:val="ListBullet"/>
      </w:pPr>
      <w:r>
        <w:t>T</w:t>
      </w:r>
      <w:r w:rsidR="00700EB8">
        <w:t xml:space="preserve">he accreditation process for RLS 1.0 was much quicker than was the case for CBILS. Anecdotal evidence from interviews with accredited lenders suggested the process could be completed in under a month. A total of </w:t>
      </w:r>
      <w:r w:rsidR="37D3EC56">
        <w:t>84</w:t>
      </w:r>
      <w:r w:rsidR="00700EB8">
        <w:t xml:space="preserve"> lenders were accredited for RLS 1.0, which covered a variety of types of lenders.</w:t>
      </w:r>
    </w:p>
    <w:p w14:paraId="1AF7DD49" w14:textId="6A4F97F2" w:rsidR="00654B6E" w:rsidRPr="002E562D" w:rsidRDefault="2B3303AD" w:rsidP="002E562D">
      <w:pPr>
        <w:pStyle w:val="ListBullet"/>
      </w:pPr>
      <w:r>
        <w:t xml:space="preserve">RLS 1.0 provided </w:t>
      </w:r>
      <w:r w:rsidR="0E61C299">
        <w:t>just under £2.8bn</w:t>
      </w:r>
      <w:r>
        <w:t xml:space="preserve"> in guaranteed lending facilities to </w:t>
      </w:r>
      <w:r w:rsidR="000C52A3">
        <w:t>c.</w:t>
      </w:r>
      <w:r w:rsidR="14C858FD">
        <w:t>10,000</w:t>
      </w:r>
      <w:r>
        <w:t xml:space="preserve"> businesses. The scheme</w:t>
      </w:r>
      <w:r w:rsidR="009D761B">
        <w:t xml:space="preserve">, as was originally intended, has not provided facilities to a large proportion of </w:t>
      </w:r>
      <w:r>
        <w:t xml:space="preserve">the UK economy, with 0.2% of businesses in the UK using RLS 1.0. Some of the sectors which were more impacted by restrictions remaining in place and the aftereffects of restrictions in 2020, for example retail and accommodation and food, had slightly higher proportions of businesses being supported. </w:t>
      </w:r>
    </w:p>
    <w:p w14:paraId="0EFA5629" w14:textId="7080D6E1" w:rsidR="00EE5F8C" w:rsidRDefault="03C57F75" w:rsidP="02AC3778">
      <w:pPr>
        <w:rPr>
          <w:b/>
          <w:bCs/>
        </w:rPr>
      </w:pPr>
      <w:r w:rsidRPr="02AC3778">
        <w:rPr>
          <w:b/>
          <w:bCs/>
        </w:rPr>
        <w:t>I</w:t>
      </w:r>
      <w:r w:rsidR="4B39F88E" w:rsidRPr="02AC3778">
        <w:rPr>
          <w:b/>
          <w:bCs/>
        </w:rPr>
        <w:t>mpact evaluation</w:t>
      </w:r>
      <w:r w:rsidR="51902491" w:rsidRPr="02AC3778">
        <w:rPr>
          <w:b/>
          <w:bCs/>
        </w:rPr>
        <w:t xml:space="preserve"> key findings</w:t>
      </w:r>
    </w:p>
    <w:p w14:paraId="5EC12979" w14:textId="68CD0987" w:rsidR="000B2996" w:rsidRDefault="0086287B" w:rsidP="003C5FCC">
      <w:pPr>
        <w:pStyle w:val="ListBullet"/>
      </w:pPr>
      <w:r>
        <w:t xml:space="preserve">RLS 1.0 was found to have a positive impact on borrowers’ turnover, with econometric analysis estimating that RLS 1.0 borrowers had 17% higher turnover than they would have had without the scheme. </w:t>
      </w:r>
    </w:p>
    <w:p w14:paraId="0380BA21" w14:textId="40C58779" w:rsidR="0086287B" w:rsidRDefault="0086287B" w:rsidP="0086287B">
      <w:pPr>
        <w:pStyle w:val="ListBullet"/>
      </w:pPr>
      <w:r>
        <w:t>RLS 1.0 borrowers reported that the scheme was important for their survival, with 12% of surviving RLS 1.0 borrowers reporting that they definitely would have ceased trading and a further 47% saying they would have been very or fairly likely to have ceased trading if not for the scheme.</w:t>
      </w:r>
    </w:p>
    <w:p w14:paraId="0F2CF8B9" w14:textId="59C4F02B" w:rsidR="00654B6E" w:rsidRDefault="000B2996" w:rsidP="000056E7">
      <w:pPr>
        <w:pStyle w:val="ListBullet"/>
      </w:pPr>
      <w:r>
        <w:t xml:space="preserve">The most common use of the finance extended under RLS 1.0 was for </w:t>
      </w:r>
      <w:r w:rsidR="00E850B0">
        <w:t>day-to-day</w:t>
      </w:r>
      <w:r>
        <w:t xml:space="preserve"> expenses and purchasing goods and materials, however</w:t>
      </w:r>
      <w:r w:rsidR="00E850B0">
        <w:t>,</w:t>
      </w:r>
      <w:r>
        <w:t xml:space="preserve"> there is also evidence to suggest that finance under RLS 1.0 enabled borrowers to undertake innovative activities such as developing new products and processes as well as R&amp;D and reducing carbon emissions.</w:t>
      </w:r>
    </w:p>
    <w:p w14:paraId="6FA943B1" w14:textId="3AF9FCB5" w:rsidR="0086287B" w:rsidRPr="0086287B" w:rsidRDefault="4DEDBB24" w:rsidP="002E562D">
      <w:pPr>
        <w:pStyle w:val="ListBullet"/>
      </w:pPr>
      <w:r>
        <w:t>The vast majority of finance extended under RLS 1.0 would not have been provided without the scheme, as it is estimated that 83% of loans under RLS 1.0 were</w:t>
      </w:r>
      <w:r w:rsidR="00C236F3">
        <w:t xml:space="preserve"> economically</w:t>
      </w:r>
      <w:r>
        <w:t xml:space="preserve"> ‘additional’. </w:t>
      </w:r>
    </w:p>
    <w:p w14:paraId="00CF3E6A" w14:textId="2972F9CF" w:rsidR="002D3852" w:rsidRDefault="002D3852" w:rsidP="002D3852">
      <w:pPr>
        <w:pStyle w:val="Heading2"/>
      </w:pPr>
      <w:bookmarkStart w:id="7" w:name="_Toc161327572"/>
      <w:bookmarkStart w:id="8" w:name="_Toc95135250"/>
      <w:r>
        <w:t>Process evaluation</w:t>
      </w:r>
      <w:bookmarkEnd w:id="7"/>
    </w:p>
    <w:bookmarkEnd w:id="8"/>
    <w:p w14:paraId="08EDE42F" w14:textId="1F1445B3" w:rsidR="00301613" w:rsidRDefault="48A9273F" w:rsidP="003B2EF1">
      <w:r>
        <w:t xml:space="preserve">The activities used to deliver RLS 1.0 evolved from the delivery of CBILS. The broad framework for delivery was the same as for CBILS, however, the objectives and design of the scheme were altered in light of feedback from lenders, policy stakeholder reviews and key lessons learned from the delivery of CBILS. The key changes were around the introduction of an additionality test, changes to the </w:t>
      </w:r>
      <w:r w:rsidR="00F8069D" w:rsidRPr="00DA3395">
        <w:t>Scheme Lender Fee</w:t>
      </w:r>
      <w:r>
        <w:t xml:space="preserve">, the removal of the Business Interruption Payment (BIP) and changes made to the undertaking in difficulty test.  </w:t>
      </w:r>
    </w:p>
    <w:p w14:paraId="29579F5D" w14:textId="68158639" w:rsidR="00301613" w:rsidRDefault="48A9273F" w:rsidP="003B2EF1">
      <w:r>
        <w:t>The changes made to the scheme design appear to have had a positive impact on lenders’ ability to deliver the scheme alongside commercial lending</w:t>
      </w:r>
      <w:r w:rsidR="00F8069D">
        <w:t>.</w:t>
      </w:r>
      <w:r>
        <w:t xml:space="preserve">  </w:t>
      </w:r>
      <w:r w:rsidR="00F8069D">
        <w:t>A</w:t>
      </w:r>
      <w:r>
        <w:t xml:space="preserve"> majority of lenders interviewed have only offered facilities through the scheme to businesses described as being “on the cusp” of being able to access commercial finance (those that nearly met their criteria for commercial lending but would have been rejected in the absence of </w:t>
      </w:r>
      <w:r w:rsidR="00C236F3">
        <w:t>RLS 1.0</w:t>
      </w:r>
      <w:r>
        <w:t xml:space="preserve">). </w:t>
      </w:r>
      <w:r w:rsidR="00F8069D">
        <w:t xml:space="preserve">This suggests that the lending has been additional. </w:t>
      </w:r>
      <w:r w:rsidR="00356C04">
        <w:t>E</w:t>
      </w:r>
      <w:r>
        <w:t xml:space="preserve">conomic conditions, </w:t>
      </w:r>
      <w:r w:rsidR="00356C04">
        <w:t xml:space="preserve">however, have </w:t>
      </w:r>
      <w:r>
        <w:t>meant that the scale of the scheme (at around £2</w:t>
      </w:r>
      <w:r w:rsidR="385EEE38">
        <w:t>.8</w:t>
      </w:r>
      <w:r>
        <w:t xml:space="preserve">bn in lending) was significantly lower than CBILS and initial estimates of the scale of the intervention. </w:t>
      </w:r>
    </w:p>
    <w:p w14:paraId="218986C8" w14:textId="4B0CDC55" w:rsidR="00301613" w:rsidRDefault="00301613" w:rsidP="003B2EF1">
      <w:r>
        <w:t xml:space="preserve">The risks of fraud were considered to be low during the scheme design phase, especially when compared to the risks associated with BBLS. The research did not find any evidence that this assessment was inaccurate, as lenders were </w:t>
      </w:r>
      <w:r w:rsidR="358856B3">
        <w:t xml:space="preserve">obliged </w:t>
      </w:r>
      <w:r>
        <w:t>to undertake BAU checks on borrowers, and no fraud risks that were not in the original business case were highlighted by lenders or stakeholders.</w:t>
      </w:r>
    </w:p>
    <w:p w14:paraId="3AC40A13" w14:textId="5523668B" w:rsidR="00700EB8" w:rsidRDefault="2B3303AD" w:rsidP="00700EB8">
      <w:r>
        <w:t xml:space="preserve">The accreditation process for RLS 1.0 was much quicker than was the case for CBILS. Anecdotal evidence from the interviews with accredited lenders suggested the process could be completed in under a month. This was because of the reduced time required to collect information for the lenders, the existing knowledge of CBILS accredited lenders about what information was required to become an accredited lender, and the skills and capacity </w:t>
      </w:r>
      <w:r w:rsidR="06FFE734">
        <w:t xml:space="preserve">of </w:t>
      </w:r>
      <w:r>
        <w:t xml:space="preserve">BBB staff meaning they could address the volume of applications received. A total of </w:t>
      </w:r>
      <w:r w:rsidR="2F561BB7">
        <w:t>84</w:t>
      </w:r>
      <w:r>
        <w:t xml:space="preserve"> lenders were accredited for RLS 1.0, which covered a variety of types of lenders.</w:t>
      </w:r>
    </w:p>
    <w:p w14:paraId="0DC347C8" w14:textId="2098F381" w:rsidR="00700EB8" w:rsidRDefault="2B3303AD" w:rsidP="00700EB8">
      <w:r>
        <w:t xml:space="preserve">RLS 1.0 provided </w:t>
      </w:r>
      <w:r w:rsidR="5BD518F6">
        <w:t>just under £2.8bn</w:t>
      </w:r>
      <w:r>
        <w:t xml:space="preserve"> in guaranteed lending facilities to </w:t>
      </w:r>
      <w:r w:rsidR="55D4BC72">
        <w:t>c.</w:t>
      </w:r>
      <w:r w:rsidR="3B278B8F">
        <w:t>10,000</w:t>
      </w:r>
      <w:r>
        <w:t xml:space="preserve"> businesses. The scheme</w:t>
      </w:r>
      <w:r w:rsidR="009D761B">
        <w:t>, as was originally intended, has not provided facilities to a large proportion of the</w:t>
      </w:r>
      <w:r>
        <w:t xml:space="preserve"> UK economy, with 0.2% of businesses in the UK using RLS 1.0. There was a relatively even distribution of businesses supported across the UK, with between 0.1% and 0.2% of businesses supported in all areas of the UK. Some of the sectors which were more impacted by restrictions remaining in place and the aftereffects of restrictions in 2020, for example retail and accommodation and food, had slightly higher proportions of businesses being supported. This indicates that RLS 1.0 did help to fill a finance gap for businesses in those affected sectors that could not access commercial finance.</w:t>
      </w:r>
    </w:p>
    <w:p w14:paraId="2991D307" w14:textId="7D98D4F6" w:rsidR="00301613" w:rsidRDefault="00301613">
      <w:r>
        <w:t xml:space="preserve">The data collection processes appear to have learnt lessons from the delivery of CBILS, with no significant issues being reported in the provision and assessment of data. The scale of lending has contributed to lenders being able to provide data without significant challenges, but </w:t>
      </w:r>
      <w:r w:rsidR="00FF4E96">
        <w:t xml:space="preserve">BBB have also </w:t>
      </w:r>
      <w:r>
        <w:t>learned lessons from the previous lending schemes around how data is requested and transferred to their portal, meaning the process now appears to be more efficient for RLS 1.0.</w:t>
      </w:r>
    </w:p>
    <w:p w14:paraId="5F5863C0" w14:textId="119426F5" w:rsidR="00940A1A" w:rsidRDefault="00654B6E" w:rsidP="00940A1A">
      <w:pPr>
        <w:pStyle w:val="Heading2"/>
      </w:pPr>
      <w:bookmarkStart w:id="9" w:name="_Toc161327573"/>
      <w:r w:rsidRPr="00654B6E">
        <w:t>Impact</w:t>
      </w:r>
      <w:r w:rsidR="00940A1A" w:rsidRPr="00654B6E">
        <w:t xml:space="preserve"> evaluation</w:t>
      </w:r>
      <w:bookmarkEnd w:id="9"/>
    </w:p>
    <w:p w14:paraId="01302D35" w14:textId="7AD85A59" w:rsidR="00FE7E63" w:rsidRPr="00654B6E" w:rsidRDefault="007F1934" w:rsidP="00DF58BC">
      <w:pPr>
        <w:spacing w:after="240"/>
      </w:pPr>
      <w:r w:rsidRPr="00654B6E">
        <w:t xml:space="preserve">The impact evaluation is an early assessment of the </w:t>
      </w:r>
      <w:r w:rsidR="00654B6E" w:rsidRPr="00654B6E">
        <w:t>impact of RLS 1.0</w:t>
      </w:r>
      <w:r w:rsidRPr="00654B6E">
        <w:t xml:space="preserve">. </w:t>
      </w:r>
      <w:r w:rsidR="00654B6E" w:rsidRPr="00654B6E">
        <w:t xml:space="preserve">It covers the use of finance obtained under the scheme as well as the impact of that finance on survival, turnover and employment. It also assesses whether RLS 1.0 borrowers could have obtained finance without the scheme (additionality) and the extent to which activity undertaken by RLS 1.0 borrowers could have been carried out by other firms (displacement). </w:t>
      </w:r>
      <w:r w:rsidR="007559B1">
        <w:t>Finally, it</w:t>
      </w:r>
      <w:r w:rsidR="00654B6E" w:rsidRPr="00654B6E">
        <w:t xml:space="preserve"> considers </w:t>
      </w:r>
      <w:r w:rsidR="0053408A">
        <w:t>how RLS 1.0 scheme parameters may have impacted the amount of finance provided under the scheme</w:t>
      </w:r>
      <w:r w:rsidR="00654B6E" w:rsidRPr="00654B6E">
        <w:t xml:space="preserve">.  </w:t>
      </w:r>
    </w:p>
    <w:p w14:paraId="031C9E79" w14:textId="433D9EB5" w:rsidR="00FF4E96" w:rsidRDefault="00FF4E96" w:rsidP="002E562D">
      <w:pPr>
        <w:pStyle w:val="Heading3"/>
      </w:pPr>
      <w:r w:rsidRPr="00F027A1">
        <w:t>Impact of the Covid-19 pandemic on borrowers</w:t>
      </w:r>
    </w:p>
    <w:p w14:paraId="7C1DA057" w14:textId="7756F271" w:rsidR="00F027A1" w:rsidRPr="00F027A1" w:rsidRDefault="192B461C" w:rsidP="00940A1A">
      <w:r>
        <w:t xml:space="preserve">To provide some context to </w:t>
      </w:r>
      <w:r w:rsidR="00C236F3">
        <w:t xml:space="preserve">the </w:t>
      </w:r>
      <w:r w:rsidR="48161560">
        <w:t>RLS 1.0</w:t>
      </w:r>
      <w:r w:rsidR="7C6CE436">
        <w:t xml:space="preserve"> </w:t>
      </w:r>
      <w:r>
        <w:t>impact assessment, th</w:t>
      </w:r>
      <w:r w:rsidR="5220F0B4">
        <w:t>is</w:t>
      </w:r>
      <w:r>
        <w:t xml:space="preserve"> </w:t>
      </w:r>
      <w:r w:rsidR="5220F0B4">
        <w:t>report</w:t>
      </w:r>
      <w:r>
        <w:t xml:space="preserve"> investigate</w:t>
      </w:r>
      <w:r w:rsidR="5220F0B4">
        <w:t>s</w:t>
      </w:r>
      <w:r>
        <w:t xml:space="preserve"> the impact of the pandemic on both </w:t>
      </w:r>
      <w:r w:rsidR="06AFE2E3">
        <w:t>borrowers</w:t>
      </w:r>
      <w:r>
        <w:t xml:space="preserve"> and non-</w:t>
      </w:r>
      <w:r w:rsidR="06AFE2E3">
        <w:t>borrowers</w:t>
      </w:r>
      <w:r>
        <w:t xml:space="preserve">. </w:t>
      </w:r>
      <w:r w:rsidR="48161560">
        <w:t>62% of borrowers reported that changing market demand was a major obstacle</w:t>
      </w:r>
      <w:r w:rsidR="03C57F75">
        <w:t xml:space="preserve"> to the operation of their business during the pandemic</w:t>
      </w:r>
      <w:r w:rsidR="48161560">
        <w:t>. Furthermore, almost half of borrowers reported that supply chain disruption, changes for Covid</w:t>
      </w:r>
      <w:r w:rsidR="322A96C0">
        <w:t>-19</w:t>
      </w:r>
      <w:r w:rsidR="48161560">
        <w:t xml:space="preserve"> compliance and increased debt levels were a major obstacle to their operations. </w:t>
      </w:r>
    </w:p>
    <w:p w14:paraId="0391947F" w14:textId="2A14532A" w:rsidR="00940A1A" w:rsidRPr="00F027A1" w:rsidRDefault="00940A1A" w:rsidP="00940A1A">
      <w:r w:rsidRPr="00F027A1">
        <w:t>Th</w:t>
      </w:r>
      <w:r w:rsidR="00F06FE3" w:rsidRPr="00F027A1">
        <w:t>ese obstacles may have contributed to borrowers’ decision to</w:t>
      </w:r>
      <w:r w:rsidR="004515E2" w:rsidRPr="00F027A1">
        <w:t xml:space="preserve"> </w:t>
      </w:r>
      <w:r w:rsidR="005E2471" w:rsidRPr="00F027A1">
        <w:t>seek</w:t>
      </w:r>
      <w:r w:rsidR="00E61A46" w:rsidRPr="00F027A1">
        <w:t xml:space="preserve"> </w:t>
      </w:r>
      <w:r w:rsidR="00F027A1" w:rsidRPr="00F027A1">
        <w:t>finance under RLS 1.0</w:t>
      </w:r>
      <w:r w:rsidR="00E61A46" w:rsidRPr="00F027A1">
        <w:t>.</w:t>
      </w:r>
      <w:r w:rsidR="00F06FE3" w:rsidRPr="00F027A1">
        <w:t xml:space="preserve"> </w:t>
      </w:r>
      <w:r w:rsidR="00F027A1" w:rsidRPr="00F027A1">
        <w:t xml:space="preserve">Finance under RLS 1.0 was often used </w:t>
      </w:r>
      <w:r w:rsidR="00832A6F">
        <w:t>to supplement</w:t>
      </w:r>
      <w:r w:rsidR="00F027A1" w:rsidRPr="00F027A1">
        <w:t xml:space="preserve"> other kinds of business support</w:t>
      </w:r>
      <w:r w:rsidR="00A60435">
        <w:t xml:space="preserve"> accessed earlier</w:t>
      </w:r>
      <w:r w:rsidR="00F027A1" w:rsidRPr="00F027A1">
        <w:t>, in particular the Covid-19 Loan Guarantee Schemes (used by 84% of borrowers</w:t>
      </w:r>
      <w:r w:rsidR="00832A6F">
        <w:t xml:space="preserve"> and which closed prior to the launch of RLS 1.0</w:t>
      </w:r>
      <w:r w:rsidR="00F027A1" w:rsidRPr="00F027A1">
        <w:t xml:space="preserve">) and the </w:t>
      </w:r>
      <w:r w:rsidRPr="00F027A1">
        <w:t xml:space="preserve">Coronavirus Job </w:t>
      </w:r>
      <w:r w:rsidR="007866D9" w:rsidRPr="00F027A1">
        <w:t>Retention</w:t>
      </w:r>
      <w:r w:rsidRPr="00F027A1">
        <w:t xml:space="preserve"> Scheme</w:t>
      </w:r>
      <w:r w:rsidR="00524481" w:rsidRPr="00F027A1">
        <w:t xml:space="preserve"> </w:t>
      </w:r>
      <w:r w:rsidR="005718C3" w:rsidRPr="00F027A1">
        <w:t>(CJRS)</w:t>
      </w:r>
      <w:r w:rsidR="00F027A1" w:rsidRPr="00F027A1">
        <w:t>, which was used by 69% of borrowers</w:t>
      </w:r>
      <w:r w:rsidR="00D6659D" w:rsidRPr="00F027A1">
        <w:t>.</w:t>
      </w:r>
      <w:r w:rsidR="00391331" w:rsidRPr="00F027A1">
        <w:t xml:space="preserve"> </w:t>
      </w:r>
    </w:p>
    <w:p w14:paraId="276E8EEA" w14:textId="23CEADA0" w:rsidR="00FF4E96" w:rsidRDefault="00FF4E96" w:rsidP="002E562D">
      <w:pPr>
        <w:pStyle w:val="Heading3"/>
      </w:pPr>
      <w:r w:rsidRPr="00F027A1">
        <w:t>Impact of lending on businesses</w:t>
      </w:r>
    </w:p>
    <w:p w14:paraId="371E13D8" w14:textId="43738F6B" w:rsidR="00940A1A" w:rsidRPr="00974FE8" w:rsidRDefault="00DF59F9" w:rsidP="00940A1A">
      <w:pPr>
        <w:pStyle w:val="Heading4"/>
      </w:pPr>
      <w:r w:rsidRPr="00974FE8">
        <w:t>B</w:t>
      </w:r>
      <w:r w:rsidR="00B4158C" w:rsidRPr="00974FE8">
        <w:t>orrowers</w:t>
      </w:r>
      <w:r w:rsidR="00940A1A" w:rsidRPr="00974FE8">
        <w:t xml:space="preserve">’ use of the funds </w:t>
      </w:r>
    </w:p>
    <w:p w14:paraId="17EC296D" w14:textId="55A593B2" w:rsidR="00940A1A" w:rsidRPr="00974FE8" w:rsidRDefault="00974FE8" w:rsidP="00940A1A">
      <w:r w:rsidRPr="00974FE8">
        <w:t xml:space="preserve">Borrowers reported that they used their finance obtained under RLS 1.0 for a wide range of different purposes. </w:t>
      </w:r>
      <w:r w:rsidR="00940A1A" w:rsidRPr="00974FE8">
        <w:t>The most common use</w:t>
      </w:r>
      <w:r w:rsidR="00026663" w:rsidRPr="00974FE8">
        <w:t>s</w:t>
      </w:r>
      <w:r w:rsidR="00940A1A" w:rsidRPr="00974FE8">
        <w:t xml:space="preserve"> of the funds </w:t>
      </w:r>
      <w:r w:rsidR="00026663" w:rsidRPr="00974FE8">
        <w:t xml:space="preserve">were </w:t>
      </w:r>
      <w:r w:rsidRPr="00974FE8">
        <w:t>day</w:t>
      </w:r>
      <w:r w:rsidR="00094636">
        <w:t>-</w:t>
      </w:r>
      <w:r w:rsidRPr="00974FE8">
        <w:t>to</w:t>
      </w:r>
      <w:r w:rsidR="00094636">
        <w:t>-</w:t>
      </w:r>
      <w:r w:rsidRPr="00974FE8">
        <w:t>day expenses</w:t>
      </w:r>
      <w:r w:rsidR="00026663" w:rsidRPr="00974FE8">
        <w:t xml:space="preserve"> (reported by </w:t>
      </w:r>
      <w:r w:rsidRPr="00974FE8">
        <w:t>62% of borrowers</w:t>
      </w:r>
      <w:r w:rsidR="00026663" w:rsidRPr="00974FE8">
        <w:t>)</w:t>
      </w:r>
      <w:r w:rsidRPr="00974FE8">
        <w:t>, the purchase of materials and/or goods (34%) and paying staff salaries (24%)</w:t>
      </w:r>
      <w:r w:rsidR="00940A1A" w:rsidRPr="00974FE8">
        <w:t>.</w:t>
      </w:r>
      <w:r w:rsidRPr="00974FE8">
        <w:t xml:space="preserve"> Borrowers were also asked what their ‘main’ use of the finance was, and again day</w:t>
      </w:r>
      <w:r w:rsidR="00094636">
        <w:t>-</w:t>
      </w:r>
      <w:r w:rsidRPr="00974FE8">
        <w:t>to</w:t>
      </w:r>
      <w:r w:rsidR="00094636">
        <w:t>-</w:t>
      </w:r>
      <w:r w:rsidRPr="00974FE8">
        <w:t>day expenses (43%), purchase of materials and/or goods (17%) and paying staff salaries (9%) were the most cited reasons.</w:t>
      </w:r>
      <w:r w:rsidR="00940A1A" w:rsidRPr="00974FE8">
        <w:t xml:space="preserve"> This suggests that </w:t>
      </w:r>
      <w:r w:rsidRPr="00974FE8">
        <w:t>RLS 1.0</w:t>
      </w:r>
      <w:r w:rsidR="00940A1A" w:rsidRPr="00974FE8">
        <w:t xml:space="preserve"> may, in some cases, have been </w:t>
      </w:r>
      <w:r w:rsidRPr="00974FE8">
        <w:t xml:space="preserve">vitally important </w:t>
      </w:r>
      <w:r w:rsidR="00940A1A" w:rsidRPr="00974FE8">
        <w:t xml:space="preserve">in enabling businesses to remain operational </w:t>
      </w:r>
      <w:r w:rsidRPr="00974FE8">
        <w:t>through the pandemic</w:t>
      </w:r>
      <w:r w:rsidR="00940A1A" w:rsidRPr="00974FE8">
        <w:t>, and consistent with the</w:t>
      </w:r>
      <w:r w:rsidR="00A1415E" w:rsidRPr="00974FE8">
        <w:t xml:space="preserve"> </w:t>
      </w:r>
      <w:r w:rsidR="00940A1A" w:rsidRPr="00974FE8">
        <w:t xml:space="preserve">estimated impact </w:t>
      </w:r>
      <w:r w:rsidRPr="00974FE8">
        <w:t xml:space="preserve">of receiving finance under RLS 1.0 </w:t>
      </w:r>
      <w:r w:rsidR="00940A1A" w:rsidRPr="00974FE8">
        <w:t>on business survival</w:t>
      </w:r>
      <w:r>
        <w:t>, discussed in the next section.</w:t>
      </w:r>
    </w:p>
    <w:p w14:paraId="59FDF9E9" w14:textId="77777777" w:rsidR="00940A1A" w:rsidRPr="007559B1" w:rsidRDefault="00940A1A" w:rsidP="00940A1A">
      <w:pPr>
        <w:pStyle w:val="Heading4"/>
      </w:pPr>
      <w:r w:rsidRPr="007559B1">
        <w:t xml:space="preserve">Impacts on business survival </w:t>
      </w:r>
    </w:p>
    <w:p w14:paraId="345B07E6" w14:textId="69BA9403" w:rsidR="007559B1" w:rsidRDefault="007559B1" w:rsidP="00940A1A">
      <w:r>
        <w:t>The analysis suggests that 12%</w:t>
      </w:r>
      <w:r w:rsidR="00803390">
        <w:t xml:space="preserve"> </w:t>
      </w:r>
      <w:r>
        <w:t xml:space="preserve">of surviving RLS 1.0 borrowers would have </w:t>
      </w:r>
      <w:r w:rsidR="00803390">
        <w:t xml:space="preserve">definitely </w:t>
      </w:r>
      <w:r>
        <w:t>ceased trading without the finance they received under RLS 1.0</w:t>
      </w:r>
      <w:r w:rsidR="00803390">
        <w:t>, and a further 47% would have been very or fairly likely to have ceased trading</w:t>
      </w:r>
      <w:r w:rsidR="00276FCD">
        <w:t xml:space="preserve"> (</w:t>
      </w:r>
      <w:r>
        <w:fldChar w:fldCharType="begin"/>
      </w:r>
      <w:r>
        <w:instrText xml:space="preserve"> REF _Ref152245821 \h </w:instrText>
      </w:r>
      <w:r>
        <w:fldChar w:fldCharType="separate"/>
      </w:r>
      <w:r w:rsidR="001525E9" w:rsidRPr="00AF7606">
        <w:t xml:space="preserve">Figure </w:t>
      </w:r>
      <w:r w:rsidR="001525E9">
        <w:rPr>
          <w:noProof/>
        </w:rPr>
        <w:t>1</w:t>
      </w:r>
      <w:r>
        <w:fldChar w:fldCharType="end"/>
      </w:r>
      <w:r w:rsidR="00276FCD">
        <w:t>)</w:t>
      </w:r>
      <w:r>
        <w:t xml:space="preserve">. </w:t>
      </w:r>
    </w:p>
    <w:p w14:paraId="462C5FE8" w14:textId="163F3C41" w:rsidR="00276FCD" w:rsidRPr="00237000" w:rsidRDefault="00276FCD" w:rsidP="00276FCD">
      <w:pPr>
        <w:pStyle w:val="Heading5"/>
      </w:pPr>
      <w:bookmarkStart w:id="10" w:name="_Ref152245821"/>
      <w:r w:rsidRPr="00AF7606">
        <w:t xml:space="preserve">Figure </w:t>
      </w:r>
      <w:r>
        <w:fldChar w:fldCharType="begin"/>
      </w:r>
      <w:r>
        <w:instrText xml:space="preserve"> SEQ Figure \* ARABIC </w:instrText>
      </w:r>
      <w:r>
        <w:fldChar w:fldCharType="separate"/>
      </w:r>
      <w:r w:rsidR="001525E9">
        <w:rPr>
          <w:noProof/>
        </w:rPr>
        <w:t>1</w:t>
      </w:r>
      <w:r>
        <w:rPr>
          <w:noProof/>
        </w:rPr>
        <w:fldChar w:fldCharType="end"/>
      </w:r>
      <w:bookmarkEnd w:id="10"/>
      <w:r w:rsidRPr="00AF7606">
        <w:t xml:space="preserve">: </w:t>
      </w:r>
      <w:r w:rsidR="00E13C85">
        <w:t>Self-reported impact of finance under RLS 1.0 in preventing business closure</w:t>
      </w:r>
    </w:p>
    <w:p w14:paraId="4B7A7506" w14:textId="32DF5548" w:rsidR="00276FCD" w:rsidRPr="002B18A5" w:rsidRDefault="001B7D43" w:rsidP="00276FCD">
      <w:pPr>
        <w:pStyle w:val="Caption"/>
        <w:rPr>
          <w:b/>
          <w:bCs/>
        </w:rPr>
      </w:pPr>
      <w:r>
        <w:rPr>
          <w:noProof/>
        </w:rPr>
        <w:drawing>
          <wp:inline distT="0" distB="0" distL="0" distR="0" wp14:anchorId="32DF9C23" wp14:editId="7877D449">
            <wp:extent cx="6124575" cy="3821157"/>
            <wp:effectExtent l="0" t="0" r="0" b="8255"/>
            <wp:docPr id="336599801" name="Picture 1" descr="This figure shows the self-reported impact of finance under RLS 1.0 in preventing business closure. 12% of RLS 1.0 borrowers surveyed indicated that they definitely would have closed without their loan, and 59% said they definitely would have closed or would have been very or fairly likely to have closed without their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99801" name="Picture 1" descr="This figure shows the self-reported impact of finance under RLS 1.0 in preventing business closure. 12% of RLS 1.0 borrowers surveyed indicated that they definitely would have closed without their loan, and 59% said they definitely would have closed or would have been very or fairly likely to have closed without their lo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5474" cy="3827957"/>
                    </a:xfrm>
                    <a:prstGeom prst="rect">
                      <a:avLst/>
                    </a:prstGeom>
                    <a:noFill/>
                  </pic:spPr>
                </pic:pic>
              </a:graphicData>
            </a:graphic>
          </wp:inline>
        </w:drawing>
      </w:r>
      <w:r w:rsidR="00276FCD" w:rsidRPr="00211470">
        <w:t>Source: London Economics’ and Ipsos’ analysis of survey data</w:t>
      </w:r>
      <w:r w:rsidR="00276FCD">
        <w:t xml:space="preserve">. </w:t>
      </w:r>
      <w:r w:rsidR="00276FCD" w:rsidRPr="00D0457A">
        <w:t xml:space="preserve">Base: All RLS </w:t>
      </w:r>
      <w:r w:rsidR="00276FCD">
        <w:t xml:space="preserve">1.0 </w:t>
      </w:r>
      <w:r w:rsidR="00276FCD" w:rsidRPr="00D0457A">
        <w:t>borrowers (242)</w:t>
      </w:r>
      <w:r w:rsidR="00276FCD">
        <w:t>.</w:t>
      </w:r>
    </w:p>
    <w:p w14:paraId="6DAC5A7C" w14:textId="2B73FD33" w:rsidR="00F81A66" w:rsidRPr="007559B1" w:rsidRDefault="00322C70" w:rsidP="00940A1A">
      <w:r w:rsidRPr="007559B1">
        <w:t xml:space="preserve">It should be noted that impacts of </w:t>
      </w:r>
      <w:r w:rsidR="007559B1" w:rsidRPr="007559B1">
        <w:t>RLS 1.0</w:t>
      </w:r>
      <w:r w:rsidRPr="007559B1">
        <w:t xml:space="preserve"> on survival are based on businesses’ own self-assessment of their survival prospects using survey data that asked businesses </w:t>
      </w:r>
      <w:r w:rsidR="001851D1" w:rsidRPr="007559B1">
        <w:t>how likely they would have been to permanently close</w:t>
      </w:r>
      <w:r w:rsidRPr="007559B1">
        <w:t xml:space="preserve"> had </w:t>
      </w:r>
      <w:r w:rsidR="001851D1" w:rsidRPr="007559B1">
        <w:t xml:space="preserve">they </w:t>
      </w:r>
      <w:r w:rsidRPr="007559B1">
        <w:t xml:space="preserve">not accessed </w:t>
      </w:r>
      <w:r w:rsidR="007559B1" w:rsidRPr="007559B1">
        <w:t>finance under RLS 1.0</w:t>
      </w:r>
      <w:r w:rsidRPr="007559B1">
        <w:t xml:space="preserve">. </w:t>
      </w:r>
      <w:r w:rsidR="00803390">
        <w:t>As such</w:t>
      </w:r>
      <w:r w:rsidR="00790549">
        <w:t>,</w:t>
      </w:r>
      <w:r w:rsidR="00803390">
        <w:t xml:space="preserve"> the impacts should be separate from the survival impact of other schemes that borrowers may have participated in, but</w:t>
      </w:r>
      <w:r w:rsidR="00790549">
        <w:t xml:space="preserve"> other evaluations have found that estimates of business survival impacts can be higher when using self-reported data than when using secondary data.</w:t>
      </w:r>
      <w:r w:rsidR="00790549">
        <w:rPr>
          <w:rStyle w:val="FootnoteReference"/>
        </w:rPr>
        <w:footnoteReference w:id="3"/>
      </w:r>
      <w:r w:rsidR="00790549">
        <w:t xml:space="preserve"> </w:t>
      </w:r>
    </w:p>
    <w:p w14:paraId="1345043F" w14:textId="0D011DBE" w:rsidR="007559B1" w:rsidRPr="007559B1" w:rsidRDefault="0E2BA6A8" w:rsidP="00940A1A">
      <w:r>
        <w:t xml:space="preserve">The analysis also explored whether there is any variation in survival impacts according to sector or region. </w:t>
      </w:r>
      <w:r w:rsidR="3C12075C">
        <w:t xml:space="preserve">There was only </w:t>
      </w:r>
      <w:r w:rsidR="6D4B6949">
        <w:t xml:space="preserve">a </w:t>
      </w:r>
      <w:r>
        <w:t>small</w:t>
      </w:r>
      <w:r w:rsidR="3C12075C">
        <w:t xml:space="preserve"> variation in the self-reported survival impacts of the schemes across sectors, however</w:t>
      </w:r>
      <w:r w:rsidR="0045581D">
        <w:t>,</w:t>
      </w:r>
      <w:r w:rsidR="3C12075C">
        <w:t xml:space="preserve"> borrowers in London were more likely to report that RLS 1.0 played an important role in enabling their survival than borrowers in other regions. </w:t>
      </w:r>
    </w:p>
    <w:p w14:paraId="20E43A16" w14:textId="77777777" w:rsidR="00940A1A" w:rsidRPr="00790549" w:rsidRDefault="00940A1A" w:rsidP="00940A1A">
      <w:pPr>
        <w:pStyle w:val="Heading4"/>
      </w:pPr>
      <w:r w:rsidRPr="00790549">
        <w:t xml:space="preserve">Impacts on turnover and employment </w:t>
      </w:r>
    </w:p>
    <w:p w14:paraId="62849B64" w14:textId="3DCC76D1" w:rsidR="00803390" w:rsidRDefault="00F81A66" w:rsidP="006B08A4">
      <w:r>
        <w:t xml:space="preserve">Econometric analysis </w:t>
      </w:r>
      <w:r w:rsidR="00790549">
        <w:t>found a</w:t>
      </w:r>
      <w:r>
        <w:t xml:space="preserve"> statistically significant impact of </w:t>
      </w:r>
      <w:r w:rsidR="00790549">
        <w:t>RLS 1.0 on turnover</w:t>
      </w:r>
      <w:r w:rsidR="005F5E37">
        <w:t xml:space="preserve"> when focusing on businesses which survived the pandemic</w:t>
      </w:r>
      <w:r>
        <w:t xml:space="preserve">. </w:t>
      </w:r>
      <w:r w:rsidR="00790549">
        <w:t>It is estimated that use of finance under RLS 1.0 is associated with 17% higher turnover</w:t>
      </w:r>
      <w:r w:rsidR="00803390">
        <w:t xml:space="preserve">. </w:t>
      </w:r>
      <w:r w:rsidR="00790549">
        <w:t>On the other hand, the analysis did not find a statistically significant impact of RLS 1.0 on employment.</w:t>
      </w:r>
      <w:r w:rsidR="00803390">
        <w:t xml:space="preserve"> </w:t>
      </w:r>
    </w:p>
    <w:p w14:paraId="7DB8048C" w14:textId="6E68962F" w:rsidR="00803390" w:rsidRPr="00790549" w:rsidRDefault="00803390" w:rsidP="006B08A4">
      <w:r>
        <w:t>It should be noted that this analysis was largely based on a sample of businesses that survived the pandemic. Therefore, these impacts do not include any turnover or employment preserved by the fact that some businesses would have ceased trading without the finance they received under RLS 1.0. In one of the econometric models the impact of other business support schemes (the CJRS and the Covid-19 Loan Guarantee Schemes) were controlled for but this had no bearing on the estimated impacts of RLS 1.0 on turnover and employment.</w:t>
      </w:r>
    </w:p>
    <w:p w14:paraId="6E951D61" w14:textId="60932850" w:rsidR="00940A1A" w:rsidRDefault="00940A1A" w:rsidP="00940A1A">
      <w:r w:rsidRPr="00790549">
        <w:t xml:space="preserve">The </w:t>
      </w:r>
      <w:r w:rsidR="00790549" w:rsidRPr="00790549">
        <w:t>analysis was</w:t>
      </w:r>
      <w:r w:rsidRPr="00790549">
        <w:t xml:space="preserve"> based on a comparison of </w:t>
      </w:r>
      <w:r w:rsidR="00790549" w:rsidRPr="00790549">
        <w:t>turnover and employment</w:t>
      </w:r>
      <w:r w:rsidRPr="00790549">
        <w:t xml:space="preserve"> between </w:t>
      </w:r>
      <w:r w:rsidR="00B4158C" w:rsidRPr="00790549">
        <w:t>borrowers</w:t>
      </w:r>
      <w:r w:rsidRPr="00790549">
        <w:t xml:space="preserve"> and non-</w:t>
      </w:r>
      <w:r w:rsidR="00B4158C" w:rsidRPr="00790549">
        <w:t>borrowers</w:t>
      </w:r>
      <w:r w:rsidRPr="00790549">
        <w:t xml:space="preserve">. This exercise is based on two steps, both aimed at </w:t>
      </w:r>
      <w:r w:rsidR="00D060CA" w:rsidRPr="00790549">
        <w:t xml:space="preserve">minimising </w:t>
      </w:r>
      <w:r w:rsidRPr="00790549">
        <w:t xml:space="preserve">the risk that any observed differences in outcomes between both groups are attributable to factors other than </w:t>
      </w:r>
      <w:r w:rsidR="00790549" w:rsidRPr="00790549">
        <w:t>RLS 1.0</w:t>
      </w:r>
      <w:r w:rsidRPr="00790549">
        <w:t>. First, a subsample of non-</w:t>
      </w:r>
      <w:r w:rsidR="00B4158C" w:rsidRPr="00790549">
        <w:t>borrowers</w:t>
      </w:r>
      <w:r w:rsidRPr="00790549">
        <w:t xml:space="preserve"> was selected based on their similarity with </w:t>
      </w:r>
      <w:r w:rsidR="00B4158C" w:rsidRPr="00790549">
        <w:t>borrowers</w:t>
      </w:r>
      <w:r w:rsidRPr="00790549">
        <w:t xml:space="preserve"> in terms of observable characteristics (e.g.</w:t>
      </w:r>
      <w:r w:rsidR="00E66156" w:rsidRPr="00790549">
        <w:t>,</w:t>
      </w:r>
      <w:r w:rsidRPr="00790549">
        <w:t xml:space="preserve"> </w:t>
      </w:r>
      <w:r w:rsidR="00790549" w:rsidRPr="00790549">
        <w:t>growth</w:t>
      </w:r>
      <w:r w:rsidRPr="00790549">
        <w:t>, sector)</w:t>
      </w:r>
      <w:r w:rsidR="005D2227" w:rsidRPr="00790549">
        <w:t xml:space="preserve"> and the kinds of business obstacles encountered during the pandemic</w:t>
      </w:r>
      <w:r w:rsidRPr="00790549">
        <w:t>.</w:t>
      </w:r>
      <w:r w:rsidR="00FF23A8" w:rsidRPr="00790549">
        <w:rPr>
          <w:rStyle w:val="FootnoteReference"/>
        </w:rPr>
        <w:footnoteReference w:id="4"/>
      </w:r>
      <w:r w:rsidRPr="00790549">
        <w:t xml:space="preserve"> The second step is a comparison of both groups’ turnover and employment before and after the introduction of </w:t>
      </w:r>
      <w:r w:rsidR="00790549" w:rsidRPr="00790549">
        <w:t>RLS 1.0</w:t>
      </w:r>
      <w:r w:rsidRPr="00790549">
        <w:t>.</w:t>
      </w:r>
      <w:r w:rsidR="00803390">
        <w:t xml:space="preserve"> </w:t>
      </w:r>
    </w:p>
    <w:p w14:paraId="142309F7" w14:textId="05B0CC22" w:rsidR="003503DA" w:rsidRDefault="67567610" w:rsidP="00940A1A">
      <w:r>
        <w:t xml:space="preserve">The positive impact of the scheme on turnover should be interpreted in the context of the fact that some of the finance under RLS 1.0 was not additional </w:t>
      </w:r>
      <w:r w:rsidR="00A60435">
        <w:t xml:space="preserve">(from an economic perspective) </w:t>
      </w:r>
      <w:r>
        <w:t>or may have been displaced from other firms in the economy (see the sections that follow for a discussion of additionality and product market displacement).</w:t>
      </w:r>
      <w:r w:rsidR="56FEB078">
        <w:t xml:space="preserve"> </w:t>
      </w:r>
    </w:p>
    <w:p w14:paraId="1D454D6F" w14:textId="45A740EB" w:rsidR="00D83E07" w:rsidRDefault="00D83E07" w:rsidP="00940A1A">
      <w:r>
        <w:t xml:space="preserve">The fact that the analysis identifies an effect of RLS 1.0 on turnover but not employment is indicative of a possible impact of the scheme on productivity, however a formal analysis of productivity is beyond the scope of this evaluation. </w:t>
      </w:r>
    </w:p>
    <w:p w14:paraId="1508A0C9" w14:textId="77777777" w:rsidR="00940A1A" w:rsidRPr="00790549" w:rsidRDefault="00940A1A" w:rsidP="00940A1A">
      <w:pPr>
        <w:pStyle w:val="Heading4"/>
      </w:pPr>
      <w:r w:rsidRPr="00790549">
        <w:t xml:space="preserve">Other impacts </w:t>
      </w:r>
    </w:p>
    <w:p w14:paraId="070D030F" w14:textId="15B26035" w:rsidR="00940A1A" w:rsidRDefault="00B4158C" w:rsidP="00940A1A">
      <w:r w:rsidRPr="00790549">
        <w:t>Borrowers</w:t>
      </w:r>
      <w:r w:rsidR="00940A1A" w:rsidRPr="00790549">
        <w:t xml:space="preserve"> also reported </w:t>
      </w:r>
      <w:r w:rsidR="003470EB" w:rsidRPr="00790549">
        <w:t xml:space="preserve">whether they had </w:t>
      </w:r>
      <w:r w:rsidR="00940A1A" w:rsidRPr="00790549">
        <w:t xml:space="preserve">undertaken </w:t>
      </w:r>
      <w:r w:rsidR="00790549">
        <w:t>certain innovative activities</w:t>
      </w:r>
      <w:r w:rsidR="00940A1A" w:rsidRPr="00790549">
        <w:t xml:space="preserve"> s</w:t>
      </w:r>
      <w:r w:rsidR="00790549" w:rsidRPr="00790549">
        <w:t>ince receiving their finance under RLS 1.0</w:t>
      </w:r>
      <w:r w:rsidR="00940A1A" w:rsidRPr="00790549">
        <w:t xml:space="preserve">. </w:t>
      </w:r>
    </w:p>
    <w:p w14:paraId="117A5B7F" w14:textId="222E68F0" w:rsidR="00DF6937" w:rsidRPr="00AF7606" w:rsidRDefault="00DF6937" w:rsidP="00DF6937">
      <w:pPr>
        <w:pStyle w:val="Heading5"/>
      </w:pPr>
      <w:r w:rsidRPr="00AF7606">
        <w:t xml:space="preserve">Figure </w:t>
      </w:r>
      <w:r>
        <w:fldChar w:fldCharType="begin"/>
      </w:r>
      <w:r>
        <w:instrText xml:space="preserve"> SEQ Figure \* ARABIC </w:instrText>
      </w:r>
      <w:r>
        <w:fldChar w:fldCharType="separate"/>
      </w:r>
      <w:r w:rsidR="001525E9">
        <w:rPr>
          <w:noProof/>
        </w:rPr>
        <w:t>2</w:t>
      </w:r>
      <w:r>
        <w:rPr>
          <w:noProof/>
        </w:rPr>
        <w:fldChar w:fldCharType="end"/>
      </w:r>
      <w:r w:rsidRPr="00AF7606">
        <w:t xml:space="preserve">: </w:t>
      </w:r>
      <w:r>
        <w:t>Activities undertaken by borrowers since accessing finance under RLS 1.0</w:t>
      </w:r>
    </w:p>
    <w:p w14:paraId="1E14D794" w14:textId="0A7CF29F" w:rsidR="00DF6937" w:rsidRPr="0083008F" w:rsidRDefault="00A83806" w:rsidP="00DF6937">
      <w:r>
        <w:rPr>
          <w:noProof/>
        </w:rPr>
        <w:drawing>
          <wp:inline distT="0" distB="0" distL="0" distR="0" wp14:anchorId="2F375D38" wp14:editId="16D463E5">
            <wp:extent cx="6223379" cy="4671090"/>
            <wp:effectExtent l="0" t="0" r="6350" b="0"/>
            <wp:docPr id="22391345" name="Picture 2" descr="This figure shows the activities undertaken by borrowers since accessing finance under RLS 1.0. Since accessing finance under RLS 1.0, 46% of RLS 1.0 borrowers surveyed indicated that they had undertaken development of new processes, 44% said that they had since undertaken development of new goods and services, 38% said that they had since undertaken actions to reduce carbon emissions and 36% said that they had undertaken research and development activities. Also, 29% said that they had undertaken none of the above and 1% answere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345" name="Picture 2" descr="This figure shows the activities undertaken by borrowers since accessing finance under RLS 1.0. Since accessing finance under RLS 1.0, 46% of RLS 1.0 borrowers surveyed indicated that they had undertaken development of new processes, 44% said that they had since undertaken development of new goods and services, 38% said that they had since undertaken actions to reduce carbon emissions and 36% said that they had undertaken research and development activities. Also, 29% said that they had undertaken none of the above and 1% answered don't know."/>
                    <pic:cNvPicPr>
                      <a:picLocks noChangeAspect="1" noChangeArrowheads="1"/>
                    </pic:cNvPicPr>
                  </pic:nvPicPr>
                  <pic:blipFill rotWithShape="1">
                    <a:blip r:embed="rId24">
                      <a:extLst>
                        <a:ext uri="{28A0092B-C50C-407E-A947-70E740481C1C}">
                          <a14:useLocalDpi xmlns:a14="http://schemas.microsoft.com/office/drawing/2010/main" val="0"/>
                        </a:ext>
                      </a:extLst>
                    </a:blip>
                    <a:srcRect l="3602" t="2916" r="4655" b="2332"/>
                    <a:stretch/>
                  </pic:blipFill>
                  <pic:spPr bwMode="auto">
                    <a:xfrm>
                      <a:off x="0" y="0"/>
                      <a:ext cx="6227846" cy="4674443"/>
                    </a:xfrm>
                    <a:prstGeom prst="rect">
                      <a:avLst/>
                    </a:prstGeom>
                    <a:noFill/>
                    <a:ln>
                      <a:noFill/>
                    </a:ln>
                    <a:extLst>
                      <a:ext uri="{53640926-AAD7-44D8-BBD7-CCE9431645EC}">
                        <a14:shadowObscured xmlns:a14="http://schemas.microsoft.com/office/drawing/2010/main"/>
                      </a:ext>
                    </a:extLst>
                  </pic:spPr>
                </pic:pic>
              </a:graphicData>
            </a:graphic>
          </wp:inline>
        </w:drawing>
      </w:r>
    </w:p>
    <w:p w14:paraId="209F0456" w14:textId="77777777" w:rsidR="00DF6937" w:rsidRPr="0083008F" w:rsidRDefault="00DF6937" w:rsidP="00DF6937">
      <w:pPr>
        <w:pStyle w:val="Caption"/>
      </w:pPr>
      <w:r w:rsidRPr="0083008F">
        <w:t>Source: London Economics’ and Ipsos’ analysis of survey data</w:t>
      </w:r>
      <w:r>
        <w:t xml:space="preserve">. </w:t>
      </w:r>
      <w:r w:rsidRPr="00D0457A">
        <w:t>Base: All RLS</w:t>
      </w:r>
      <w:r>
        <w:t xml:space="preserve"> 1.0</w:t>
      </w:r>
      <w:r w:rsidRPr="00D0457A">
        <w:t xml:space="preserve"> borrowers (242)</w:t>
      </w:r>
      <w:r>
        <w:t>.</w:t>
      </w:r>
    </w:p>
    <w:p w14:paraId="2D9E33E4" w14:textId="77777777" w:rsidR="00231F49" w:rsidRDefault="00DF6937" w:rsidP="00940A1A">
      <w:r>
        <w:t xml:space="preserve">The fact that borrowers reported that their primary use of the finance received under RLS 1.0 relate to paying bills and expenses and that they are also often undertaking these activities suggests that RLS 1.0 may have played an important role in preventing cash flow issues among borrowers whilst they continue to innovate. </w:t>
      </w:r>
    </w:p>
    <w:p w14:paraId="059AA154" w14:textId="6D75F73E" w:rsidR="00790549" w:rsidRPr="00790549" w:rsidRDefault="00231F49" w:rsidP="00940A1A">
      <w:r>
        <w:t xml:space="preserve">Although </w:t>
      </w:r>
      <w:r w:rsidR="00942201">
        <w:t>we do not have comparable data on the extent to which such activities have been undertaken by non-borrowers and as such cannot directly attribute these activities to the scheme</w:t>
      </w:r>
      <w:r>
        <w:t>, there is information on R&amp;D activities within the BICS</w:t>
      </w:r>
      <w:r w:rsidR="00A60435">
        <w:t xml:space="preserve"> (Business Insights and Conditions Survey)</w:t>
      </w:r>
      <w:r>
        <w:t>. It is found that only 10% of businesses carried out any in-house R&amp;D in 2021, which increases to 19% when excluding businesses with fewer than 10 employees.</w:t>
      </w:r>
      <w:r>
        <w:rPr>
          <w:rStyle w:val="FootnoteReference"/>
        </w:rPr>
        <w:footnoteReference w:id="5"/>
      </w:r>
      <w:r>
        <w:t xml:space="preserve"> Both of these estimates are substantially lower than the proportion of RLS 1.0 borrowers that undertook R&amp;D activities as found in this study.</w:t>
      </w:r>
    </w:p>
    <w:p w14:paraId="5FA1AC70" w14:textId="4B7D04BD" w:rsidR="002E562D" w:rsidRDefault="002E562D" w:rsidP="002E562D">
      <w:pPr>
        <w:pStyle w:val="Heading3"/>
      </w:pPr>
      <w:r w:rsidRPr="005230B0">
        <w:t>Additionality of lending</w:t>
      </w:r>
    </w:p>
    <w:p w14:paraId="61C0A755" w14:textId="33AD8ED2" w:rsidR="00B0224B" w:rsidRDefault="25E7D35B" w:rsidP="00C700D6">
      <w:r>
        <w:t xml:space="preserve">One aim of the evaluation is to estimate the extent to which </w:t>
      </w:r>
      <w:r w:rsidR="06AFE2E3">
        <w:t>borrowers</w:t>
      </w:r>
      <w:r>
        <w:t xml:space="preserve"> could have </w:t>
      </w:r>
      <w:r w:rsidR="0AD73D00">
        <w:t>found suitable alternative finance in the absence of RLS 1.0 (additionality)</w:t>
      </w:r>
      <w:r>
        <w:t>.</w:t>
      </w:r>
      <w:r w:rsidR="00C236F3">
        <w:t xml:space="preserve"> It should be noted that discussion of additionality in the impact evaluation relates to economic additionality, and is completely unrelated to discussion of the legal requirement for finance under RLS 1.0 to be additional (discussed in the process evaluation).</w:t>
      </w:r>
      <w:r>
        <w:t xml:space="preserve"> </w:t>
      </w:r>
      <w:r w:rsidR="099F6082">
        <w:t>Overall, it is estimated that 8</w:t>
      </w:r>
      <w:r w:rsidR="05BFB9F6">
        <w:t xml:space="preserve">3% </w:t>
      </w:r>
      <w:r w:rsidR="099F6082">
        <w:t xml:space="preserve">of </w:t>
      </w:r>
      <w:r w:rsidR="05BFB9F6">
        <w:t>R</w:t>
      </w:r>
      <w:r w:rsidR="099F6082">
        <w:t xml:space="preserve">LS </w:t>
      </w:r>
      <w:r w:rsidR="05BFB9F6">
        <w:t>1.0 l</w:t>
      </w:r>
      <w:r w:rsidR="099F6082">
        <w:t>oans were additional.</w:t>
      </w:r>
      <w:r w:rsidR="571B7266">
        <w:t xml:space="preserve"> </w:t>
      </w:r>
      <w:r w:rsidR="3EBA8E16">
        <w:t>A loan is defined as being additional if, in the absence of RLS 1.0, alternative sources of funds would not have met at least one of the conditions below.</w:t>
      </w:r>
    </w:p>
    <w:p w14:paraId="1B7CE6CA" w14:textId="426A7019" w:rsidR="006B216C" w:rsidRPr="005230B0" w:rsidRDefault="006B216C" w:rsidP="006B216C">
      <w:r>
        <w:t xml:space="preserve">Additionality is based on four criteria and estimated </w:t>
      </w:r>
      <w:r w:rsidR="006B4264">
        <w:t>using</w:t>
      </w:r>
      <w:r>
        <w:t xml:space="preserve"> survey data. The evaluation considers the following aspects of additionality: </w:t>
      </w:r>
    </w:p>
    <w:p w14:paraId="21AE9147" w14:textId="77777777" w:rsidR="006B216C" w:rsidRPr="002449D8" w:rsidRDefault="006B216C" w:rsidP="006B216C">
      <w:pPr>
        <w:pStyle w:val="ListBullet"/>
      </w:pPr>
      <w:r>
        <w:t>Whether b</w:t>
      </w:r>
      <w:r w:rsidRPr="002449D8">
        <w:t>orrowers would have applied for other sources of external finance.</w:t>
      </w:r>
    </w:p>
    <w:p w14:paraId="4108059E" w14:textId="77777777" w:rsidR="006B216C" w:rsidRPr="002449D8" w:rsidRDefault="006B216C" w:rsidP="006B216C">
      <w:pPr>
        <w:pStyle w:val="ListBullet"/>
      </w:pPr>
      <w:r w:rsidRPr="002449D8">
        <w:t>Whether that application would have been successful.</w:t>
      </w:r>
    </w:p>
    <w:p w14:paraId="6BCC5A68" w14:textId="77777777" w:rsidR="006B216C" w:rsidRPr="00447F99" w:rsidRDefault="006B216C" w:rsidP="006B216C">
      <w:pPr>
        <w:pStyle w:val="ListBullet"/>
      </w:pPr>
      <w:r w:rsidRPr="00447F99">
        <w:t xml:space="preserve">Whether these other sources of external finance would have covered </w:t>
      </w:r>
      <w:r>
        <w:t>the borrower’s cash flow needs</w:t>
      </w:r>
      <w:r w:rsidRPr="00447F99">
        <w:t>.</w:t>
      </w:r>
    </w:p>
    <w:p w14:paraId="19B54A16" w14:textId="77777777" w:rsidR="006B216C" w:rsidRPr="005230B0" w:rsidRDefault="006B216C" w:rsidP="006B216C">
      <w:pPr>
        <w:pStyle w:val="ListBullet"/>
      </w:pPr>
      <w:r w:rsidRPr="00447F99">
        <w:t xml:space="preserve">Whether the </w:t>
      </w:r>
      <w:r>
        <w:t>other source of finance would have been obtained at worse terms and, as a result, in reduced quantity.</w:t>
      </w:r>
    </w:p>
    <w:p w14:paraId="6F639F75" w14:textId="1EB3746F" w:rsidR="006B216C" w:rsidRDefault="006B216C" w:rsidP="00C700D6">
      <w:r>
        <w:t>The chart below illustrates the dimensions according to which loans according to RLS 1.0 were additional. The most prevalent aspect of additionality</w:t>
      </w:r>
      <w:r w:rsidR="00CE2598">
        <w:t xml:space="preserve"> (36% of borrowers)</w:t>
      </w:r>
      <w:r>
        <w:t xml:space="preserve"> </w:t>
      </w:r>
      <w:r w:rsidR="00CE2598">
        <w:t>consisted of borrowers</w:t>
      </w:r>
      <w:r>
        <w:t xml:space="preserve"> who likely would have been able to obtain alternative finance to RLS 1.0, but not in sufficient quantity. </w:t>
      </w:r>
    </w:p>
    <w:p w14:paraId="7B116785" w14:textId="5D2534B3" w:rsidR="006B216C" w:rsidRDefault="00CE2598" w:rsidP="00CE2598">
      <w:pPr>
        <w:pStyle w:val="Heading5"/>
      </w:pPr>
      <w:r w:rsidRPr="00AF7606">
        <w:t xml:space="preserve">Figure </w:t>
      </w:r>
      <w:r>
        <w:fldChar w:fldCharType="begin"/>
      </w:r>
      <w:r>
        <w:instrText xml:space="preserve"> SEQ Figure \* ARABIC </w:instrText>
      </w:r>
      <w:r>
        <w:fldChar w:fldCharType="separate"/>
      </w:r>
      <w:r w:rsidR="001525E9">
        <w:rPr>
          <w:noProof/>
        </w:rPr>
        <w:t>3</w:t>
      </w:r>
      <w:r>
        <w:rPr>
          <w:noProof/>
        </w:rPr>
        <w:fldChar w:fldCharType="end"/>
      </w:r>
      <w:r w:rsidRPr="00AF7606">
        <w:t xml:space="preserve">: </w:t>
      </w:r>
      <w:r>
        <w:t>Additionality of RLS 1.0</w:t>
      </w:r>
      <w:r w:rsidR="001C49FD">
        <w:t xml:space="preserve"> (overall 83%)</w:t>
      </w:r>
    </w:p>
    <w:p w14:paraId="01F1FC78" w14:textId="5C9BE753" w:rsidR="00CE2598" w:rsidRPr="00CE2598" w:rsidRDefault="00CE2598" w:rsidP="00CE2598">
      <w:r>
        <w:rPr>
          <w:noProof/>
        </w:rPr>
        <w:drawing>
          <wp:inline distT="0" distB="0" distL="0" distR="0" wp14:anchorId="64065476" wp14:editId="7AE7540C">
            <wp:extent cx="6447791" cy="1852986"/>
            <wp:effectExtent l="0" t="0" r="0" b="0"/>
            <wp:docPr id="1963684606" name="Picture 1" descr="This figure shows the estimated additionality of RLS 1.0. It is estimated that 83% of RLS 1.0 loans were additional. This is based on four aspects of additionality. The estimate for the &quot;would not apply&quot; aspect is 17%, the estimate for the &quot;unsuccessful&quot; aspect is 17%, the estimate for the &quot;insufficient to cover cash flow needs&quot; aspect is 36% and the estimate for the &quot;worse terms and so decreased quantity&quot; aspect 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84606" name="Picture 1" descr="This figure shows the estimated additionality of RLS 1.0. It is estimated that 83% of RLS 1.0 loans were additional. This is based on four aspects of additionality. The estimate for the &quot;would not apply&quot; aspect is 17%, the estimate for the &quot;unsuccessful&quot; aspect is 17%, the estimate for the &quot;insufficient to cover cash flow needs&quot; aspect is 36% and the estimate for the &quot;worse terms and so decreased quantity&quot; aspect is 14%."/>
                    <pic:cNvPicPr/>
                  </pic:nvPicPr>
                  <pic:blipFill>
                    <a:blip r:embed="rId25">
                      <a:extLst>
                        <a:ext uri="{28A0092B-C50C-407E-A947-70E740481C1C}">
                          <a14:useLocalDpi xmlns:a14="http://schemas.microsoft.com/office/drawing/2010/main" val="0"/>
                        </a:ext>
                      </a:extLst>
                    </a:blip>
                    <a:stretch>
                      <a:fillRect/>
                    </a:stretch>
                  </pic:blipFill>
                  <pic:spPr>
                    <a:xfrm>
                      <a:off x="0" y="0"/>
                      <a:ext cx="6447791" cy="1852986"/>
                    </a:xfrm>
                    <a:prstGeom prst="rect">
                      <a:avLst/>
                    </a:prstGeom>
                  </pic:spPr>
                </pic:pic>
              </a:graphicData>
            </a:graphic>
          </wp:inline>
        </w:drawing>
      </w:r>
    </w:p>
    <w:p w14:paraId="4F3709F8" w14:textId="1E5F1173" w:rsidR="00CE2598" w:rsidRDefault="571B7266" w:rsidP="00C700D6">
      <w:r w:rsidRPr="005230B0">
        <w:t xml:space="preserve">For context, </w:t>
      </w:r>
      <w:r w:rsidR="7AD57F16">
        <w:t>the first three elements of additionality can be directly compared to those from the evaluation of BBLS, CBILS and C</w:t>
      </w:r>
      <w:r w:rsidR="00C236F3">
        <w:t>L</w:t>
      </w:r>
      <w:r w:rsidR="7AD57F16">
        <w:t>BILS.</w:t>
      </w:r>
      <w:r w:rsidR="004E1F3A">
        <w:rPr>
          <w:rStyle w:val="FootnoteReference"/>
        </w:rPr>
        <w:footnoteReference w:id="6"/>
      </w:r>
      <w:r w:rsidR="7AD57F16">
        <w:t xml:space="preserve"> The table below compares additionality rates according to these three aspects between RLS 1.0. </w:t>
      </w:r>
    </w:p>
    <w:p w14:paraId="430C0746" w14:textId="25151802" w:rsidR="00CE2598" w:rsidRPr="00D0457A" w:rsidRDefault="00CE2598" w:rsidP="00CE2598">
      <w:pPr>
        <w:pStyle w:val="Heading5"/>
      </w:pPr>
      <w:r w:rsidRPr="00D0457A">
        <w:t xml:space="preserve">Table </w:t>
      </w:r>
      <w:r w:rsidRPr="00D0457A">
        <w:fldChar w:fldCharType="begin"/>
      </w:r>
      <w:r w:rsidRPr="00D0457A">
        <w:instrText>SEQ Table \* ARABIC</w:instrText>
      </w:r>
      <w:r w:rsidRPr="00D0457A">
        <w:fldChar w:fldCharType="separate"/>
      </w:r>
      <w:r w:rsidR="001525E9">
        <w:rPr>
          <w:noProof/>
        </w:rPr>
        <w:t>1</w:t>
      </w:r>
      <w:r w:rsidRPr="00D0457A">
        <w:fldChar w:fldCharType="end"/>
      </w:r>
      <w:r w:rsidRPr="00D0457A">
        <w:t xml:space="preserve">: </w:t>
      </w:r>
      <w:r>
        <w:t>Additionality of RLS 1.0, BBLS</w:t>
      </w:r>
      <w:r w:rsidR="000E0DC0">
        <w:t>,</w:t>
      </w:r>
      <w:r>
        <w:t xml:space="preserve"> and CBILS/CLBILS</w:t>
      </w:r>
    </w:p>
    <w:tbl>
      <w:tblPr>
        <w:tblStyle w:val="TableGrid"/>
        <w:tblW w:w="5006" w:type="pct"/>
        <w:tblLayout w:type="fixed"/>
        <w:tblLook w:val="04A0" w:firstRow="1" w:lastRow="0" w:firstColumn="1" w:lastColumn="0" w:noHBand="0" w:noVBand="1"/>
        <w:tblCaption w:val="Business size"/>
        <w:tblDescription w:val="Business size"/>
      </w:tblPr>
      <w:tblGrid>
        <w:gridCol w:w="3830"/>
        <w:gridCol w:w="2112"/>
        <w:gridCol w:w="2112"/>
        <w:gridCol w:w="2112"/>
      </w:tblGrid>
      <w:tr w:rsidR="00CE2598" w:rsidRPr="000056E7" w14:paraId="50382E3C" w14:textId="77777777" w:rsidTr="002E562D">
        <w:trPr>
          <w:cnfStyle w:val="100000000000" w:firstRow="1" w:lastRow="0" w:firstColumn="0" w:lastColumn="0" w:oddVBand="0" w:evenVBand="0" w:oddHBand="0" w:evenHBand="0" w:firstRowFirstColumn="0" w:firstRowLastColumn="0" w:lastRowFirstColumn="0" w:lastRowLastColumn="0"/>
          <w:trHeight w:val="567"/>
          <w:tblHeader/>
        </w:trPr>
        <w:tc>
          <w:tcPr>
            <w:tcW w:w="1883" w:type="pct"/>
            <w:vAlign w:val="top"/>
            <w:hideMark/>
          </w:tcPr>
          <w:p w14:paraId="3F7FEF4E" w14:textId="0EB05D8D" w:rsidR="00CE2598" w:rsidRPr="00B21B8A" w:rsidRDefault="00CE2598">
            <w:pPr>
              <w:pStyle w:val="Tablecolumnheading-inkblue"/>
              <w:rPr>
                <w:color w:val="FFFFFF" w:themeColor="background1"/>
              </w:rPr>
            </w:pPr>
          </w:p>
        </w:tc>
        <w:tc>
          <w:tcPr>
            <w:tcW w:w="1039" w:type="pct"/>
            <w:vAlign w:val="top"/>
            <w:hideMark/>
          </w:tcPr>
          <w:p w14:paraId="16B6C8AB" w14:textId="415BA890" w:rsidR="00CE2598" w:rsidRPr="002E562D" w:rsidRDefault="00CE2598" w:rsidP="002E562D">
            <w:pPr>
              <w:pStyle w:val="Tablecolumnheading-inkblue"/>
              <w:jc w:val="right"/>
              <w:rPr>
                <w:b w:val="0"/>
                <w:color w:val="FFFFFF" w:themeColor="background1"/>
              </w:rPr>
            </w:pPr>
            <w:r>
              <w:rPr>
                <w:color w:val="FFFFFF" w:themeColor="background1"/>
              </w:rPr>
              <w:t>RLS 1.0</w:t>
            </w:r>
          </w:p>
          <w:p w14:paraId="248DF2D7" w14:textId="1350DC6A" w:rsidR="00CE2598" w:rsidRPr="000056E7" w:rsidRDefault="00CE2598" w:rsidP="002E562D">
            <w:pPr>
              <w:pStyle w:val="Tabletext"/>
              <w:rPr>
                <w:highlight w:val="yellow"/>
              </w:rPr>
            </w:pPr>
          </w:p>
        </w:tc>
        <w:tc>
          <w:tcPr>
            <w:tcW w:w="1039" w:type="pct"/>
          </w:tcPr>
          <w:p w14:paraId="39A11F07" w14:textId="6329E422" w:rsidR="00CE2598" w:rsidRPr="00B21B8A" w:rsidRDefault="00CE2598">
            <w:pPr>
              <w:pStyle w:val="Tablecolumnheading-inkblue"/>
              <w:jc w:val="right"/>
              <w:rPr>
                <w:color w:val="FFFFFF" w:themeColor="background1"/>
              </w:rPr>
            </w:pPr>
            <w:r>
              <w:rPr>
                <w:color w:val="FFFFFF" w:themeColor="background1"/>
              </w:rPr>
              <w:t>BBLS</w:t>
            </w:r>
          </w:p>
        </w:tc>
        <w:tc>
          <w:tcPr>
            <w:tcW w:w="1039" w:type="pct"/>
            <w:vAlign w:val="top"/>
          </w:tcPr>
          <w:p w14:paraId="7530123A" w14:textId="5E98B1B5" w:rsidR="00CE2598" w:rsidRDefault="00CE2598">
            <w:pPr>
              <w:pStyle w:val="Tablecolumnheading-inkblue"/>
              <w:jc w:val="right"/>
              <w:rPr>
                <w:color w:val="FFFFFF" w:themeColor="background1"/>
              </w:rPr>
            </w:pPr>
            <w:r>
              <w:rPr>
                <w:color w:val="FFFFFF" w:themeColor="background1"/>
              </w:rPr>
              <w:t>CBILS/CLBILS</w:t>
            </w:r>
          </w:p>
        </w:tc>
      </w:tr>
      <w:tr w:rsidR="00CE2598" w:rsidRPr="000056E7" w14:paraId="4DA87A54" w14:textId="77777777" w:rsidTr="002E562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0"/>
        </w:trPr>
        <w:tc>
          <w:tcPr>
            <w:tcW w:w="1883" w:type="pct"/>
            <w:vAlign w:val="top"/>
          </w:tcPr>
          <w:p w14:paraId="165294AF" w14:textId="4AE766DE" w:rsidR="00CE2598" w:rsidRPr="000056E7" w:rsidRDefault="004E1F3A">
            <w:pPr>
              <w:pStyle w:val="Tabletext"/>
              <w:rPr>
                <w:highlight w:val="yellow"/>
              </w:rPr>
            </w:pPr>
            <w:r>
              <w:t>Dates open</w:t>
            </w:r>
          </w:p>
        </w:tc>
        <w:tc>
          <w:tcPr>
            <w:tcW w:w="1039" w:type="pct"/>
            <w:vAlign w:val="center"/>
          </w:tcPr>
          <w:p w14:paraId="00C5823F" w14:textId="4348DF1B" w:rsidR="00CE2598" w:rsidRPr="002E562D" w:rsidRDefault="004E1F3A" w:rsidP="004E1F3A">
            <w:pPr>
              <w:pStyle w:val="Tabletext"/>
              <w:jc w:val="right"/>
            </w:pPr>
            <w:r w:rsidRPr="002E562D">
              <w:t>April – December 2021</w:t>
            </w:r>
          </w:p>
        </w:tc>
        <w:tc>
          <w:tcPr>
            <w:tcW w:w="1039" w:type="pct"/>
            <w:vAlign w:val="center"/>
          </w:tcPr>
          <w:p w14:paraId="28AEFA94" w14:textId="6FA5F3D0" w:rsidR="00CE2598" w:rsidRPr="002E562D" w:rsidRDefault="004E1F3A" w:rsidP="004E1F3A">
            <w:pPr>
              <w:pStyle w:val="Tabletext"/>
              <w:jc w:val="right"/>
            </w:pPr>
            <w:r w:rsidRPr="004E1F3A">
              <w:t>May 2020 – March 2021</w:t>
            </w:r>
          </w:p>
        </w:tc>
        <w:tc>
          <w:tcPr>
            <w:tcW w:w="1039" w:type="pct"/>
            <w:vAlign w:val="center"/>
          </w:tcPr>
          <w:p w14:paraId="5BCFCAEB" w14:textId="5DD3F004" w:rsidR="00CE2598" w:rsidRPr="004E1F3A" w:rsidRDefault="004E1F3A" w:rsidP="004E1F3A">
            <w:pPr>
              <w:pStyle w:val="Tabletext"/>
              <w:jc w:val="right"/>
            </w:pPr>
            <w:r w:rsidRPr="004E1F3A">
              <w:t>March/April 2020</w:t>
            </w:r>
            <w:r w:rsidRPr="004E1F3A">
              <w:rPr>
                <w:rStyle w:val="FootnoteReference"/>
              </w:rPr>
              <w:footnoteReference w:id="7"/>
            </w:r>
            <w:r w:rsidRPr="004E1F3A">
              <w:t xml:space="preserve"> – March 2021</w:t>
            </w:r>
          </w:p>
        </w:tc>
      </w:tr>
      <w:tr w:rsidR="00CE2598" w:rsidRPr="000056E7" w14:paraId="59911A1C" w14:textId="77777777" w:rsidTr="002E562D">
        <w:tblPrEx>
          <w:tblCellMar>
            <w:left w:w="108" w:type="dxa"/>
            <w:right w:w="108" w:type="dxa"/>
          </w:tblCellMar>
        </w:tblPrEx>
        <w:trPr>
          <w:trHeight w:val="559"/>
        </w:trPr>
        <w:tc>
          <w:tcPr>
            <w:tcW w:w="1883" w:type="pct"/>
            <w:vAlign w:val="top"/>
            <w:hideMark/>
          </w:tcPr>
          <w:p w14:paraId="5369C401" w14:textId="74CBE6CB" w:rsidR="00CE2598" w:rsidRPr="002E562D" w:rsidRDefault="004E1F3A">
            <w:pPr>
              <w:pStyle w:val="Tabletext"/>
            </w:pPr>
            <w:r w:rsidRPr="002E562D">
              <w:t>Would not apply for other external finance</w:t>
            </w:r>
          </w:p>
        </w:tc>
        <w:tc>
          <w:tcPr>
            <w:tcW w:w="1039" w:type="pct"/>
            <w:vAlign w:val="center"/>
            <w:hideMark/>
          </w:tcPr>
          <w:p w14:paraId="2264B8CA" w14:textId="46CE464D" w:rsidR="00CE2598" w:rsidRPr="002E562D" w:rsidRDefault="004E1F3A" w:rsidP="004E1F3A">
            <w:pPr>
              <w:pStyle w:val="Tabletext"/>
              <w:jc w:val="right"/>
            </w:pPr>
            <w:r>
              <w:t>17%</w:t>
            </w:r>
          </w:p>
        </w:tc>
        <w:tc>
          <w:tcPr>
            <w:tcW w:w="1039" w:type="pct"/>
            <w:vAlign w:val="center"/>
          </w:tcPr>
          <w:p w14:paraId="2B4D6EEB" w14:textId="141171FD" w:rsidR="00CE2598" w:rsidRPr="002E562D" w:rsidRDefault="004E1F3A" w:rsidP="004E1F3A">
            <w:pPr>
              <w:pStyle w:val="Tabletext"/>
              <w:jc w:val="right"/>
              <w:rPr>
                <w:bCs/>
              </w:rPr>
            </w:pPr>
            <w:r>
              <w:rPr>
                <w:bCs/>
              </w:rPr>
              <w:t>45%</w:t>
            </w:r>
          </w:p>
        </w:tc>
        <w:tc>
          <w:tcPr>
            <w:tcW w:w="1039" w:type="pct"/>
            <w:vAlign w:val="center"/>
          </w:tcPr>
          <w:p w14:paraId="54A503D6" w14:textId="6092AE15" w:rsidR="00CE2598" w:rsidRPr="004E1F3A" w:rsidRDefault="004E1F3A" w:rsidP="004E1F3A">
            <w:pPr>
              <w:pStyle w:val="Tabletext"/>
              <w:jc w:val="right"/>
            </w:pPr>
            <w:r>
              <w:t>39%</w:t>
            </w:r>
          </w:p>
        </w:tc>
      </w:tr>
      <w:tr w:rsidR="00CE2598" w:rsidRPr="000056E7" w14:paraId="2A34D592" w14:textId="77777777" w:rsidTr="002E562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65"/>
        </w:trPr>
        <w:tc>
          <w:tcPr>
            <w:tcW w:w="1883" w:type="pct"/>
            <w:vAlign w:val="top"/>
            <w:hideMark/>
          </w:tcPr>
          <w:p w14:paraId="2EA37732" w14:textId="209481F7" w:rsidR="00CE2598" w:rsidRPr="002E562D" w:rsidRDefault="004E1F3A">
            <w:pPr>
              <w:pStyle w:val="Tabletext"/>
            </w:pPr>
            <w:r w:rsidRPr="004E1F3A">
              <w:t>Would not be successful in their application for external finance</w:t>
            </w:r>
          </w:p>
        </w:tc>
        <w:tc>
          <w:tcPr>
            <w:tcW w:w="1039" w:type="pct"/>
            <w:vAlign w:val="center"/>
            <w:hideMark/>
          </w:tcPr>
          <w:p w14:paraId="04BA89FD" w14:textId="246A7EDC" w:rsidR="00CE2598" w:rsidRPr="002E562D" w:rsidRDefault="004E1F3A" w:rsidP="004E1F3A">
            <w:pPr>
              <w:pStyle w:val="Tabletext"/>
              <w:jc w:val="right"/>
            </w:pPr>
            <w:r>
              <w:t>17%</w:t>
            </w:r>
          </w:p>
        </w:tc>
        <w:tc>
          <w:tcPr>
            <w:tcW w:w="1039" w:type="pct"/>
            <w:vAlign w:val="center"/>
          </w:tcPr>
          <w:p w14:paraId="0870102F" w14:textId="6A00832E" w:rsidR="00CE2598" w:rsidRPr="002E562D" w:rsidRDefault="004E1F3A" w:rsidP="004E1F3A">
            <w:pPr>
              <w:pStyle w:val="Tabletext"/>
              <w:jc w:val="right"/>
              <w:rPr>
                <w:bCs/>
              </w:rPr>
            </w:pPr>
            <w:r>
              <w:rPr>
                <w:bCs/>
              </w:rPr>
              <w:t>15%</w:t>
            </w:r>
          </w:p>
        </w:tc>
        <w:tc>
          <w:tcPr>
            <w:tcW w:w="1039" w:type="pct"/>
            <w:vAlign w:val="center"/>
          </w:tcPr>
          <w:p w14:paraId="4E298735" w14:textId="45D21E7F" w:rsidR="00CE2598" w:rsidRPr="004E1F3A" w:rsidRDefault="004E1F3A" w:rsidP="004E1F3A">
            <w:pPr>
              <w:pStyle w:val="Tabletext"/>
              <w:jc w:val="right"/>
            </w:pPr>
            <w:r>
              <w:t>14%</w:t>
            </w:r>
          </w:p>
        </w:tc>
      </w:tr>
      <w:tr w:rsidR="00CE2598" w:rsidRPr="000056E7" w14:paraId="5F03F4E0" w14:textId="77777777" w:rsidTr="002E562D">
        <w:tblPrEx>
          <w:tblCellMar>
            <w:left w:w="108" w:type="dxa"/>
            <w:right w:w="108" w:type="dxa"/>
          </w:tblCellMar>
        </w:tblPrEx>
        <w:trPr>
          <w:trHeight w:val="559"/>
        </w:trPr>
        <w:tc>
          <w:tcPr>
            <w:tcW w:w="1883" w:type="pct"/>
            <w:vAlign w:val="top"/>
            <w:hideMark/>
          </w:tcPr>
          <w:p w14:paraId="47F2094C" w14:textId="5F1261A0" w:rsidR="00CE2598" w:rsidRPr="002E562D" w:rsidRDefault="004E1F3A">
            <w:pPr>
              <w:pStyle w:val="Tabletext"/>
            </w:pPr>
            <w:r w:rsidRPr="002E562D">
              <w:t>Alternative finance would have been insufficient to cover</w:t>
            </w:r>
            <w:r w:rsidR="00F4031A">
              <w:t xml:space="preserve"> cashflow needs</w:t>
            </w:r>
          </w:p>
        </w:tc>
        <w:tc>
          <w:tcPr>
            <w:tcW w:w="1039" w:type="pct"/>
            <w:vAlign w:val="center"/>
            <w:hideMark/>
          </w:tcPr>
          <w:p w14:paraId="5F8D2F26" w14:textId="1C150E65" w:rsidR="00CE2598" w:rsidRPr="002E562D" w:rsidRDefault="004E1F3A" w:rsidP="004E1F3A">
            <w:pPr>
              <w:pStyle w:val="Tabletext"/>
              <w:jc w:val="right"/>
            </w:pPr>
            <w:r>
              <w:t>36%</w:t>
            </w:r>
          </w:p>
        </w:tc>
        <w:tc>
          <w:tcPr>
            <w:tcW w:w="1039" w:type="pct"/>
            <w:vAlign w:val="center"/>
          </w:tcPr>
          <w:p w14:paraId="6F29F8A6" w14:textId="598D065A" w:rsidR="00CE2598" w:rsidRPr="002E562D" w:rsidRDefault="004E1F3A" w:rsidP="004E1F3A">
            <w:pPr>
              <w:pStyle w:val="Tabletext"/>
              <w:jc w:val="right"/>
              <w:rPr>
                <w:bCs/>
              </w:rPr>
            </w:pPr>
            <w:r>
              <w:rPr>
                <w:bCs/>
              </w:rPr>
              <w:t>14%</w:t>
            </w:r>
          </w:p>
        </w:tc>
        <w:tc>
          <w:tcPr>
            <w:tcW w:w="1039" w:type="pct"/>
            <w:vAlign w:val="center"/>
          </w:tcPr>
          <w:p w14:paraId="3834DCB6" w14:textId="081AF6C8" w:rsidR="00CE2598" w:rsidRPr="004E1F3A" w:rsidRDefault="004E1F3A" w:rsidP="004E1F3A">
            <w:pPr>
              <w:pStyle w:val="Tabletext"/>
              <w:jc w:val="right"/>
            </w:pPr>
            <w:r>
              <w:t>17%</w:t>
            </w:r>
          </w:p>
        </w:tc>
      </w:tr>
      <w:tr w:rsidR="004E1F3A" w:rsidRPr="000056E7" w14:paraId="0F651933" w14:textId="77777777" w:rsidTr="002E562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59"/>
        </w:trPr>
        <w:tc>
          <w:tcPr>
            <w:tcW w:w="1883" w:type="pct"/>
            <w:vAlign w:val="top"/>
          </w:tcPr>
          <w:p w14:paraId="36959953" w14:textId="1B337C68" w:rsidR="004E1F3A" w:rsidRPr="002E562D" w:rsidRDefault="004E1F3A">
            <w:pPr>
              <w:pStyle w:val="Tabletext"/>
            </w:pPr>
            <w:r w:rsidRPr="002E562D">
              <w:t>Additional according to any of the above</w:t>
            </w:r>
          </w:p>
        </w:tc>
        <w:tc>
          <w:tcPr>
            <w:tcW w:w="1039" w:type="pct"/>
            <w:vAlign w:val="center"/>
          </w:tcPr>
          <w:p w14:paraId="2427DFF8" w14:textId="66FBE054" w:rsidR="004E1F3A" w:rsidRPr="002E562D" w:rsidRDefault="004E1F3A" w:rsidP="004E1F3A">
            <w:pPr>
              <w:pStyle w:val="Tabletext"/>
              <w:jc w:val="right"/>
            </w:pPr>
            <w:r>
              <w:t>69%</w:t>
            </w:r>
          </w:p>
        </w:tc>
        <w:tc>
          <w:tcPr>
            <w:tcW w:w="1039" w:type="pct"/>
            <w:vAlign w:val="center"/>
          </w:tcPr>
          <w:p w14:paraId="28C7E644" w14:textId="028ADA0C" w:rsidR="004E1F3A" w:rsidRPr="004E1F3A" w:rsidRDefault="004E1F3A" w:rsidP="004E1F3A">
            <w:pPr>
              <w:pStyle w:val="Tabletext"/>
              <w:jc w:val="right"/>
            </w:pPr>
            <w:r>
              <w:t>74%</w:t>
            </w:r>
          </w:p>
        </w:tc>
        <w:tc>
          <w:tcPr>
            <w:tcW w:w="1039" w:type="pct"/>
            <w:vAlign w:val="center"/>
          </w:tcPr>
          <w:p w14:paraId="17D988E3" w14:textId="569C519D" w:rsidR="004E1F3A" w:rsidRPr="004E1F3A" w:rsidRDefault="00540275" w:rsidP="004E1F3A">
            <w:pPr>
              <w:pStyle w:val="Tabletext"/>
              <w:jc w:val="right"/>
            </w:pPr>
            <w:r>
              <w:t>69</w:t>
            </w:r>
            <w:r w:rsidR="004E1F3A">
              <w:t>%</w:t>
            </w:r>
          </w:p>
        </w:tc>
      </w:tr>
    </w:tbl>
    <w:p w14:paraId="465F8316" w14:textId="4BEC43C3" w:rsidR="004E1F3A" w:rsidRPr="002E562D" w:rsidRDefault="004E1F3A" w:rsidP="00C700D6">
      <w:pPr>
        <w:rPr>
          <w:sz w:val="2"/>
          <w:szCs w:val="2"/>
        </w:rPr>
      </w:pPr>
    </w:p>
    <w:p w14:paraId="4BFDE8E5" w14:textId="6586967F" w:rsidR="004E1F3A" w:rsidRDefault="212A992E" w:rsidP="00C700D6">
      <w:r>
        <w:t>Additionality according to these three elements was slightly higher for BBLS than for RLS 1.0</w:t>
      </w:r>
      <w:r w:rsidR="48AEA547">
        <w:t>, and roughly the same for CBILS/CLBILS</w:t>
      </w:r>
      <w:r>
        <w:t xml:space="preserve">. Furthermore, a much higher proportion of additionality of the Covid-19 Loan Guarantee Schemes came from borrowers who otherwise would not have applied for external finance. This is perhaps to be expected given the particular focus of the Covid-19 Loan Guarantee Schemes on helping businesses through the pandemic, the very widespread take up of these schemes and the extremely challenging conditions in the first few weeks of the pandemic.  </w:t>
      </w:r>
      <w:r w:rsidR="7AD57F16">
        <w:t xml:space="preserve"> </w:t>
      </w:r>
    </w:p>
    <w:p w14:paraId="4E9F139C" w14:textId="1BC365B8" w:rsidR="00E13C85" w:rsidRPr="005230B0" w:rsidRDefault="005230B0" w:rsidP="00C700D6">
      <w:r>
        <w:t>The evaluation also explores whether there is any variation in additionality across borrowers accessing finance under RLS 1.0 from different types of lenders</w:t>
      </w:r>
      <w:r w:rsidR="003A0129">
        <w:t xml:space="preserve">. </w:t>
      </w:r>
      <w:r w:rsidR="00E13C85">
        <w:t>The analysis found that loans provided by banks were less likely to be additional than loans provided by other institutions. In particular, only 72% of loans from banks were found to be additional, in comparison to 85% of loans from other institutions. This difference, statistically significant at the 10% level,</w:t>
      </w:r>
      <w:r w:rsidR="004E1F3A">
        <w:rPr>
          <w:rStyle w:val="FootnoteReference"/>
        </w:rPr>
        <w:footnoteReference w:id="8"/>
      </w:r>
      <w:r w:rsidR="00E13C85">
        <w:t xml:space="preserve"> emphasi</w:t>
      </w:r>
      <w:r w:rsidR="00E55B97">
        <w:t>s</w:t>
      </w:r>
      <w:r w:rsidR="00E13C85">
        <w:t xml:space="preserve">es the importance of lender diversity and competition and suggests that RLS 1.0 has helped businesses that may not qualify for traditional finance from banks to obtain finance through other avenues. </w:t>
      </w:r>
      <w:r w:rsidR="00E02439" w:rsidRPr="008B47AC">
        <w:t>For context, 31% of facility volume and 56% of facility value extended under RLS 1.0 were from bank lenders</w:t>
      </w:r>
      <w:r w:rsidR="003A0129">
        <w:t xml:space="preserve">. Detail on which lenders were classified as banks and which as non-banks can be found in </w:t>
      </w:r>
      <w:r w:rsidR="003A0129">
        <w:fldChar w:fldCharType="begin"/>
      </w:r>
      <w:r w:rsidR="003A0129">
        <w:instrText xml:space="preserve"> REF _Ref158198707 \h </w:instrText>
      </w:r>
      <w:r w:rsidR="003A0129">
        <w:fldChar w:fldCharType="separate"/>
      </w:r>
      <w:r w:rsidR="001525E9">
        <w:t>Annex 5</w:t>
      </w:r>
      <w:r w:rsidR="003A0129">
        <w:fldChar w:fldCharType="end"/>
      </w:r>
      <w:r w:rsidR="003A0129">
        <w:t xml:space="preserve">. </w:t>
      </w:r>
    </w:p>
    <w:p w14:paraId="6672A07D" w14:textId="19DD72A7" w:rsidR="002E562D" w:rsidRDefault="002E562D" w:rsidP="002E562D">
      <w:pPr>
        <w:pStyle w:val="Heading3"/>
      </w:pPr>
      <w:r w:rsidRPr="005230B0">
        <w:t>Product market displacement</w:t>
      </w:r>
    </w:p>
    <w:p w14:paraId="30426A56" w14:textId="5D530617" w:rsidR="00D61313" w:rsidRPr="005230B0" w:rsidRDefault="00C700D6" w:rsidP="00C700D6">
      <w:r w:rsidRPr="005230B0">
        <w:t xml:space="preserve">Any impacts of </w:t>
      </w:r>
      <w:r w:rsidR="005230B0" w:rsidRPr="005230B0">
        <w:t>RLS 1.0</w:t>
      </w:r>
      <w:r w:rsidRPr="005230B0">
        <w:t xml:space="preserve"> on the business outcomes of </w:t>
      </w:r>
      <w:r w:rsidR="00B4158C" w:rsidRPr="005230B0">
        <w:t>borrowers</w:t>
      </w:r>
      <w:r w:rsidRPr="005230B0">
        <w:t xml:space="preserve"> should take into account the extent to which economic output from these </w:t>
      </w:r>
      <w:r w:rsidR="00B4158C" w:rsidRPr="005230B0">
        <w:t>borrowers</w:t>
      </w:r>
      <w:r w:rsidRPr="005230B0">
        <w:t xml:space="preserve"> displace</w:t>
      </w:r>
      <w:r w:rsidR="005230B0" w:rsidRPr="005230B0">
        <w:t>s</w:t>
      </w:r>
      <w:r w:rsidRPr="005230B0">
        <w:t xml:space="preserve"> output from competitors. For instance, while a restaurant may grow by catering to new customers that did not previously go to restaurants, it may also grow at the expense of other restaurants (i.e.</w:t>
      </w:r>
      <w:r w:rsidR="00B4158C" w:rsidRPr="005230B0">
        <w:t>,</w:t>
      </w:r>
      <w:r w:rsidRPr="005230B0">
        <w:t xml:space="preserve"> lead people to switch away from competitors). </w:t>
      </w:r>
    </w:p>
    <w:p w14:paraId="204C39E1" w14:textId="6313AEF5" w:rsidR="001C49FD" w:rsidRDefault="005230B0" w:rsidP="00C700D6">
      <w:pPr>
        <w:rPr>
          <w:lang w:val="en-US"/>
        </w:rPr>
      </w:pPr>
      <w:r w:rsidRPr="004A39B0">
        <w:t>It should be noted that the extent of product market displacement depends on the benchmark against which it is being assessed. For the purposes of this research, displacement is measured at the time that borrowers received their finance under RLS 1.0 (the scheme was open from April 6</w:t>
      </w:r>
      <w:r w:rsidRPr="004A39B0">
        <w:rPr>
          <w:vertAlign w:val="superscript"/>
        </w:rPr>
        <w:t>th</w:t>
      </w:r>
      <w:r w:rsidRPr="004A39B0">
        <w:t xml:space="preserve"> to December 31</w:t>
      </w:r>
      <w:r w:rsidRPr="004A39B0">
        <w:rPr>
          <w:vertAlign w:val="superscript"/>
        </w:rPr>
        <w:t>st</w:t>
      </w:r>
      <w:r w:rsidRPr="004A39B0">
        <w:t xml:space="preserve"> 2021). </w:t>
      </w:r>
      <w:r w:rsidR="001C49FD">
        <w:t>For context, product market displacement was estimated in the same way in the evaluation of BBLS, CBILS and CLBILS and, as shown in the table below, the estimates are broadly similar</w:t>
      </w:r>
      <w:r w:rsidR="001C49FD">
        <w:rPr>
          <w:lang w:val="en-US"/>
        </w:rPr>
        <w:t>.</w:t>
      </w:r>
      <w:r w:rsidRPr="005230B0">
        <w:rPr>
          <w:lang w:val="en-US"/>
        </w:rPr>
        <w:t xml:space="preserve"> </w:t>
      </w:r>
    </w:p>
    <w:p w14:paraId="5F28E5B8" w14:textId="1AFA5E63" w:rsidR="001C49FD" w:rsidRPr="00D0457A" w:rsidRDefault="001C49FD" w:rsidP="001C49FD">
      <w:pPr>
        <w:pStyle w:val="Heading5"/>
      </w:pPr>
      <w:r w:rsidRPr="00D0457A">
        <w:t xml:space="preserve">Table </w:t>
      </w:r>
      <w:r w:rsidRPr="00D0457A">
        <w:fldChar w:fldCharType="begin"/>
      </w:r>
      <w:r w:rsidRPr="00D0457A">
        <w:instrText>SEQ Table \* ARABIC</w:instrText>
      </w:r>
      <w:r w:rsidRPr="00D0457A">
        <w:fldChar w:fldCharType="separate"/>
      </w:r>
      <w:r w:rsidR="001525E9">
        <w:rPr>
          <w:noProof/>
        </w:rPr>
        <w:t>2</w:t>
      </w:r>
      <w:r w:rsidRPr="00D0457A">
        <w:fldChar w:fldCharType="end"/>
      </w:r>
      <w:r w:rsidRPr="00D0457A">
        <w:t xml:space="preserve">: </w:t>
      </w:r>
      <w:r>
        <w:t>Estimates of product market displacement from the evaluations of RLS 1.0, BBLS and CBILS/CLBILS</w:t>
      </w:r>
    </w:p>
    <w:tbl>
      <w:tblPr>
        <w:tblStyle w:val="TableGrid"/>
        <w:tblW w:w="5006" w:type="pct"/>
        <w:tblLayout w:type="fixed"/>
        <w:tblLook w:val="04A0" w:firstRow="1" w:lastRow="0" w:firstColumn="1" w:lastColumn="0" w:noHBand="0" w:noVBand="1"/>
        <w:tblCaption w:val="Business size"/>
        <w:tblDescription w:val="Business size"/>
      </w:tblPr>
      <w:tblGrid>
        <w:gridCol w:w="2541"/>
        <w:gridCol w:w="2541"/>
        <w:gridCol w:w="2542"/>
        <w:gridCol w:w="2542"/>
      </w:tblGrid>
      <w:tr w:rsidR="001C49FD" w:rsidRPr="000056E7" w14:paraId="5FD83342" w14:textId="77777777" w:rsidTr="002E562D">
        <w:trPr>
          <w:cnfStyle w:val="100000000000" w:firstRow="1" w:lastRow="0" w:firstColumn="0" w:lastColumn="0" w:oddVBand="0" w:evenVBand="0" w:oddHBand="0" w:evenHBand="0" w:firstRowFirstColumn="0" w:firstRowLastColumn="0" w:lastRowFirstColumn="0" w:lastRowLastColumn="0"/>
          <w:trHeight w:val="567"/>
          <w:tblHeader/>
        </w:trPr>
        <w:tc>
          <w:tcPr>
            <w:tcW w:w="1250" w:type="pct"/>
            <w:vAlign w:val="top"/>
            <w:hideMark/>
          </w:tcPr>
          <w:p w14:paraId="3F01B31D" w14:textId="77777777" w:rsidR="001C49FD" w:rsidRPr="00B21B8A" w:rsidRDefault="001C49FD">
            <w:pPr>
              <w:pStyle w:val="Tablecolumnheading-inkblue"/>
              <w:rPr>
                <w:color w:val="FFFFFF" w:themeColor="background1"/>
              </w:rPr>
            </w:pPr>
          </w:p>
        </w:tc>
        <w:tc>
          <w:tcPr>
            <w:tcW w:w="1250" w:type="pct"/>
            <w:vAlign w:val="top"/>
            <w:hideMark/>
          </w:tcPr>
          <w:p w14:paraId="3F412F42" w14:textId="77777777" w:rsidR="001C49FD" w:rsidRPr="008F7405" w:rsidRDefault="001C49FD">
            <w:pPr>
              <w:pStyle w:val="Tablecolumnheading-inkblue"/>
              <w:jc w:val="right"/>
              <w:rPr>
                <w:b w:val="0"/>
                <w:color w:val="FFFFFF" w:themeColor="background1"/>
              </w:rPr>
            </w:pPr>
            <w:r>
              <w:rPr>
                <w:color w:val="FFFFFF" w:themeColor="background1"/>
              </w:rPr>
              <w:t>RLS 1.0</w:t>
            </w:r>
          </w:p>
          <w:p w14:paraId="42BEDB02" w14:textId="77777777" w:rsidR="001C49FD" w:rsidRPr="000056E7" w:rsidRDefault="001C49FD">
            <w:pPr>
              <w:pStyle w:val="Tabletext"/>
              <w:rPr>
                <w:highlight w:val="yellow"/>
              </w:rPr>
            </w:pPr>
          </w:p>
        </w:tc>
        <w:tc>
          <w:tcPr>
            <w:tcW w:w="1250" w:type="pct"/>
          </w:tcPr>
          <w:p w14:paraId="2EE4A203" w14:textId="77777777" w:rsidR="001C49FD" w:rsidRPr="00B21B8A" w:rsidRDefault="001C49FD">
            <w:pPr>
              <w:pStyle w:val="Tablecolumnheading-inkblue"/>
              <w:jc w:val="right"/>
              <w:rPr>
                <w:color w:val="FFFFFF" w:themeColor="background1"/>
              </w:rPr>
            </w:pPr>
            <w:r>
              <w:rPr>
                <w:color w:val="FFFFFF" w:themeColor="background1"/>
              </w:rPr>
              <w:t>BBLS</w:t>
            </w:r>
          </w:p>
        </w:tc>
        <w:tc>
          <w:tcPr>
            <w:tcW w:w="1250" w:type="pct"/>
            <w:vAlign w:val="top"/>
          </w:tcPr>
          <w:p w14:paraId="14280F1B" w14:textId="77777777" w:rsidR="001C49FD" w:rsidRDefault="001C49FD">
            <w:pPr>
              <w:pStyle w:val="Tablecolumnheading-inkblue"/>
              <w:jc w:val="right"/>
              <w:rPr>
                <w:color w:val="FFFFFF" w:themeColor="background1"/>
              </w:rPr>
            </w:pPr>
            <w:r>
              <w:rPr>
                <w:color w:val="FFFFFF" w:themeColor="background1"/>
              </w:rPr>
              <w:t>CBILS/CLBILS</w:t>
            </w:r>
          </w:p>
        </w:tc>
      </w:tr>
      <w:tr w:rsidR="001C49FD" w:rsidRPr="000056E7" w14:paraId="413F845F" w14:textId="77777777" w:rsidTr="002E562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0"/>
        </w:trPr>
        <w:tc>
          <w:tcPr>
            <w:tcW w:w="1250" w:type="pct"/>
            <w:vAlign w:val="top"/>
          </w:tcPr>
          <w:p w14:paraId="04334A84" w14:textId="77777777" w:rsidR="001C49FD" w:rsidRPr="000056E7" w:rsidRDefault="001C49FD">
            <w:pPr>
              <w:pStyle w:val="Tabletext"/>
              <w:rPr>
                <w:highlight w:val="yellow"/>
              </w:rPr>
            </w:pPr>
            <w:r>
              <w:t>Dates open</w:t>
            </w:r>
          </w:p>
        </w:tc>
        <w:tc>
          <w:tcPr>
            <w:tcW w:w="1250" w:type="pct"/>
            <w:vAlign w:val="center"/>
          </w:tcPr>
          <w:p w14:paraId="3EBE4DC5" w14:textId="77777777" w:rsidR="001C49FD" w:rsidRPr="008F7405" w:rsidRDefault="001C49FD">
            <w:pPr>
              <w:pStyle w:val="Tabletext"/>
              <w:jc w:val="right"/>
            </w:pPr>
            <w:r w:rsidRPr="008F7405">
              <w:t>April – December 2021</w:t>
            </w:r>
          </w:p>
        </w:tc>
        <w:tc>
          <w:tcPr>
            <w:tcW w:w="1250" w:type="pct"/>
            <w:vAlign w:val="center"/>
          </w:tcPr>
          <w:p w14:paraId="25BA51AA" w14:textId="77777777" w:rsidR="001C49FD" w:rsidRPr="008F7405" w:rsidRDefault="001C49FD">
            <w:pPr>
              <w:pStyle w:val="Tabletext"/>
              <w:jc w:val="right"/>
            </w:pPr>
            <w:r w:rsidRPr="004E1F3A">
              <w:t>May 2020 – March 2021</w:t>
            </w:r>
          </w:p>
        </w:tc>
        <w:tc>
          <w:tcPr>
            <w:tcW w:w="1250" w:type="pct"/>
            <w:vAlign w:val="center"/>
          </w:tcPr>
          <w:p w14:paraId="77DBAB17" w14:textId="77777777" w:rsidR="001C49FD" w:rsidRPr="004E1F3A" w:rsidRDefault="001C49FD">
            <w:pPr>
              <w:pStyle w:val="Tabletext"/>
              <w:jc w:val="right"/>
            </w:pPr>
            <w:r w:rsidRPr="004E1F3A">
              <w:t>March/April 2020</w:t>
            </w:r>
            <w:r w:rsidRPr="004E1F3A">
              <w:rPr>
                <w:rStyle w:val="FootnoteReference"/>
              </w:rPr>
              <w:footnoteReference w:id="9"/>
            </w:r>
            <w:r w:rsidRPr="004E1F3A">
              <w:t xml:space="preserve"> – March 2021</w:t>
            </w:r>
          </w:p>
        </w:tc>
      </w:tr>
      <w:tr w:rsidR="001C49FD" w:rsidRPr="000056E7" w14:paraId="729F9239" w14:textId="77777777" w:rsidTr="002E562D">
        <w:tblPrEx>
          <w:tblCellMar>
            <w:left w:w="108" w:type="dxa"/>
            <w:right w:w="108" w:type="dxa"/>
          </w:tblCellMar>
        </w:tblPrEx>
        <w:trPr>
          <w:trHeight w:val="559"/>
        </w:trPr>
        <w:tc>
          <w:tcPr>
            <w:tcW w:w="1250" w:type="pct"/>
            <w:vAlign w:val="top"/>
          </w:tcPr>
          <w:p w14:paraId="3CC60375" w14:textId="56B25805" w:rsidR="001C49FD" w:rsidRPr="008F7405" w:rsidRDefault="001C49FD">
            <w:pPr>
              <w:pStyle w:val="Tabletext"/>
            </w:pPr>
            <w:r>
              <w:t>Product Market Displacement</w:t>
            </w:r>
          </w:p>
        </w:tc>
        <w:tc>
          <w:tcPr>
            <w:tcW w:w="1250" w:type="pct"/>
            <w:vAlign w:val="center"/>
          </w:tcPr>
          <w:p w14:paraId="137F7C45" w14:textId="0909D929" w:rsidR="001C49FD" w:rsidRPr="008F7405" w:rsidRDefault="001C49FD">
            <w:pPr>
              <w:pStyle w:val="Tabletext"/>
              <w:jc w:val="right"/>
            </w:pPr>
            <w:r>
              <w:t>45%</w:t>
            </w:r>
          </w:p>
        </w:tc>
        <w:tc>
          <w:tcPr>
            <w:tcW w:w="1250" w:type="pct"/>
            <w:vAlign w:val="center"/>
          </w:tcPr>
          <w:p w14:paraId="1CCF1199" w14:textId="3B731EF9" w:rsidR="001C49FD" w:rsidRPr="008F7405" w:rsidRDefault="001C49FD">
            <w:pPr>
              <w:pStyle w:val="Tabletext"/>
              <w:jc w:val="right"/>
              <w:rPr>
                <w:bCs/>
              </w:rPr>
            </w:pPr>
            <w:r>
              <w:rPr>
                <w:bCs/>
              </w:rPr>
              <w:t>43%</w:t>
            </w:r>
          </w:p>
        </w:tc>
        <w:tc>
          <w:tcPr>
            <w:tcW w:w="1250" w:type="pct"/>
            <w:vAlign w:val="center"/>
          </w:tcPr>
          <w:p w14:paraId="4EE2ECB4" w14:textId="0A952513" w:rsidR="001C49FD" w:rsidRPr="004E1F3A" w:rsidRDefault="001C49FD">
            <w:pPr>
              <w:pStyle w:val="Tabletext"/>
              <w:jc w:val="right"/>
            </w:pPr>
            <w:r>
              <w:t>46%</w:t>
            </w:r>
          </w:p>
        </w:tc>
      </w:tr>
    </w:tbl>
    <w:p w14:paraId="63C0938E" w14:textId="77777777" w:rsidR="001C49FD" w:rsidRDefault="001C49FD" w:rsidP="00C700D6">
      <w:pPr>
        <w:rPr>
          <w:lang w:val="en-US"/>
        </w:rPr>
      </w:pPr>
    </w:p>
    <w:p w14:paraId="270055FE" w14:textId="6E4D4F06" w:rsidR="005230B0" w:rsidRDefault="001C49FD" w:rsidP="00C700D6">
      <w:pPr>
        <w:rPr>
          <w:lang w:val="en-US"/>
        </w:rPr>
      </w:pPr>
      <w:r>
        <w:rPr>
          <w:lang w:val="en-US"/>
        </w:rPr>
        <w:t>It should be noted that these estimates for product market displacement are based on self-reported data. This is important as, in the evaluation of BBLS, CBILS and CLBILS, estimates for product market displacement increased to</w:t>
      </w:r>
      <w:r w:rsidR="005230B0" w:rsidRPr="005230B0">
        <w:rPr>
          <w:lang w:val="en-US"/>
        </w:rPr>
        <w:t xml:space="preserve"> 51</w:t>
      </w:r>
      <w:r w:rsidR="001025EF">
        <w:rPr>
          <w:lang w:val="en-US"/>
        </w:rPr>
        <w:t>%</w:t>
      </w:r>
      <w:r w:rsidR="005230B0" w:rsidRPr="005230B0">
        <w:rPr>
          <w:lang w:val="en-US"/>
        </w:rPr>
        <w:t>-56% and 52</w:t>
      </w:r>
      <w:r w:rsidR="001025EF">
        <w:rPr>
          <w:lang w:val="en-US"/>
        </w:rPr>
        <w:t>%</w:t>
      </w:r>
      <w:r w:rsidR="005230B0" w:rsidRPr="005230B0">
        <w:rPr>
          <w:lang w:val="en-US"/>
        </w:rPr>
        <w:t>-56% when using observed competition rather than self-reported competition</w:t>
      </w:r>
      <w:r>
        <w:rPr>
          <w:lang w:val="en-US"/>
        </w:rPr>
        <w:t xml:space="preserve"> for BBLS and CBILS/CLBILS respectively</w:t>
      </w:r>
      <w:r w:rsidR="005230B0" w:rsidRPr="005230B0">
        <w:rPr>
          <w:lang w:val="en-US"/>
        </w:rPr>
        <w:t>.</w:t>
      </w:r>
      <w:r w:rsidR="005230B0" w:rsidRPr="005230B0">
        <w:rPr>
          <w:rStyle w:val="FootnoteReference"/>
          <w:lang w:val="en-US"/>
        </w:rPr>
        <w:footnoteReference w:id="10"/>
      </w:r>
    </w:p>
    <w:p w14:paraId="4B3F048F" w14:textId="241FB731" w:rsidR="001C49FD" w:rsidRPr="005230B0" w:rsidRDefault="001C49FD" w:rsidP="00C700D6">
      <w:r>
        <w:rPr>
          <w:lang w:val="en-US"/>
        </w:rPr>
        <w:t>More generally, it should also be noted that while RLS 1.0 was open economic output was still below potential.</w:t>
      </w:r>
      <w:r>
        <w:rPr>
          <w:rStyle w:val="FootnoteReference"/>
          <w:lang w:val="en-US"/>
        </w:rPr>
        <w:footnoteReference w:id="11"/>
      </w:r>
      <w:r>
        <w:rPr>
          <w:lang w:val="en-US"/>
        </w:rPr>
        <w:t xml:space="preserve"> Hence, any product market displacement is unlikely to have occurred immediately and may become more noticeable as the economy approaches full capacity. </w:t>
      </w:r>
    </w:p>
    <w:p w14:paraId="72C07CBF" w14:textId="5CA91E56" w:rsidR="002E562D" w:rsidRDefault="002E562D" w:rsidP="002E562D">
      <w:pPr>
        <w:pStyle w:val="Heading3"/>
      </w:pPr>
      <w:r w:rsidRPr="00666B06">
        <w:t>Lender response to scheme parameters</w:t>
      </w:r>
    </w:p>
    <w:p w14:paraId="77747C36" w14:textId="704ED8E1" w:rsidR="004B3CC9" w:rsidRDefault="42818E9A" w:rsidP="003B2EF1">
      <w:r>
        <w:t>The changes to the scheme parameters</w:t>
      </w:r>
      <w:r w:rsidR="00E47878">
        <w:t xml:space="preserve"> (or continuation of existing parameters)</w:t>
      </w:r>
      <w:r>
        <w:t xml:space="preserve">, compared to CBILS, had an impact on lenders. These included changes to the </w:t>
      </w:r>
      <w:r w:rsidR="00447A72">
        <w:t xml:space="preserve">scheme lender </w:t>
      </w:r>
      <w:r>
        <w:t xml:space="preserve">fee for providing the lending, </w:t>
      </w:r>
      <w:r w:rsidR="00E47878">
        <w:t xml:space="preserve">the maximum interest </w:t>
      </w:r>
      <w:r>
        <w:t>rates</w:t>
      </w:r>
      <w:r w:rsidR="00E47878">
        <w:t xml:space="preserve"> permitted</w:t>
      </w:r>
      <w:r>
        <w:t xml:space="preserve"> </w:t>
      </w:r>
      <w:r w:rsidR="00E47878">
        <w:t>and the requirement of passing through the benefit of the guarantee</w:t>
      </w:r>
      <w:r>
        <w:t>, the continuation of personal guarantees not being required and the introduction of an additionality test. The mo</w:t>
      </w:r>
      <w:r w:rsidR="00B626D3">
        <w:t>s</w:t>
      </w:r>
      <w:r>
        <w:t>t significant impact on lenders was on the scale of lending and the types of business they were providing lending to through the scheme. Accredited lenders reported that during the period the C</w:t>
      </w:r>
      <w:r w:rsidR="3C580A7C">
        <w:t>ovid</w:t>
      </w:r>
      <w:r>
        <w:t xml:space="preserve">-19 </w:t>
      </w:r>
      <w:r w:rsidR="1ACDD46D">
        <w:t xml:space="preserve">Loan Guarantee </w:t>
      </w:r>
      <w:r w:rsidR="00FE5F0C">
        <w:t>S</w:t>
      </w:r>
      <w:r>
        <w:t>chemes were live, the majority of lending they were providing was through guaranteed schemes. However, the changes to the parameters meant that commercial lending was a more appealing offer than the terms that would be offered through RLS 1.0 for most businesses.</w:t>
      </w:r>
    </w:p>
    <w:p w14:paraId="4ACE26D1" w14:textId="62EA80DA" w:rsidR="004B3CC9" w:rsidRDefault="004B3CC9" w:rsidP="003B2EF1">
      <w:r>
        <w:t>This is demonstrated by the estimated proportion of total business lending that RLS 1.0 represented. The C</w:t>
      </w:r>
      <w:r w:rsidR="00A10525">
        <w:t>ovid</w:t>
      </w:r>
      <w:r>
        <w:t xml:space="preserve">-19 Loan Guarantee </w:t>
      </w:r>
      <w:r w:rsidR="004D6340">
        <w:t>S</w:t>
      </w:r>
      <w:r>
        <w:t>chemes represented a majority of business lending in 2020 (around 80% of business lending), but RLS 1.0 lending appears to represent under 3% of total business lending in 2021.</w:t>
      </w:r>
      <w:r>
        <w:rPr>
          <w:rStyle w:val="FootnoteReference"/>
        </w:rPr>
        <w:footnoteReference w:id="12"/>
      </w:r>
      <w:r>
        <w:t xml:space="preserve">  </w:t>
      </w:r>
    </w:p>
    <w:p w14:paraId="5E6AC3E7" w14:textId="037C5131" w:rsidR="005230B0" w:rsidRPr="004B3CC9" w:rsidRDefault="004B3CC9" w:rsidP="004B3CC9">
      <w:r>
        <w:t xml:space="preserve">As the scale of business lending through RLS 1.0 was relatively low, it was reported to have had a very limited impact on competition in the SME finance market. Accredited lenders that were consulted confirmed that RLS 1.0 lending represented a low proportion of their total lending portfolio and felt that it had not impacted the market significantly, or their position within the market.  </w:t>
      </w:r>
      <w:r w:rsidR="005230B0">
        <w:br w:type="page"/>
      </w:r>
    </w:p>
    <w:p w14:paraId="5A152919" w14:textId="7A81BE34" w:rsidR="00653746" w:rsidRDefault="00653746" w:rsidP="00653746">
      <w:pPr>
        <w:pStyle w:val="Heading1"/>
      </w:pPr>
      <w:bookmarkStart w:id="11" w:name="_Toc161327574"/>
      <w:r w:rsidRPr="00BF6B23">
        <w:t>Introduction</w:t>
      </w:r>
      <w:bookmarkEnd w:id="11"/>
    </w:p>
    <w:p w14:paraId="3B1C8A3C" w14:textId="22A96A39" w:rsidR="004C2C90" w:rsidRPr="005F3E99" w:rsidRDefault="004C2C90" w:rsidP="004C2C90">
      <w:r w:rsidRPr="005F3E99">
        <w:t xml:space="preserve">London Economics and </w:t>
      </w:r>
      <w:r w:rsidR="00BE4C3E" w:rsidRPr="005F3E99">
        <w:t>Ipsos</w:t>
      </w:r>
      <w:r w:rsidRPr="005F3E99">
        <w:t xml:space="preserve"> were commissioned by the British Business Bank (BBB) in </w:t>
      </w:r>
      <w:r w:rsidR="00BF6B23" w:rsidRPr="005F3E99">
        <w:t>February 2023</w:t>
      </w:r>
      <w:r w:rsidRPr="005F3E99">
        <w:t xml:space="preserve"> to undertake a</w:t>
      </w:r>
      <w:r w:rsidR="005F3E99" w:rsidRPr="005F3E99">
        <w:t xml:space="preserve">n evaluation of the Recovery Loan Scheme (RLS 1.0). </w:t>
      </w:r>
    </w:p>
    <w:p w14:paraId="50EFFB35" w14:textId="24A88F23" w:rsidR="004C2C90" w:rsidRPr="005F3E99" w:rsidRDefault="004C2C90" w:rsidP="004C2C90">
      <w:r w:rsidRPr="005F3E99">
        <w:t xml:space="preserve">This report provides findings from the process evaluation which aimed to assess the processes adopted to deliver </w:t>
      </w:r>
      <w:r w:rsidR="005F3E99" w:rsidRPr="005F3E99">
        <w:t>RLS 1.0 and</w:t>
      </w:r>
      <w:r w:rsidRPr="005F3E99">
        <w:t xml:space="preserve"> enabl</w:t>
      </w:r>
      <w:r w:rsidR="008D0D26" w:rsidRPr="005F3E99">
        <w:t>e</w:t>
      </w:r>
      <w:r w:rsidRPr="005F3E99">
        <w:t xml:space="preserve"> </w:t>
      </w:r>
      <w:r w:rsidR="00C236F3">
        <w:t>BBB and DBT</w:t>
      </w:r>
      <w:r w:rsidR="002E562D" w:rsidRPr="005F3E99">
        <w:t xml:space="preserve"> to efficiently</w:t>
      </w:r>
      <w:r w:rsidR="00C236F3">
        <w:t xml:space="preserve"> </w:t>
      </w:r>
      <w:r w:rsidRPr="005F3E99">
        <w:t xml:space="preserve">meet their policy objectives, as well as an early impact assessment which provides </w:t>
      </w:r>
      <w:r w:rsidR="00150808" w:rsidRPr="005F3E99">
        <w:t xml:space="preserve">early </w:t>
      </w:r>
      <w:r w:rsidRPr="005F3E99">
        <w:t xml:space="preserve">quantitative estimates of </w:t>
      </w:r>
      <w:r w:rsidR="00C236F3">
        <w:t>the</w:t>
      </w:r>
      <w:r w:rsidR="005F3E99" w:rsidRPr="005F3E99">
        <w:t xml:space="preserve"> impact </w:t>
      </w:r>
      <w:r w:rsidR="00C236F3">
        <w:t xml:space="preserve">of RLS 1.0 </w:t>
      </w:r>
      <w:r w:rsidR="005F3E99" w:rsidRPr="005F3E99">
        <w:t>on businesses.</w:t>
      </w:r>
      <w:r w:rsidRPr="005F3E99">
        <w:t xml:space="preserve"> </w:t>
      </w:r>
    </w:p>
    <w:p w14:paraId="2185112C" w14:textId="77777777" w:rsidR="004C2C90" w:rsidRPr="005F3E99" w:rsidRDefault="004C2C90" w:rsidP="004C2C90">
      <w:pPr>
        <w:pStyle w:val="Heading2"/>
      </w:pPr>
      <w:bookmarkStart w:id="12" w:name="_Toc161327575"/>
      <w:r w:rsidRPr="005F3E99">
        <w:t>Policy context</w:t>
      </w:r>
      <w:bookmarkEnd w:id="12"/>
    </w:p>
    <w:p w14:paraId="7AEE09E0" w14:textId="75FEE6D1" w:rsidR="005F3E99" w:rsidRPr="00C13DF5" w:rsidRDefault="005F3E99" w:rsidP="005F3E99">
      <w:r w:rsidRPr="00C13DF5">
        <w:t>In 2020 the UK, along with the rest of the world, faced major public health and economic challenges owing to the Covid-19 pandemic. The government moved at pace to design and launch the three Covid-19 Loan Guarantee Schemes (BBLS, CBILS and CLBILS) to support businesses’ ability to access affordable finance</w:t>
      </w:r>
      <w:r w:rsidR="6AC9B6C4" w:rsidRPr="00C13DF5">
        <w:t xml:space="preserve"> </w:t>
      </w:r>
      <w:r w:rsidR="4FE5F395">
        <w:t>and</w:t>
      </w:r>
      <w:r w:rsidRPr="00C13DF5">
        <w:t xml:space="preserve"> </w:t>
      </w:r>
      <w:r w:rsidR="0039115D">
        <w:t>increase</w:t>
      </w:r>
      <w:r w:rsidRPr="00C13DF5">
        <w:t xml:space="preserve"> business </w:t>
      </w:r>
      <w:r w:rsidR="0039115D">
        <w:t xml:space="preserve">survival at the start of the pandemic. </w:t>
      </w:r>
      <w:r w:rsidRPr="00C13DF5">
        <w:t>These schemes closed for new applications in March 2021, however new variants of Covid-19 meant that the economy had not fully escaped pandemic induced disruption. Furthermore, certain sectors were impacted particularly hard by pandemic restrictions at the local and national levels (e.g. hospitality and tourism) and even long-term viable SMEs faced potential barriers to obtaining external finance.</w:t>
      </w:r>
      <w:r w:rsidR="00205284">
        <w:t xml:space="preserve"> The scale of persistent disruption is evidenced by the fact that the ONS Business Insights and Conditions Survey (BICS) showed that in January 2021</w:t>
      </w:r>
      <w:r w:rsidR="4C2BF3AB">
        <w:t>,</w:t>
      </w:r>
      <w:r w:rsidR="00205284">
        <w:t xml:space="preserve"> 16% of SMEs reported a turnover decrease of more than 50%; 15% a decrease between 20</w:t>
      </w:r>
      <w:r w:rsidR="000C1997">
        <w:t>%</w:t>
      </w:r>
      <w:r w:rsidR="00205284">
        <w:t xml:space="preserve"> and 50% and 14% a decrease of up to 20%.</w:t>
      </w:r>
      <w:r w:rsidR="00205284">
        <w:rPr>
          <w:rStyle w:val="FootnoteReference"/>
        </w:rPr>
        <w:footnoteReference w:id="13"/>
      </w:r>
    </w:p>
    <w:p w14:paraId="6777ACE2" w14:textId="4BF4BAD5" w:rsidR="005F3E99" w:rsidRPr="00205284" w:rsidRDefault="005F3E99" w:rsidP="004C2C90">
      <w:r w:rsidRPr="00C13DF5">
        <w:t>These factors justified further support to businesses, and as such the first iteration of the Recovery Loan Scheme (RLS 1.0) was launched on April 6</w:t>
      </w:r>
      <w:r w:rsidRPr="00C13DF5">
        <w:rPr>
          <w:vertAlign w:val="superscript"/>
        </w:rPr>
        <w:t>th</w:t>
      </w:r>
      <w:r w:rsidRPr="00C13DF5">
        <w:t xml:space="preserve"> 2021 with an initial end date of 31</w:t>
      </w:r>
      <w:r w:rsidRPr="00C13DF5">
        <w:rPr>
          <w:vertAlign w:val="superscript"/>
        </w:rPr>
        <w:t>st</w:t>
      </w:r>
      <w:r w:rsidRPr="00C13DF5">
        <w:t xml:space="preserve"> December 2021. The scheme aimed to provide further financial support to businesses to recover and grow following the pandemic. In particular, it aimed to unlock finance for cashflow and/or investment purposes where businesses were impacted by Covid-19 but were still able to afford external credit. In the 2021 Autumn Budget, a six-month extension of the scheme was announced, applying from 1</w:t>
      </w:r>
      <w:r w:rsidRPr="00C13DF5">
        <w:rPr>
          <w:vertAlign w:val="superscript"/>
        </w:rPr>
        <w:t>st</w:t>
      </w:r>
      <w:r w:rsidRPr="00C13DF5">
        <w:t xml:space="preserve"> January 2022 (RLS 2.0</w:t>
      </w:r>
      <w:r w:rsidR="6AC9B6C4">
        <w:t>)</w:t>
      </w:r>
      <w:r w:rsidR="0039115D">
        <w:t xml:space="preserve"> and a third iteration of the scheme (RLS 3.0) will run until June 2024</w:t>
      </w:r>
      <w:r w:rsidR="6AC9B6C4">
        <w:t xml:space="preserve">. </w:t>
      </w:r>
      <w:r w:rsidR="0039115D">
        <w:t xml:space="preserve">It should be noted that this evaluation focuses exclusively on RLS 1.0. </w:t>
      </w:r>
    </w:p>
    <w:p w14:paraId="070741F2" w14:textId="5D81ABFF" w:rsidR="004C2C90" w:rsidRPr="00205284" w:rsidRDefault="004C2C90" w:rsidP="004C2C90">
      <w:r w:rsidRPr="00205284">
        <w:t xml:space="preserve">The overarching </w:t>
      </w:r>
      <w:r w:rsidR="00205284" w:rsidRPr="00205284">
        <w:t>aim of the Recovery Loan Scheme was</w:t>
      </w:r>
      <w:r w:rsidRPr="00205284">
        <w:t xml:space="preserve"> to </w:t>
      </w:r>
      <w:r w:rsidR="00205284" w:rsidRPr="00205284">
        <w:t>provide financial support to UK businesses as part of recovery and growth following the pandemic. It aimed to unlock finance for cashflow and/or investment where businesses were impacted by Covid-19 but could still afford external finance.</w:t>
      </w:r>
      <w:r w:rsidR="00205284">
        <w:t xml:space="preserve"> Sitting underneath this were the following four key objectives:</w:t>
      </w:r>
    </w:p>
    <w:p w14:paraId="2072242A" w14:textId="09260EDF" w:rsidR="004C2C90" w:rsidRPr="009D27B8" w:rsidRDefault="009D27B8" w:rsidP="004C2C90">
      <w:pPr>
        <w:pStyle w:val="ListBullet"/>
      </w:pPr>
      <w:r w:rsidRPr="009D27B8">
        <w:t>The scheme will unlock finance such that those businesses that can afford more debt and are disrupted by the Covid-19 pandemic can satisfy working capital needs and/or invest in productive capacity;</w:t>
      </w:r>
    </w:p>
    <w:p w14:paraId="55E225B0" w14:textId="2EE187B2" w:rsidR="004C2C90" w:rsidRPr="009D27B8" w:rsidRDefault="009D27B8" w:rsidP="004C2C90">
      <w:pPr>
        <w:pStyle w:val="ListBullet"/>
      </w:pPr>
      <w:r w:rsidRPr="009D27B8">
        <w:t>The scheme will complement other government support and initiatives aimed at businesses;</w:t>
      </w:r>
    </w:p>
    <w:p w14:paraId="2214F902" w14:textId="7E91BB26" w:rsidR="009D27B8" w:rsidRPr="009D27B8" w:rsidRDefault="009D27B8" w:rsidP="004C2C90">
      <w:pPr>
        <w:pStyle w:val="ListBullet"/>
      </w:pPr>
      <w:r w:rsidRPr="009D27B8">
        <w:t>The scheme design should incentivise appropriate risk taking by lenders; and</w:t>
      </w:r>
    </w:p>
    <w:p w14:paraId="2B369B16" w14:textId="5E2DA0C6" w:rsidR="009D27B8" w:rsidRPr="009D27B8" w:rsidRDefault="009D27B8" w:rsidP="004C2C90">
      <w:pPr>
        <w:pStyle w:val="ListBullet"/>
      </w:pPr>
      <w:r w:rsidRPr="009D27B8">
        <w:t>The scheme should aim to deliver high value for money, given evidence</w:t>
      </w:r>
      <w:r>
        <w:t>.</w:t>
      </w:r>
    </w:p>
    <w:p w14:paraId="0C324796" w14:textId="2F879619" w:rsidR="004C2C90" w:rsidRPr="00205284" w:rsidRDefault="004C2C90" w:rsidP="00623C6A">
      <w:pPr>
        <w:pStyle w:val="ListBullet"/>
        <w:numPr>
          <w:ilvl w:val="0"/>
          <w:numId w:val="0"/>
        </w:numPr>
        <w:rPr>
          <w:highlight w:val="yellow"/>
        </w:rPr>
        <w:sectPr w:rsidR="004C2C90" w:rsidRPr="00205284" w:rsidSect="00A21374">
          <w:footerReference w:type="default" r:id="rId26"/>
          <w:headerReference w:type="first" r:id="rId27"/>
          <w:footerReference w:type="first" r:id="rId28"/>
          <w:pgSz w:w="11906" w:h="16838" w:code="9"/>
          <w:pgMar w:top="1701" w:right="845" w:bottom="1531" w:left="907" w:header="624" w:footer="454" w:gutter="0"/>
          <w:cols w:space="284"/>
          <w:titlePg/>
          <w:docGrid w:linePitch="360"/>
        </w:sectPr>
      </w:pPr>
    </w:p>
    <w:p w14:paraId="5ADC3572" w14:textId="14503A67" w:rsidR="004C2C90" w:rsidRPr="004418B5" w:rsidRDefault="00DC764F" w:rsidP="004C2C90">
      <w:pPr>
        <w:pStyle w:val="Heading2"/>
      </w:pPr>
      <w:bookmarkStart w:id="13" w:name="_Toc161327576"/>
      <w:r w:rsidRPr="004418B5">
        <w:t>Evaluation</w:t>
      </w:r>
      <w:r w:rsidR="004C2C90" w:rsidRPr="004418B5">
        <w:t xml:space="preserve"> context</w:t>
      </w:r>
      <w:bookmarkEnd w:id="13"/>
    </w:p>
    <w:p w14:paraId="4CFB3606" w14:textId="77777777" w:rsidR="004C2C90" w:rsidRPr="004418B5" w:rsidRDefault="004C2C90" w:rsidP="004C2C90">
      <w:pPr>
        <w:pStyle w:val="Heading3"/>
      </w:pPr>
      <w:r w:rsidRPr="004418B5">
        <w:t>Inception stage</w:t>
      </w:r>
    </w:p>
    <w:p w14:paraId="5C545553" w14:textId="07376616" w:rsidR="004C2C90" w:rsidRPr="004418B5" w:rsidRDefault="004C2C90" w:rsidP="004C2C90">
      <w:r>
        <w:t xml:space="preserve">In the inception stage of the </w:t>
      </w:r>
      <w:r w:rsidR="00F5301F">
        <w:t>evaluation</w:t>
      </w:r>
      <w:r>
        <w:t xml:space="preserve">, BBB assembled a steering group to oversee the project which includes representatives </w:t>
      </w:r>
      <w:r w:rsidR="004418B5">
        <w:t>from</w:t>
      </w:r>
      <w:r>
        <w:t xml:space="preserve"> key stakeholder organisations (including BBB, </w:t>
      </w:r>
      <w:r w:rsidR="004418B5">
        <w:t>DBT</w:t>
      </w:r>
      <w:r>
        <w:t>, and HMT)</w:t>
      </w:r>
      <w:r w:rsidR="0C3FF486">
        <w:t>.</w:t>
      </w:r>
      <w:r>
        <w:t xml:space="preserve"> The evaluation team </w:t>
      </w:r>
      <w:r w:rsidR="004418B5">
        <w:t>have met with the steering group at key junctures in the evaluation to</w:t>
      </w:r>
      <w:r>
        <w:t xml:space="preserve"> provide progress updates, present emerging findings </w:t>
      </w:r>
      <w:r w:rsidR="002E562D">
        <w:t xml:space="preserve">and </w:t>
      </w:r>
      <w:r>
        <w:t>discuss key risks (and potential mitigations) that would impact the quality and delivery of the evaluation.</w:t>
      </w:r>
    </w:p>
    <w:p w14:paraId="2A5A467E" w14:textId="388C7E9D" w:rsidR="004C2C90" w:rsidRPr="004418B5" w:rsidRDefault="004C2C90" w:rsidP="004C2C90">
      <w:r w:rsidRPr="004418B5">
        <w:t xml:space="preserve">The steering group formally </w:t>
      </w:r>
      <w:r w:rsidR="002E562D" w:rsidRPr="004418B5">
        <w:t>signed</w:t>
      </w:r>
      <w:r w:rsidR="00C236F3">
        <w:t xml:space="preserve"> o</w:t>
      </w:r>
      <w:r w:rsidR="002E562D" w:rsidRPr="004418B5">
        <w:t xml:space="preserve">ff </w:t>
      </w:r>
      <w:r w:rsidR="004418B5" w:rsidRPr="004418B5">
        <w:t>several</w:t>
      </w:r>
      <w:r w:rsidRPr="004418B5">
        <w:t xml:space="preserve"> key outputs during the </w:t>
      </w:r>
      <w:r w:rsidR="004418B5" w:rsidRPr="004418B5">
        <w:t>evaluation</w:t>
      </w:r>
      <w:r w:rsidRPr="004418B5">
        <w:t>, including:</w:t>
      </w:r>
    </w:p>
    <w:p w14:paraId="644F147B" w14:textId="5FCDCCE2" w:rsidR="004C2C90" w:rsidRPr="004418B5" w:rsidRDefault="004C2C90" w:rsidP="004C2C90">
      <w:pPr>
        <w:pStyle w:val="ListBullet"/>
      </w:pPr>
      <w:r w:rsidRPr="004418B5">
        <w:t xml:space="preserve">A methodology paper: This paper provided a detailed description of the methods that were proposed to be used </w:t>
      </w:r>
      <w:r w:rsidR="004418B5" w:rsidRPr="004418B5">
        <w:t>in the impact evaluation</w:t>
      </w:r>
      <w:r w:rsidRPr="004418B5">
        <w:t xml:space="preserve"> as well as the rationale for their selection to address the evaluation questions. The paper was peer-reviewed by an academic appointed by the evaluation team as well as two external academics appointed by </w:t>
      </w:r>
      <w:r w:rsidR="004418B5" w:rsidRPr="004418B5">
        <w:t>DBT</w:t>
      </w:r>
      <w:r w:rsidRPr="004418B5">
        <w:t>.</w:t>
      </w:r>
    </w:p>
    <w:p w14:paraId="0F381171" w14:textId="60FDC002" w:rsidR="000C7821" w:rsidRPr="004418B5" w:rsidRDefault="004C2C90" w:rsidP="000C7821">
      <w:pPr>
        <w:pStyle w:val="ListBullet"/>
      </w:pPr>
      <w:r w:rsidRPr="004418B5">
        <w:t>Research tools: A survey questionnaire</w:t>
      </w:r>
      <w:r w:rsidR="004418B5" w:rsidRPr="004418B5">
        <w:t xml:space="preserve"> and interview topic guides </w:t>
      </w:r>
      <w:r w:rsidRPr="004418B5">
        <w:t>w</w:t>
      </w:r>
      <w:r w:rsidR="004418B5" w:rsidRPr="004418B5">
        <w:t>ere</w:t>
      </w:r>
      <w:r w:rsidRPr="004418B5">
        <w:t xml:space="preserve"> developed to collect data on key research questions. The questionnaire design was led by the needs of the quantitative analysis. </w:t>
      </w:r>
    </w:p>
    <w:p w14:paraId="46818DF8" w14:textId="77777777" w:rsidR="004C2C90" w:rsidRPr="00214367" w:rsidRDefault="004C2C90" w:rsidP="004C2C90">
      <w:pPr>
        <w:pStyle w:val="Heading3"/>
      </w:pPr>
      <w:r w:rsidRPr="00214367">
        <w:t>Research questions</w:t>
      </w:r>
    </w:p>
    <w:p w14:paraId="5A9947C2" w14:textId="07F807B4" w:rsidR="003C7FB7" w:rsidRPr="00214367" w:rsidRDefault="004C2C90" w:rsidP="004C2C90">
      <w:r w:rsidRPr="00214367">
        <w:t>The key research questions are split into process</w:t>
      </w:r>
      <w:r w:rsidR="00666B06" w:rsidRPr="00214367">
        <w:t xml:space="preserve"> and impact questions</w:t>
      </w:r>
      <w:r w:rsidRPr="00214367">
        <w:t xml:space="preserve">. </w:t>
      </w:r>
      <w:r w:rsidRPr="00214367">
        <w:fldChar w:fldCharType="begin"/>
      </w:r>
      <w:r w:rsidRPr="00214367">
        <w:instrText xml:space="preserve"> REF _Ref92804147 \h </w:instrText>
      </w:r>
      <w:r w:rsidR="000056E7" w:rsidRPr="00214367">
        <w:instrText xml:space="preserve"> \* MERGEFORMAT </w:instrText>
      </w:r>
      <w:r w:rsidRPr="00214367">
        <w:fldChar w:fldCharType="separate"/>
      </w:r>
      <w:r w:rsidR="001525E9" w:rsidRPr="00264F8B">
        <w:t xml:space="preserve">Table </w:t>
      </w:r>
      <w:r w:rsidR="001525E9">
        <w:rPr>
          <w:noProof/>
        </w:rPr>
        <w:t>3</w:t>
      </w:r>
      <w:r w:rsidRPr="00214367">
        <w:fldChar w:fldCharType="end"/>
      </w:r>
      <w:r w:rsidRPr="00214367">
        <w:t xml:space="preserve"> provides more detail on the research questions </w:t>
      </w:r>
      <w:r w:rsidR="002E562D" w:rsidRPr="00214367">
        <w:t>that w</w:t>
      </w:r>
      <w:r w:rsidR="00C236F3">
        <w:t>ere</w:t>
      </w:r>
      <w:r w:rsidR="002E562D" w:rsidRPr="00214367">
        <w:t xml:space="preserve"> </w:t>
      </w:r>
      <w:r w:rsidRPr="00214367">
        <w:t xml:space="preserve">examined as a part of this evaluation.  </w:t>
      </w:r>
    </w:p>
    <w:p w14:paraId="4F4C778F" w14:textId="77777777" w:rsidR="003C7FB7" w:rsidRPr="000056E7" w:rsidRDefault="003C7FB7">
      <w:pPr>
        <w:spacing w:after="160" w:line="259" w:lineRule="auto"/>
        <w:rPr>
          <w:highlight w:val="yellow"/>
        </w:rPr>
      </w:pPr>
      <w:r w:rsidRPr="000056E7">
        <w:rPr>
          <w:highlight w:val="yellow"/>
        </w:rPr>
        <w:br w:type="page"/>
      </w:r>
    </w:p>
    <w:p w14:paraId="1DE06004" w14:textId="1B8F2A60" w:rsidR="004C2C90" w:rsidRPr="00264F8B" w:rsidRDefault="004C2C90" w:rsidP="004C2C90">
      <w:pPr>
        <w:pStyle w:val="Heading5"/>
      </w:pPr>
      <w:bookmarkStart w:id="14" w:name="_Ref92804147"/>
      <w:r w:rsidRPr="00264F8B">
        <w:t xml:space="preserve">Table </w:t>
      </w:r>
      <w:r>
        <w:fldChar w:fldCharType="begin"/>
      </w:r>
      <w:r>
        <w:instrText xml:space="preserve"> SEQ Table \* ARABIC </w:instrText>
      </w:r>
      <w:r>
        <w:fldChar w:fldCharType="separate"/>
      </w:r>
      <w:r w:rsidR="001525E9">
        <w:rPr>
          <w:noProof/>
        </w:rPr>
        <w:t>3</w:t>
      </w:r>
      <w:r>
        <w:rPr>
          <w:noProof/>
        </w:rPr>
        <w:fldChar w:fldCharType="end"/>
      </w:r>
      <w:bookmarkEnd w:id="14"/>
      <w:r w:rsidRPr="00264F8B">
        <w:t>: Evaluation research questions</w:t>
      </w:r>
    </w:p>
    <w:tbl>
      <w:tblPr>
        <w:tblStyle w:val="TableGrid"/>
        <w:tblW w:w="5000" w:type="pct"/>
        <w:tblLook w:val="0480" w:firstRow="0" w:lastRow="0" w:firstColumn="1" w:lastColumn="0" w:noHBand="0" w:noVBand="1"/>
        <w:tblCaption w:val="Table title"/>
        <w:tblDescription w:val="Add description of table"/>
      </w:tblPr>
      <w:tblGrid>
        <w:gridCol w:w="1512"/>
        <w:gridCol w:w="1550"/>
        <w:gridCol w:w="7092"/>
      </w:tblGrid>
      <w:tr w:rsidR="004C2C90" w:rsidRPr="000056E7" w14:paraId="06F8AE56" w14:textId="77777777" w:rsidTr="00CB2D9C">
        <w:trPr>
          <w:cnfStyle w:val="000000100000" w:firstRow="0" w:lastRow="0" w:firstColumn="0" w:lastColumn="0" w:oddVBand="0" w:evenVBand="0" w:oddHBand="1" w:evenHBand="0" w:firstRowFirstColumn="0" w:firstRowLastColumn="0" w:lastRowFirstColumn="0" w:lastRowLastColumn="0"/>
        </w:trPr>
        <w:tc>
          <w:tcPr>
            <w:tcW w:w="745" w:type="pct"/>
            <w:vMerge w:val="restart"/>
            <w:shd w:val="clear" w:color="auto" w:fill="0054BA" w:themeFill="accent2"/>
            <w:tcMar>
              <w:top w:w="0" w:type="dxa"/>
              <w:left w:w="108" w:type="dxa"/>
              <w:bottom w:w="0" w:type="dxa"/>
              <w:right w:w="108" w:type="dxa"/>
            </w:tcMar>
            <w:vAlign w:val="center"/>
          </w:tcPr>
          <w:p w14:paraId="43D02B6E" w14:textId="77777777" w:rsidR="004C2C90" w:rsidRPr="00CB2D9C" w:rsidRDefault="004C2C90" w:rsidP="0071139A">
            <w:pPr>
              <w:pStyle w:val="Tabletext"/>
              <w:rPr>
                <w:b/>
                <w:bCs/>
                <w:color w:val="FFFFFF" w:themeColor="background1"/>
                <w:sz w:val="22"/>
                <w:szCs w:val="20"/>
              </w:rPr>
            </w:pPr>
            <w:r w:rsidRPr="00CB2D9C">
              <w:rPr>
                <w:b/>
                <w:bCs/>
                <w:color w:val="FFFFFF" w:themeColor="background1"/>
                <w:sz w:val="22"/>
                <w:szCs w:val="20"/>
              </w:rPr>
              <w:t>Process Evaluation</w:t>
            </w:r>
          </w:p>
        </w:tc>
        <w:tc>
          <w:tcPr>
            <w:tcW w:w="763" w:type="pct"/>
            <w:tcMar>
              <w:top w:w="0" w:type="dxa"/>
              <w:left w:w="108" w:type="dxa"/>
              <w:bottom w:w="0" w:type="dxa"/>
              <w:right w:w="108" w:type="dxa"/>
            </w:tcMar>
            <w:vAlign w:val="center"/>
          </w:tcPr>
          <w:p w14:paraId="241EFAB9" w14:textId="77777777" w:rsidR="004C2C90" w:rsidRPr="00264F8B" w:rsidRDefault="004C2C90" w:rsidP="0071139A">
            <w:pPr>
              <w:pStyle w:val="Tabletext"/>
              <w:rPr>
                <w:b/>
                <w:bCs/>
                <w:sz w:val="22"/>
                <w:szCs w:val="20"/>
              </w:rPr>
            </w:pPr>
            <w:r w:rsidRPr="00264F8B">
              <w:rPr>
                <w:b/>
                <w:bCs/>
                <w:sz w:val="22"/>
                <w:szCs w:val="20"/>
              </w:rPr>
              <w:t>Scheme Design</w:t>
            </w:r>
          </w:p>
        </w:tc>
        <w:tc>
          <w:tcPr>
            <w:tcW w:w="3492" w:type="pct"/>
            <w:tcMar>
              <w:top w:w="0" w:type="dxa"/>
              <w:left w:w="108" w:type="dxa"/>
              <w:bottom w:w="0" w:type="dxa"/>
              <w:right w:w="108" w:type="dxa"/>
            </w:tcMar>
            <w:vAlign w:val="center"/>
          </w:tcPr>
          <w:p w14:paraId="538543ED" w14:textId="607645CD" w:rsidR="004C2C90" w:rsidRPr="00264F8B" w:rsidRDefault="00666B06" w:rsidP="00DF58BC">
            <w:pPr>
              <w:pStyle w:val="Tabletext"/>
              <w:spacing w:before="60"/>
              <w:rPr>
                <w:sz w:val="22"/>
                <w:szCs w:val="20"/>
              </w:rPr>
            </w:pPr>
            <w:r w:rsidRPr="00264F8B">
              <w:rPr>
                <w:sz w:val="22"/>
                <w:szCs w:val="20"/>
              </w:rPr>
              <w:t>How did the activities in place to design and deliver RLS</w:t>
            </w:r>
            <w:r w:rsidR="0039115D">
              <w:rPr>
                <w:sz w:val="22"/>
                <w:szCs w:val="20"/>
              </w:rPr>
              <w:t xml:space="preserve"> 1.0</w:t>
            </w:r>
            <w:r w:rsidRPr="00264F8B">
              <w:rPr>
                <w:sz w:val="22"/>
                <w:szCs w:val="20"/>
              </w:rPr>
              <w:t xml:space="preserve"> evolve from those in place for the Covid-19 Loan </w:t>
            </w:r>
            <w:r w:rsidR="00CB2D9C" w:rsidRPr="00264F8B">
              <w:rPr>
                <w:sz w:val="22"/>
                <w:szCs w:val="20"/>
              </w:rPr>
              <w:t xml:space="preserve">Guarantee </w:t>
            </w:r>
            <w:r w:rsidR="006F7CAD">
              <w:rPr>
                <w:sz w:val="22"/>
                <w:szCs w:val="20"/>
              </w:rPr>
              <w:t>S</w:t>
            </w:r>
            <w:r w:rsidR="00CB2D9C" w:rsidRPr="00264F8B">
              <w:rPr>
                <w:sz w:val="22"/>
                <w:szCs w:val="20"/>
              </w:rPr>
              <w:t>chemes? Including:</w:t>
            </w:r>
          </w:p>
          <w:p w14:paraId="723DDA91" w14:textId="78A57505" w:rsidR="00CB2D9C" w:rsidRPr="00264F8B" w:rsidRDefault="00CB2D9C" w:rsidP="006E0879">
            <w:pPr>
              <w:pStyle w:val="Tabletext"/>
              <w:numPr>
                <w:ilvl w:val="0"/>
                <w:numId w:val="26"/>
              </w:numPr>
              <w:spacing w:before="60"/>
              <w:rPr>
                <w:sz w:val="22"/>
              </w:rPr>
            </w:pPr>
            <w:r w:rsidRPr="00264F8B">
              <w:rPr>
                <w:sz w:val="22"/>
              </w:rPr>
              <w:t>Analytical input and evidence gathering;</w:t>
            </w:r>
          </w:p>
          <w:p w14:paraId="4BBCCBF4" w14:textId="14C8C5CF" w:rsidR="00CB2D9C" w:rsidRPr="00264F8B" w:rsidRDefault="00CB2D9C" w:rsidP="006E0879">
            <w:pPr>
              <w:pStyle w:val="Tabletext"/>
              <w:numPr>
                <w:ilvl w:val="0"/>
                <w:numId w:val="26"/>
              </w:numPr>
              <w:spacing w:before="60"/>
              <w:rPr>
                <w:sz w:val="22"/>
              </w:rPr>
            </w:pPr>
            <w:r w:rsidRPr="00264F8B">
              <w:rPr>
                <w:sz w:val="22"/>
              </w:rPr>
              <w:t>Scheme objective setting;</w:t>
            </w:r>
          </w:p>
          <w:p w14:paraId="6C24883B" w14:textId="278D81CA" w:rsidR="00CB2D9C" w:rsidRPr="00264F8B" w:rsidRDefault="00CB2D9C" w:rsidP="006E0879">
            <w:pPr>
              <w:pStyle w:val="Tabletext"/>
              <w:numPr>
                <w:ilvl w:val="0"/>
                <w:numId w:val="26"/>
              </w:numPr>
              <w:spacing w:before="60"/>
              <w:rPr>
                <w:sz w:val="22"/>
              </w:rPr>
            </w:pPr>
            <w:r w:rsidRPr="00264F8B">
              <w:rPr>
                <w:sz w:val="22"/>
              </w:rPr>
              <w:t xml:space="preserve">Scheme parameter setting; </w:t>
            </w:r>
          </w:p>
          <w:p w14:paraId="602C5C46" w14:textId="5102672C" w:rsidR="00CB2D9C" w:rsidRPr="00264F8B" w:rsidRDefault="00CB2D9C" w:rsidP="006E0879">
            <w:pPr>
              <w:pStyle w:val="Tabletext"/>
              <w:numPr>
                <w:ilvl w:val="0"/>
                <w:numId w:val="26"/>
              </w:numPr>
              <w:spacing w:before="60"/>
              <w:rPr>
                <w:sz w:val="22"/>
              </w:rPr>
            </w:pPr>
            <w:r w:rsidRPr="00264F8B">
              <w:rPr>
                <w:sz w:val="22"/>
              </w:rPr>
              <w:t>Cross-government decision making;</w:t>
            </w:r>
          </w:p>
          <w:p w14:paraId="453F0484" w14:textId="7FE11421" w:rsidR="00CB2D9C" w:rsidRPr="00264F8B" w:rsidRDefault="00CB2D9C" w:rsidP="006E0879">
            <w:pPr>
              <w:pStyle w:val="Tabletext"/>
              <w:numPr>
                <w:ilvl w:val="0"/>
                <w:numId w:val="26"/>
              </w:numPr>
              <w:spacing w:before="60"/>
              <w:rPr>
                <w:sz w:val="22"/>
              </w:rPr>
            </w:pPr>
            <w:r w:rsidRPr="00264F8B">
              <w:rPr>
                <w:sz w:val="22"/>
              </w:rPr>
              <w:t>Lender accreditation processes;</w:t>
            </w:r>
          </w:p>
          <w:p w14:paraId="6DC6D9CD" w14:textId="644ABAA2" w:rsidR="00CB2D9C" w:rsidRPr="00264F8B" w:rsidRDefault="00CB2D9C" w:rsidP="006E0879">
            <w:pPr>
              <w:pStyle w:val="Tabletext"/>
              <w:numPr>
                <w:ilvl w:val="0"/>
                <w:numId w:val="26"/>
              </w:numPr>
              <w:spacing w:before="60"/>
              <w:rPr>
                <w:sz w:val="22"/>
              </w:rPr>
            </w:pPr>
            <w:r w:rsidRPr="00264F8B">
              <w:rPr>
                <w:sz w:val="22"/>
              </w:rPr>
              <w:t>Scheme communication with lenders;</w:t>
            </w:r>
          </w:p>
          <w:p w14:paraId="162103E4" w14:textId="11531E31" w:rsidR="00CB2D9C" w:rsidRPr="00264F8B" w:rsidRDefault="00CB2D9C" w:rsidP="006E0879">
            <w:pPr>
              <w:pStyle w:val="Tabletext"/>
              <w:numPr>
                <w:ilvl w:val="0"/>
                <w:numId w:val="26"/>
              </w:numPr>
              <w:spacing w:before="60"/>
              <w:rPr>
                <w:sz w:val="22"/>
              </w:rPr>
            </w:pPr>
            <w:r w:rsidRPr="00264F8B">
              <w:rPr>
                <w:sz w:val="22"/>
              </w:rPr>
              <w:t>Lenders’ ability to implement schemes</w:t>
            </w:r>
          </w:p>
          <w:p w14:paraId="6E70E3A1" w14:textId="77777777" w:rsidR="004C2C90" w:rsidRPr="00264F8B" w:rsidRDefault="00CB2D9C" w:rsidP="00DF58BC">
            <w:pPr>
              <w:pStyle w:val="Tabletext"/>
              <w:spacing w:before="60"/>
              <w:rPr>
                <w:sz w:val="22"/>
                <w:szCs w:val="20"/>
              </w:rPr>
            </w:pPr>
            <w:r w:rsidRPr="00264F8B">
              <w:rPr>
                <w:sz w:val="22"/>
                <w:szCs w:val="20"/>
              </w:rPr>
              <w:t>How effective were these changes in meeting the scheme objectives?</w:t>
            </w:r>
          </w:p>
          <w:p w14:paraId="36FF9B61" w14:textId="0856D36E" w:rsidR="00CB2D9C" w:rsidRPr="00264F8B" w:rsidRDefault="00CB2D9C" w:rsidP="00DF58BC">
            <w:pPr>
              <w:pStyle w:val="Tabletext"/>
              <w:spacing w:before="60"/>
              <w:rPr>
                <w:rStyle w:val="Bold"/>
                <w:sz w:val="22"/>
                <w:szCs w:val="20"/>
              </w:rPr>
            </w:pPr>
            <w:r w:rsidRPr="00264F8B">
              <w:t>T</w:t>
            </w:r>
            <w:r w:rsidRPr="00264F8B">
              <w:rPr>
                <w:sz w:val="22"/>
                <w:szCs w:val="20"/>
              </w:rPr>
              <w:t>o what extent were fraud risks appropriately considered as part of scheme design?</w:t>
            </w:r>
          </w:p>
        </w:tc>
      </w:tr>
      <w:tr w:rsidR="004C2C90" w:rsidRPr="000056E7" w14:paraId="3521936C" w14:textId="77777777" w:rsidTr="00CB2D9C">
        <w:tc>
          <w:tcPr>
            <w:tcW w:w="745" w:type="pct"/>
            <w:vMerge/>
            <w:shd w:val="clear" w:color="auto" w:fill="0054BA" w:themeFill="accent2"/>
            <w:tcMar>
              <w:top w:w="0" w:type="dxa"/>
              <w:left w:w="108" w:type="dxa"/>
              <w:bottom w:w="0" w:type="dxa"/>
              <w:right w:w="108" w:type="dxa"/>
            </w:tcMar>
            <w:vAlign w:val="center"/>
          </w:tcPr>
          <w:p w14:paraId="0D44C168" w14:textId="77777777" w:rsidR="004C2C90" w:rsidRPr="00CB2D9C" w:rsidRDefault="004C2C90" w:rsidP="0071139A">
            <w:pPr>
              <w:pStyle w:val="Tabletext"/>
              <w:rPr>
                <w:sz w:val="22"/>
                <w:szCs w:val="20"/>
              </w:rPr>
            </w:pPr>
          </w:p>
        </w:tc>
        <w:tc>
          <w:tcPr>
            <w:tcW w:w="763" w:type="pct"/>
            <w:tcMar>
              <w:top w:w="0" w:type="dxa"/>
              <w:left w:w="108" w:type="dxa"/>
              <w:bottom w:w="0" w:type="dxa"/>
              <w:right w:w="108" w:type="dxa"/>
            </w:tcMar>
            <w:vAlign w:val="center"/>
          </w:tcPr>
          <w:p w14:paraId="21BC740C" w14:textId="77777777" w:rsidR="004C2C90" w:rsidRPr="00264F8B" w:rsidRDefault="004C2C90" w:rsidP="0071139A">
            <w:pPr>
              <w:pStyle w:val="Tabletext"/>
              <w:rPr>
                <w:b/>
                <w:bCs/>
                <w:sz w:val="22"/>
                <w:szCs w:val="20"/>
              </w:rPr>
            </w:pPr>
            <w:r w:rsidRPr="00264F8B">
              <w:rPr>
                <w:b/>
                <w:bCs/>
                <w:sz w:val="22"/>
                <w:szCs w:val="20"/>
              </w:rPr>
              <w:t>Scheme Delivery</w:t>
            </w:r>
          </w:p>
        </w:tc>
        <w:tc>
          <w:tcPr>
            <w:tcW w:w="3492" w:type="pct"/>
            <w:tcMar>
              <w:top w:w="0" w:type="dxa"/>
              <w:left w:w="108" w:type="dxa"/>
              <w:bottom w:w="0" w:type="dxa"/>
              <w:right w:w="108" w:type="dxa"/>
            </w:tcMar>
            <w:vAlign w:val="center"/>
          </w:tcPr>
          <w:p w14:paraId="55BCABDA" w14:textId="6A3E1A78" w:rsidR="004C2C90" w:rsidRPr="00264F8B" w:rsidRDefault="00CB2D9C" w:rsidP="00DF58BC">
            <w:pPr>
              <w:pStyle w:val="Tabletext"/>
              <w:spacing w:before="60"/>
              <w:rPr>
                <w:sz w:val="22"/>
                <w:szCs w:val="20"/>
              </w:rPr>
            </w:pPr>
            <w:r w:rsidRPr="00264F8B">
              <w:rPr>
                <w:sz w:val="22"/>
                <w:szCs w:val="20"/>
              </w:rPr>
              <w:t>How effective were data collection processes to support monitoring of the scheme against objectives?</w:t>
            </w:r>
          </w:p>
          <w:p w14:paraId="62781DF1" w14:textId="21725FFB" w:rsidR="004C2C90" w:rsidRPr="00264F8B" w:rsidRDefault="00CB2D9C" w:rsidP="00DF58BC">
            <w:pPr>
              <w:pStyle w:val="Tabletext"/>
              <w:spacing w:before="60"/>
              <w:rPr>
                <w:rStyle w:val="Bold"/>
                <w:b w:val="0"/>
                <w:sz w:val="22"/>
                <w:szCs w:val="20"/>
              </w:rPr>
            </w:pPr>
            <w:r w:rsidRPr="00264F8B">
              <w:rPr>
                <w:sz w:val="22"/>
                <w:szCs w:val="20"/>
              </w:rPr>
              <w:t>To what extent were fraud risks appropriately considered as part of scheme management?</w:t>
            </w:r>
          </w:p>
        </w:tc>
      </w:tr>
      <w:tr w:rsidR="004C2C90" w:rsidRPr="000056E7" w14:paraId="32D1AFA3" w14:textId="77777777" w:rsidTr="00CB2D9C">
        <w:trPr>
          <w:cnfStyle w:val="000000100000" w:firstRow="0" w:lastRow="0" w:firstColumn="0" w:lastColumn="0" w:oddVBand="0" w:evenVBand="0" w:oddHBand="1" w:evenHBand="0" w:firstRowFirstColumn="0" w:firstRowLastColumn="0" w:lastRowFirstColumn="0" w:lastRowLastColumn="0"/>
        </w:trPr>
        <w:tc>
          <w:tcPr>
            <w:tcW w:w="745" w:type="pct"/>
            <w:vMerge w:val="restart"/>
            <w:tcBorders>
              <w:top w:val="single" w:sz="4" w:space="0" w:color="FFFFFF" w:themeColor="background1"/>
              <w:bottom w:val="single" w:sz="4" w:space="0" w:color="FFFFFF" w:themeColor="background1"/>
            </w:tcBorders>
            <w:shd w:val="clear" w:color="auto" w:fill="0054BA" w:themeFill="accent2"/>
            <w:tcMar>
              <w:top w:w="0" w:type="dxa"/>
              <w:left w:w="108" w:type="dxa"/>
              <w:bottom w:w="0" w:type="dxa"/>
              <w:right w:w="108" w:type="dxa"/>
            </w:tcMar>
            <w:vAlign w:val="center"/>
          </w:tcPr>
          <w:p w14:paraId="6951163C" w14:textId="77777777" w:rsidR="004C2C90" w:rsidRPr="000056E7" w:rsidRDefault="004C2C90" w:rsidP="0071139A">
            <w:pPr>
              <w:pStyle w:val="Tabletext"/>
              <w:rPr>
                <w:b/>
                <w:bCs/>
                <w:color w:val="FFFFFF" w:themeColor="background1"/>
                <w:sz w:val="22"/>
                <w:szCs w:val="20"/>
                <w:highlight w:val="yellow"/>
              </w:rPr>
            </w:pPr>
            <w:r w:rsidRPr="00264F8B">
              <w:rPr>
                <w:b/>
                <w:bCs/>
                <w:color w:val="FFFFFF" w:themeColor="background1"/>
                <w:sz w:val="22"/>
                <w:szCs w:val="20"/>
              </w:rPr>
              <w:t>Impact Evaluation</w:t>
            </w:r>
          </w:p>
        </w:tc>
        <w:tc>
          <w:tcPr>
            <w:tcW w:w="763" w:type="pct"/>
            <w:tcMar>
              <w:top w:w="0" w:type="dxa"/>
              <w:left w:w="108" w:type="dxa"/>
              <w:bottom w:w="0" w:type="dxa"/>
              <w:right w:w="108" w:type="dxa"/>
            </w:tcMar>
            <w:vAlign w:val="center"/>
          </w:tcPr>
          <w:p w14:paraId="66CEE751" w14:textId="77777777" w:rsidR="004C2C90" w:rsidRPr="00264F8B" w:rsidRDefault="004C2C90" w:rsidP="0071139A">
            <w:pPr>
              <w:pStyle w:val="Tabletext"/>
              <w:rPr>
                <w:b/>
                <w:bCs/>
                <w:sz w:val="22"/>
                <w:szCs w:val="20"/>
              </w:rPr>
            </w:pPr>
            <w:r w:rsidRPr="00264F8B">
              <w:rPr>
                <w:b/>
                <w:bCs/>
                <w:sz w:val="22"/>
                <w:szCs w:val="20"/>
              </w:rPr>
              <w:t>Additionality of Lending</w:t>
            </w:r>
          </w:p>
        </w:tc>
        <w:tc>
          <w:tcPr>
            <w:tcW w:w="3492" w:type="pct"/>
            <w:tcMar>
              <w:top w:w="0" w:type="dxa"/>
              <w:left w:w="108" w:type="dxa"/>
              <w:bottom w:w="0" w:type="dxa"/>
              <w:right w:w="108" w:type="dxa"/>
            </w:tcMar>
            <w:vAlign w:val="center"/>
          </w:tcPr>
          <w:p w14:paraId="2A8D015E" w14:textId="11119CB1" w:rsidR="004C2C90" w:rsidRPr="00264F8B" w:rsidRDefault="004C2C90" w:rsidP="00DF58BC">
            <w:pPr>
              <w:pStyle w:val="Tabletext"/>
              <w:spacing w:before="60"/>
              <w:rPr>
                <w:sz w:val="22"/>
                <w:szCs w:val="20"/>
              </w:rPr>
            </w:pPr>
            <w:r w:rsidRPr="00264F8B">
              <w:rPr>
                <w:sz w:val="22"/>
                <w:szCs w:val="20"/>
              </w:rPr>
              <w:t xml:space="preserve">To what extent did </w:t>
            </w:r>
            <w:r w:rsidR="00CB2D9C" w:rsidRPr="00264F8B">
              <w:rPr>
                <w:sz w:val="22"/>
                <w:szCs w:val="20"/>
              </w:rPr>
              <w:t>RLS 1.0 unlock additional lending?</w:t>
            </w:r>
          </w:p>
          <w:p w14:paraId="568E33EE" w14:textId="77777777" w:rsidR="004C2C90" w:rsidRPr="00264F8B" w:rsidRDefault="004C2C90" w:rsidP="00DF58BC">
            <w:pPr>
              <w:pStyle w:val="Tabletext"/>
              <w:spacing w:before="60"/>
              <w:rPr>
                <w:sz w:val="22"/>
                <w:szCs w:val="20"/>
              </w:rPr>
            </w:pPr>
            <w:r w:rsidRPr="00264F8B">
              <w:rPr>
                <w:sz w:val="22"/>
                <w:szCs w:val="20"/>
              </w:rPr>
              <w:t xml:space="preserve">What are the estimates for economic additionality – accounting for both additionality of lending (or ‘finance additionality’) and economic activity that would have been carried out by competitors in the absence of </w:t>
            </w:r>
            <w:r w:rsidR="00CB2D9C" w:rsidRPr="00264F8B">
              <w:rPr>
                <w:sz w:val="22"/>
                <w:szCs w:val="20"/>
              </w:rPr>
              <w:t>RLS 1.0</w:t>
            </w:r>
            <w:r w:rsidR="00547398" w:rsidRPr="00264F8B">
              <w:rPr>
                <w:sz w:val="22"/>
                <w:szCs w:val="20"/>
              </w:rPr>
              <w:t xml:space="preserve"> </w:t>
            </w:r>
            <w:r w:rsidRPr="00264F8B">
              <w:rPr>
                <w:sz w:val="22"/>
                <w:szCs w:val="20"/>
              </w:rPr>
              <w:t>(i.e., ‘displacement’)?</w:t>
            </w:r>
          </w:p>
          <w:p w14:paraId="7E7A3F0C" w14:textId="57653F6C" w:rsidR="00CB2D9C" w:rsidRPr="00264F8B" w:rsidRDefault="00CB2D9C" w:rsidP="00DF58BC">
            <w:pPr>
              <w:pStyle w:val="Tabletext"/>
              <w:spacing w:before="60"/>
              <w:rPr>
                <w:rStyle w:val="Bold"/>
                <w:b w:val="0"/>
                <w:bCs/>
                <w:sz w:val="22"/>
              </w:rPr>
            </w:pPr>
            <w:r w:rsidRPr="00264F8B">
              <w:rPr>
                <w:rStyle w:val="Bold"/>
                <w:b w:val="0"/>
                <w:bCs/>
                <w:sz w:val="22"/>
              </w:rPr>
              <w:t>How does additionality vary by lender type?</w:t>
            </w:r>
          </w:p>
        </w:tc>
      </w:tr>
      <w:tr w:rsidR="004C2C90" w:rsidRPr="000056E7" w14:paraId="3BC86AA1" w14:textId="77777777" w:rsidTr="00CB2D9C">
        <w:tc>
          <w:tcPr>
            <w:tcW w:w="745" w:type="pct"/>
            <w:vMerge/>
            <w:tcBorders>
              <w:bottom w:val="single" w:sz="4" w:space="0" w:color="FFFFFF" w:themeColor="background1"/>
            </w:tcBorders>
            <w:shd w:val="clear" w:color="auto" w:fill="0054BA" w:themeFill="accent2"/>
            <w:tcMar>
              <w:top w:w="0" w:type="dxa"/>
              <w:left w:w="108" w:type="dxa"/>
              <w:bottom w:w="0" w:type="dxa"/>
              <w:right w:w="108" w:type="dxa"/>
            </w:tcMar>
            <w:vAlign w:val="center"/>
          </w:tcPr>
          <w:p w14:paraId="314BD8DB" w14:textId="77777777" w:rsidR="004C2C90" w:rsidRPr="000056E7" w:rsidRDefault="004C2C90" w:rsidP="0071139A">
            <w:pPr>
              <w:pStyle w:val="Tabletext"/>
              <w:rPr>
                <w:sz w:val="22"/>
                <w:szCs w:val="20"/>
                <w:highlight w:val="yellow"/>
              </w:rPr>
            </w:pPr>
          </w:p>
        </w:tc>
        <w:tc>
          <w:tcPr>
            <w:tcW w:w="763" w:type="pct"/>
            <w:tcMar>
              <w:top w:w="0" w:type="dxa"/>
              <w:left w:w="108" w:type="dxa"/>
              <w:bottom w:w="0" w:type="dxa"/>
              <w:right w:w="108" w:type="dxa"/>
            </w:tcMar>
            <w:vAlign w:val="center"/>
          </w:tcPr>
          <w:p w14:paraId="45CB1ED4" w14:textId="6E2AD8D5" w:rsidR="004C2C90" w:rsidRPr="00264F8B" w:rsidRDefault="00CB2D9C" w:rsidP="0071139A">
            <w:pPr>
              <w:pStyle w:val="Tabletext"/>
              <w:rPr>
                <w:b/>
                <w:bCs/>
                <w:sz w:val="22"/>
                <w:szCs w:val="20"/>
              </w:rPr>
            </w:pPr>
            <w:r w:rsidRPr="00264F8B">
              <w:rPr>
                <w:b/>
                <w:bCs/>
                <w:sz w:val="22"/>
                <w:szCs w:val="20"/>
              </w:rPr>
              <w:t xml:space="preserve">Lender </w:t>
            </w:r>
            <w:r w:rsidR="000C1997">
              <w:rPr>
                <w:b/>
                <w:bCs/>
                <w:sz w:val="22"/>
                <w:szCs w:val="20"/>
              </w:rPr>
              <w:t>R</w:t>
            </w:r>
            <w:r w:rsidRPr="00264F8B">
              <w:rPr>
                <w:b/>
                <w:bCs/>
                <w:sz w:val="22"/>
                <w:szCs w:val="20"/>
              </w:rPr>
              <w:t xml:space="preserve">esponse to </w:t>
            </w:r>
            <w:r w:rsidR="006F423C">
              <w:rPr>
                <w:b/>
                <w:bCs/>
                <w:sz w:val="22"/>
                <w:szCs w:val="20"/>
              </w:rPr>
              <w:t>S</w:t>
            </w:r>
            <w:r w:rsidRPr="00264F8B">
              <w:rPr>
                <w:b/>
                <w:bCs/>
                <w:sz w:val="22"/>
                <w:szCs w:val="20"/>
              </w:rPr>
              <w:t xml:space="preserve">cheme </w:t>
            </w:r>
            <w:r w:rsidR="006F423C">
              <w:rPr>
                <w:b/>
                <w:bCs/>
                <w:sz w:val="22"/>
                <w:szCs w:val="20"/>
              </w:rPr>
              <w:t>P</w:t>
            </w:r>
            <w:r w:rsidRPr="00264F8B">
              <w:rPr>
                <w:b/>
                <w:bCs/>
                <w:sz w:val="22"/>
                <w:szCs w:val="20"/>
              </w:rPr>
              <w:t>arameters</w:t>
            </w:r>
          </w:p>
        </w:tc>
        <w:tc>
          <w:tcPr>
            <w:tcW w:w="3492" w:type="pct"/>
            <w:tcMar>
              <w:top w:w="0" w:type="dxa"/>
              <w:left w:w="108" w:type="dxa"/>
              <w:bottom w:w="0" w:type="dxa"/>
              <w:right w:w="108" w:type="dxa"/>
            </w:tcMar>
            <w:vAlign w:val="center"/>
          </w:tcPr>
          <w:p w14:paraId="315750A0" w14:textId="77777777" w:rsidR="004C2C90" w:rsidRPr="00264F8B" w:rsidRDefault="00CB2D9C" w:rsidP="00DF58BC">
            <w:pPr>
              <w:pStyle w:val="Tabletext"/>
              <w:spacing w:before="60"/>
              <w:rPr>
                <w:sz w:val="22"/>
              </w:rPr>
            </w:pPr>
            <w:r w:rsidRPr="00264F8B">
              <w:rPr>
                <w:sz w:val="22"/>
              </w:rPr>
              <w:t>What is the relationship between key scheme parameters and the willingness of lenders to provide finance through the scheme?</w:t>
            </w:r>
          </w:p>
          <w:p w14:paraId="416562C9" w14:textId="77777777" w:rsidR="00CB2D9C" w:rsidRPr="00264F8B" w:rsidRDefault="00CB2D9C" w:rsidP="00DF58BC">
            <w:pPr>
              <w:pStyle w:val="Tabletext"/>
              <w:spacing w:before="60"/>
              <w:rPr>
                <w:rStyle w:val="Bold"/>
                <w:b w:val="0"/>
                <w:bCs/>
                <w:sz w:val="22"/>
              </w:rPr>
            </w:pPr>
            <w:r w:rsidRPr="00264F8B">
              <w:rPr>
                <w:rStyle w:val="Bold"/>
                <w:b w:val="0"/>
                <w:bCs/>
                <w:sz w:val="22"/>
              </w:rPr>
              <w:t>To what extent do these relationships vary by lender type?</w:t>
            </w:r>
          </w:p>
          <w:p w14:paraId="7BF2F956" w14:textId="77777777" w:rsidR="00CB2D9C" w:rsidRPr="00264F8B" w:rsidRDefault="00CB2D9C" w:rsidP="00DF58BC">
            <w:pPr>
              <w:pStyle w:val="Tabletext"/>
              <w:spacing w:before="60"/>
              <w:rPr>
                <w:rStyle w:val="Bold"/>
                <w:b w:val="0"/>
                <w:bCs/>
                <w:sz w:val="22"/>
              </w:rPr>
            </w:pPr>
            <w:r w:rsidRPr="00264F8B">
              <w:rPr>
                <w:rStyle w:val="Bold"/>
                <w:b w:val="0"/>
                <w:bCs/>
                <w:sz w:val="22"/>
              </w:rPr>
              <w:t>What key internal and external factors determine the strength of this relationship?</w:t>
            </w:r>
          </w:p>
          <w:p w14:paraId="5957F91D" w14:textId="77777777" w:rsidR="00CB2D9C" w:rsidRPr="00264F8B" w:rsidRDefault="00CB2D9C" w:rsidP="00DF58BC">
            <w:pPr>
              <w:pStyle w:val="Tabletext"/>
              <w:spacing w:before="60"/>
              <w:rPr>
                <w:rStyle w:val="Bold"/>
                <w:b w:val="0"/>
                <w:bCs/>
                <w:sz w:val="22"/>
              </w:rPr>
            </w:pPr>
            <w:r w:rsidRPr="00264F8B">
              <w:rPr>
                <w:rStyle w:val="Bold"/>
                <w:b w:val="0"/>
                <w:bCs/>
                <w:sz w:val="22"/>
              </w:rPr>
              <w:t>To what extent do these relationships affect finance terms offered by businesses?</w:t>
            </w:r>
          </w:p>
          <w:p w14:paraId="1C6A799E" w14:textId="4D5B808A" w:rsidR="00CB2D9C" w:rsidRPr="00264F8B" w:rsidRDefault="00CB2D9C" w:rsidP="00DF58BC">
            <w:pPr>
              <w:pStyle w:val="Tabletext"/>
              <w:spacing w:before="60"/>
              <w:rPr>
                <w:rStyle w:val="Bold"/>
                <w:b w:val="0"/>
                <w:bCs/>
                <w:sz w:val="22"/>
                <w:szCs w:val="20"/>
              </w:rPr>
            </w:pPr>
            <w:r w:rsidRPr="00264F8B">
              <w:rPr>
                <w:rStyle w:val="Bold"/>
                <w:b w:val="0"/>
                <w:bCs/>
                <w:sz w:val="22"/>
              </w:rPr>
              <w:t>To what extent can these relationships be quantified?</w:t>
            </w:r>
          </w:p>
        </w:tc>
      </w:tr>
      <w:tr w:rsidR="004C2C90" w:rsidRPr="000056E7" w14:paraId="1F21C4B0" w14:textId="77777777" w:rsidTr="00CB2D9C">
        <w:trPr>
          <w:cnfStyle w:val="000000100000" w:firstRow="0" w:lastRow="0" w:firstColumn="0" w:lastColumn="0" w:oddVBand="0" w:evenVBand="0" w:oddHBand="1" w:evenHBand="0" w:firstRowFirstColumn="0" w:firstRowLastColumn="0" w:lastRowFirstColumn="0" w:lastRowLastColumn="0"/>
        </w:trPr>
        <w:tc>
          <w:tcPr>
            <w:tcW w:w="745" w:type="pct"/>
            <w:vMerge/>
            <w:tcBorders>
              <w:bottom w:val="single" w:sz="4" w:space="0" w:color="FFFFFF" w:themeColor="background1"/>
            </w:tcBorders>
            <w:shd w:val="clear" w:color="auto" w:fill="0054BA" w:themeFill="accent2"/>
            <w:tcMar>
              <w:top w:w="0" w:type="dxa"/>
              <w:left w:w="108" w:type="dxa"/>
              <w:bottom w:w="0" w:type="dxa"/>
              <w:right w:w="108" w:type="dxa"/>
            </w:tcMar>
            <w:vAlign w:val="center"/>
          </w:tcPr>
          <w:p w14:paraId="12AF803A" w14:textId="77777777" w:rsidR="004C2C90" w:rsidRPr="000056E7" w:rsidRDefault="004C2C90" w:rsidP="0071139A">
            <w:pPr>
              <w:pStyle w:val="Tabletext"/>
              <w:rPr>
                <w:sz w:val="22"/>
                <w:szCs w:val="20"/>
                <w:highlight w:val="yellow"/>
              </w:rPr>
            </w:pPr>
          </w:p>
        </w:tc>
        <w:tc>
          <w:tcPr>
            <w:tcW w:w="763" w:type="pct"/>
            <w:tcMar>
              <w:top w:w="0" w:type="dxa"/>
              <w:left w:w="108" w:type="dxa"/>
              <w:bottom w:w="0" w:type="dxa"/>
              <w:right w:w="108" w:type="dxa"/>
            </w:tcMar>
            <w:vAlign w:val="center"/>
          </w:tcPr>
          <w:p w14:paraId="71D6ED76" w14:textId="77777777" w:rsidR="004C2C90" w:rsidRPr="00264F8B" w:rsidRDefault="004C2C90" w:rsidP="0071139A">
            <w:pPr>
              <w:pStyle w:val="Tabletext"/>
              <w:rPr>
                <w:b/>
                <w:bCs/>
                <w:sz w:val="22"/>
                <w:szCs w:val="20"/>
              </w:rPr>
            </w:pPr>
            <w:r w:rsidRPr="00264F8B">
              <w:rPr>
                <w:b/>
                <w:bCs/>
                <w:sz w:val="22"/>
                <w:szCs w:val="20"/>
              </w:rPr>
              <w:t>Impact of Lending on Businesses</w:t>
            </w:r>
          </w:p>
        </w:tc>
        <w:tc>
          <w:tcPr>
            <w:tcW w:w="3492" w:type="pct"/>
            <w:tcMar>
              <w:top w:w="0" w:type="dxa"/>
              <w:left w:w="108" w:type="dxa"/>
              <w:bottom w:w="0" w:type="dxa"/>
              <w:right w:w="108" w:type="dxa"/>
            </w:tcMar>
            <w:vAlign w:val="center"/>
          </w:tcPr>
          <w:p w14:paraId="262BE678" w14:textId="27C3F826" w:rsidR="00264F8B" w:rsidRPr="00264F8B" w:rsidRDefault="004C2C90" w:rsidP="00DF58BC">
            <w:pPr>
              <w:pStyle w:val="Tabletext"/>
              <w:spacing w:before="60"/>
              <w:rPr>
                <w:sz w:val="22"/>
              </w:rPr>
            </w:pPr>
            <w:r w:rsidRPr="00264F8B">
              <w:rPr>
                <w:sz w:val="22"/>
              </w:rPr>
              <w:t xml:space="preserve">How was the </w:t>
            </w:r>
            <w:r w:rsidR="00264F8B" w:rsidRPr="00264F8B">
              <w:rPr>
                <w:sz w:val="22"/>
              </w:rPr>
              <w:t>finance used by RLS 1.0 borrowers?</w:t>
            </w:r>
          </w:p>
          <w:p w14:paraId="542AACF4" w14:textId="5D275ADE" w:rsidR="00264F8B" w:rsidRPr="00264F8B" w:rsidRDefault="00264F8B" w:rsidP="00DF58BC">
            <w:pPr>
              <w:pStyle w:val="Tabletext"/>
              <w:spacing w:before="60"/>
              <w:rPr>
                <w:sz w:val="22"/>
              </w:rPr>
            </w:pPr>
            <w:r w:rsidRPr="00264F8B">
              <w:rPr>
                <w:sz w:val="22"/>
              </w:rPr>
              <w:t>How do borrowers perceive that the lending unlocked by RLS 1.0 impacted their survival?</w:t>
            </w:r>
          </w:p>
          <w:p w14:paraId="1F7D2EE7" w14:textId="6C5F14DB" w:rsidR="00264F8B" w:rsidRPr="00264F8B" w:rsidRDefault="00264F8B" w:rsidP="00DF58BC">
            <w:pPr>
              <w:pStyle w:val="Tabletext"/>
              <w:spacing w:before="60"/>
              <w:rPr>
                <w:sz w:val="22"/>
              </w:rPr>
            </w:pPr>
            <w:r w:rsidRPr="00264F8B">
              <w:rPr>
                <w:sz w:val="22"/>
              </w:rPr>
              <w:t>To what extent did lending unlocked by RLS 1.0 impact employment levels?</w:t>
            </w:r>
          </w:p>
          <w:p w14:paraId="0143BFCD" w14:textId="1F887AF9" w:rsidR="004C2C90" w:rsidRPr="00264F8B" w:rsidRDefault="00264F8B" w:rsidP="00DF58BC">
            <w:pPr>
              <w:pStyle w:val="Tabletext"/>
              <w:spacing w:before="60"/>
              <w:rPr>
                <w:rStyle w:val="Bold"/>
                <w:b w:val="0"/>
                <w:sz w:val="22"/>
              </w:rPr>
            </w:pPr>
            <w:r w:rsidRPr="00264F8B">
              <w:rPr>
                <w:sz w:val="22"/>
              </w:rPr>
              <w:t>What were the impacts of RLS 1.0 on growth and performance?</w:t>
            </w:r>
          </w:p>
        </w:tc>
      </w:tr>
      <w:tr w:rsidR="004C2C90" w:rsidRPr="000056E7" w14:paraId="12787DDC" w14:textId="77777777" w:rsidTr="00CB2D9C">
        <w:tc>
          <w:tcPr>
            <w:tcW w:w="745" w:type="pct"/>
            <w:vMerge/>
            <w:tcBorders>
              <w:bottom w:val="single" w:sz="4" w:space="0" w:color="FFFFFF" w:themeColor="background1"/>
            </w:tcBorders>
            <w:shd w:val="clear" w:color="auto" w:fill="0054BA" w:themeFill="accent2"/>
            <w:tcMar>
              <w:top w:w="0" w:type="dxa"/>
              <w:left w:w="108" w:type="dxa"/>
              <w:bottom w:w="0" w:type="dxa"/>
              <w:right w:w="108" w:type="dxa"/>
            </w:tcMar>
            <w:vAlign w:val="center"/>
          </w:tcPr>
          <w:p w14:paraId="6D8343AA" w14:textId="77777777" w:rsidR="004C2C90" w:rsidRPr="000056E7" w:rsidRDefault="004C2C90" w:rsidP="0071139A">
            <w:pPr>
              <w:pStyle w:val="Tabletext"/>
              <w:rPr>
                <w:sz w:val="22"/>
                <w:szCs w:val="20"/>
                <w:highlight w:val="yellow"/>
              </w:rPr>
            </w:pPr>
          </w:p>
        </w:tc>
        <w:tc>
          <w:tcPr>
            <w:tcW w:w="763" w:type="pct"/>
            <w:tcMar>
              <w:top w:w="0" w:type="dxa"/>
              <w:left w:w="108" w:type="dxa"/>
              <w:bottom w:w="0" w:type="dxa"/>
              <w:right w:w="108" w:type="dxa"/>
            </w:tcMar>
            <w:vAlign w:val="center"/>
          </w:tcPr>
          <w:p w14:paraId="5FC7D125" w14:textId="77777777" w:rsidR="004C2C90" w:rsidRPr="00264F8B" w:rsidRDefault="004C2C90" w:rsidP="0071139A">
            <w:pPr>
              <w:pStyle w:val="Tabletext"/>
              <w:rPr>
                <w:b/>
                <w:bCs/>
                <w:sz w:val="22"/>
                <w:szCs w:val="20"/>
              </w:rPr>
            </w:pPr>
            <w:r w:rsidRPr="00264F8B">
              <w:rPr>
                <w:b/>
                <w:bCs/>
                <w:sz w:val="22"/>
                <w:szCs w:val="20"/>
              </w:rPr>
              <w:t>Variations in Business Impacts</w:t>
            </w:r>
          </w:p>
        </w:tc>
        <w:tc>
          <w:tcPr>
            <w:tcW w:w="3492" w:type="pct"/>
            <w:tcMar>
              <w:top w:w="0" w:type="dxa"/>
              <w:left w:w="108" w:type="dxa"/>
              <w:bottom w:w="0" w:type="dxa"/>
              <w:right w:w="108" w:type="dxa"/>
            </w:tcMar>
            <w:vAlign w:val="center"/>
          </w:tcPr>
          <w:p w14:paraId="5838B4AF" w14:textId="73A2DA69" w:rsidR="004C2C90" w:rsidRPr="00264F8B" w:rsidRDefault="004C2C90" w:rsidP="00DF58BC">
            <w:pPr>
              <w:pStyle w:val="Tabletext"/>
              <w:spacing w:before="60"/>
              <w:rPr>
                <w:rStyle w:val="Bold"/>
                <w:b w:val="0"/>
                <w:sz w:val="22"/>
              </w:rPr>
            </w:pPr>
            <w:r w:rsidRPr="00264F8B">
              <w:rPr>
                <w:sz w:val="22"/>
              </w:rPr>
              <w:t>How were these impacts distributed across regions and sectors</w:t>
            </w:r>
            <w:r w:rsidR="00264F8B" w:rsidRPr="00264F8B">
              <w:rPr>
                <w:sz w:val="22"/>
              </w:rPr>
              <w:t>?</w:t>
            </w:r>
          </w:p>
        </w:tc>
      </w:tr>
      <w:tr w:rsidR="004C2C90" w:rsidRPr="000056E7" w14:paraId="123432D1" w14:textId="77777777" w:rsidTr="00CB2D9C">
        <w:trPr>
          <w:cnfStyle w:val="000000100000" w:firstRow="0" w:lastRow="0" w:firstColumn="0" w:lastColumn="0" w:oddVBand="0" w:evenVBand="0" w:oddHBand="1" w:evenHBand="0" w:firstRowFirstColumn="0" w:firstRowLastColumn="0" w:lastRowFirstColumn="0" w:lastRowLastColumn="0"/>
        </w:trPr>
        <w:tc>
          <w:tcPr>
            <w:tcW w:w="745" w:type="pct"/>
            <w:vMerge/>
            <w:tcBorders>
              <w:bottom w:val="single" w:sz="4" w:space="0" w:color="FFFFFF" w:themeColor="background1"/>
            </w:tcBorders>
            <w:shd w:val="clear" w:color="auto" w:fill="0054BA" w:themeFill="accent2"/>
            <w:tcMar>
              <w:top w:w="0" w:type="dxa"/>
              <w:left w:w="108" w:type="dxa"/>
              <w:bottom w:w="0" w:type="dxa"/>
              <w:right w:w="108" w:type="dxa"/>
            </w:tcMar>
            <w:vAlign w:val="center"/>
          </w:tcPr>
          <w:p w14:paraId="3381240F" w14:textId="77777777" w:rsidR="004C2C90" w:rsidRPr="000056E7" w:rsidRDefault="004C2C90" w:rsidP="0071139A">
            <w:pPr>
              <w:pStyle w:val="Tabletext"/>
              <w:rPr>
                <w:sz w:val="22"/>
                <w:szCs w:val="20"/>
                <w:highlight w:val="yellow"/>
              </w:rPr>
            </w:pPr>
          </w:p>
        </w:tc>
        <w:tc>
          <w:tcPr>
            <w:tcW w:w="763" w:type="pct"/>
            <w:tcMar>
              <w:top w:w="0" w:type="dxa"/>
              <w:left w:w="108" w:type="dxa"/>
              <w:bottom w:w="0" w:type="dxa"/>
              <w:right w:w="108" w:type="dxa"/>
            </w:tcMar>
            <w:vAlign w:val="center"/>
          </w:tcPr>
          <w:p w14:paraId="7C5123B2" w14:textId="77777777" w:rsidR="004C2C90" w:rsidRPr="00264F8B" w:rsidRDefault="004C2C90" w:rsidP="0071139A">
            <w:pPr>
              <w:pStyle w:val="Tabletext"/>
              <w:rPr>
                <w:b/>
                <w:bCs/>
                <w:sz w:val="22"/>
                <w:szCs w:val="20"/>
              </w:rPr>
            </w:pPr>
            <w:r w:rsidRPr="00264F8B">
              <w:rPr>
                <w:b/>
                <w:bCs/>
                <w:sz w:val="22"/>
                <w:szCs w:val="20"/>
              </w:rPr>
              <w:t>Wider Impacts</w:t>
            </w:r>
          </w:p>
        </w:tc>
        <w:tc>
          <w:tcPr>
            <w:tcW w:w="3492" w:type="pct"/>
            <w:tcMar>
              <w:top w:w="0" w:type="dxa"/>
              <w:left w:w="108" w:type="dxa"/>
              <w:bottom w:w="0" w:type="dxa"/>
              <w:right w:w="108" w:type="dxa"/>
            </w:tcMar>
            <w:vAlign w:val="center"/>
          </w:tcPr>
          <w:p w14:paraId="550093D5" w14:textId="109B62C2" w:rsidR="004C2C90" w:rsidRPr="00264F8B" w:rsidRDefault="004C2C90" w:rsidP="00DF58BC">
            <w:pPr>
              <w:pStyle w:val="Tabletext"/>
              <w:spacing w:before="60"/>
              <w:rPr>
                <w:rStyle w:val="Bold"/>
                <w:b w:val="0"/>
                <w:sz w:val="22"/>
              </w:rPr>
            </w:pPr>
            <w:r w:rsidRPr="00264F8B">
              <w:rPr>
                <w:sz w:val="22"/>
              </w:rPr>
              <w:t xml:space="preserve">To what extent </w:t>
            </w:r>
            <w:r w:rsidR="005807BA">
              <w:rPr>
                <w:sz w:val="22"/>
              </w:rPr>
              <w:t>has RLS 1.0</w:t>
            </w:r>
            <w:r w:rsidR="00622A84" w:rsidRPr="00264F8B">
              <w:rPr>
                <w:sz w:val="22"/>
              </w:rPr>
              <w:t xml:space="preserve"> </w:t>
            </w:r>
            <w:r w:rsidRPr="00264F8B">
              <w:rPr>
                <w:sz w:val="22"/>
              </w:rPr>
              <w:t>impacted the wider business lending landscape</w:t>
            </w:r>
            <w:r w:rsidR="00264F8B" w:rsidRPr="00264F8B">
              <w:rPr>
                <w:sz w:val="22"/>
              </w:rPr>
              <w:t>, including lender diversity and competition</w:t>
            </w:r>
            <w:r w:rsidRPr="00264F8B">
              <w:rPr>
                <w:sz w:val="22"/>
              </w:rPr>
              <w:t>?</w:t>
            </w:r>
          </w:p>
        </w:tc>
      </w:tr>
      <w:tr w:rsidR="004C2C90" w:rsidRPr="000056E7" w14:paraId="2503D8C3" w14:textId="77777777" w:rsidTr="00CB2D9C">
        <w:tc>
          <w:tcPr>
            <w:tcW w:w="745" w:type="pct"/>
            <w:vMerge/>
            <w:tcBorders>
              <w:bottom w:val="single" w:sz="4" w:space="0" w:color="FFFFFF" w:themeColor="background1"/>
            </w:tcBorders>
            <w:shd w:val="clear" w:color="auto" w:fill="0054BA" w:themeFill="accent2"/>
            <w:tcMar>
              <w:top w:w="0" w:type="dxa"/>
              <w:left w:w="108" w:type="dxa"/>
              <w:bottom w:w="0" w:type="dxa"/>
              <w:right w:w="108" w:type="dxa"/>
            </w:tcMar>
            <w:vAlign w:val="center"/>
          </w:tcPr>
          <w:p w14:paraId="778E26A2" w14:textId="77777777" w:rsidR="004C2C90" w:rsidRPr="000056E7" w:rsidRDefault="004C2C90" w:rsidP="0071139A">
            <w:pPr>
              <w:pStyle w:val="Tabletext"/>
              <w:rPr>
                <w:sz w:val="22"/>
                <w:szCs w:val="20"/>
                <w:highlight w:val="yellow"/>
              </w:rPr>
            </w:pPr>
          </w:p>
        </w:tc>
        <w:tc>
          <w:tcPr>
            <w:tcW w:w="763" w:type="pct"/>
            <w:tcMar>
              <w:top w:w="0" w:type="dxa"/>
              <w:left w:w="108" w:type="dxa"/>
              <w:bottom w:w="0" w:type="dxa"/>
              <w:right w:w="108" w:type="dxa"/>
            </w:tcMar>
            <w:vAlign w:val="center"/>
          </w:tcPr>
          <w:p w14:paraId="236D0339" w14:textId="77777777" w:rsidR="004C2C90" w:rsidRPr="00264F8B" w:rsidRDefault="004C2C90" w:rsidP="0071139A">
            <w:pPr>
              <w:pStyle w:val="Tabletext"/>
              <w:rPr>
                <w:b/>
                <w:bCs/>
                <w:sz w:val="22"/>
                <w:szCs w:val="20"/>
              </w:rPr>
            </w:pPr>
            <w:r w:rsidRPr="00264F8B">
              <w:rPr>
                <w:b/>
                <w:bCs/>
                <w:sz w:val="22"/>
                <w:szCs w:val="20"/>
              </w:rPr>
              <w:t>Contribution Analysis</w:t>
            </w:r>
          </w:p>
        </w:tc>
        <w:tc>
          <w:tcPr>
            <w:tcW w:w="3492" w:type="pct"/>
            <w:tcMar>
              <w:top w:w="0" w:type="dxa"/>
              <w:left w:w="108" w:type="dxa"/>
              <w:bottom w:w="0" w:type="dxa"/>
              <w:right w:w="108" w:type="dxa"/>
            </w:tcMar>
            <w:vAlign w:val="center"/>
          </w:tcPr>
          <w:p w14:paraId="28216A9D" w14:textId="77777777" w:rsidR="004C2C90" w:rsidRPr="00264F8B" w:rsidRDefault="004C2C90" w:rsidP="00DF58BC">
            <w:pPr>
              <w:pStyle w:val="Tabletext"/>
              <w:spacing w:before="60"/>
              <w:rPr>
                <w:rStyle w:val="Bold"/>
                <w:b w:val="0"/>
                <w:bCs/>
                <w:sz w:val="22"/>
              </w:rPr>
            </w:pPr>
            <w:r w:rsidRPr="00264F8B">
              <w:rPr>
                <w:sz w:val="22"/>
              </w:rPr>
              <w:t>To what extent can impacts be isolated from other government support schemes?</w:t>
            </w:r>
          </w:p>
        </w:tc>
      </w:tr>
    </w:tbl>
    <w:p w14:paraId="25E0A8CD" w14:textId="77777777" w:rsidR="004C2C90" w:rsidRPr="00214367" w:rsidRDefault="004C2C90" w:rsidP="004C2C90">
      <w:pPr>
        <w:pStyle w:val="Heading2"/>
      </w:pPr>
      <w:bookmarkStart w:id="15" w:name="_Toc161327577"/>
      <w:r w:rsidRPr="00214367">
        <w:t>Report structure</w:t>
      </w:r>
      <w:bookmarkEnd w:id="15"/>
    </w:p>
    <w:p w14:paraId="36B88688" w14:textId="77777777" w:rsidR="004C2C90" w:rsidRPr="00214367" w:rsidRDefault="004C2C90" w:rsidP="004C2C90">
      <w:r w:rsidRPr="00214367">
        <w:t xml:space="preserve">The report is organised as follows: </w:t>
      </w:r>
    </w:p>
    <w:p w14:paraId="74A0E80E" w14:textId="794F702B" w:rsidR="002E562D" w:rsidRDefault="002E562D" w:rsidP="002E562D">
      <w:pPr>
        <w:pStyle w:val="ListBullet"/>
        <w:numPr>
          <w:ilvl w:val="0"/>
          <w:numId w:val="5"/>
        </w:numPr>
      </w:pPr>
      <w:r w:rsidRPr="00214367">
        <w:t xml:space="preserve">The first chapter presents the findings from the process evaluation, which covers </w:t>
      </w:r>
      <w:r>
        <w:t>the design and implementation of RLS 1.0.</w:t>
      </w:r>
    </w:p>
    <w:p w14:paraId="0FC5928E" w14:textId="7CCAD9B0" w:rsidR="004C2C90" w:rsidRDefault="004C2C90" w:rsidP="00AB3D40">
      <w:pPr>
        <w:pStyle w:val="ListBullet"/>
      </w:pPr>
      <w:r>
        <w:t xml:space="preserve">The second chapter provides the findings of the early impact evaluation, covering the additionality of lending under </w:t>
      </w:r>
      <w:r w:rsidR="00744E99">
        <w:t>RLS 1.0</w:t>
      </w:r>
      <w:r>
        <w:t>, product market displacement</w:t>
      </w:r>
      <w:r w:rsidR="00214367">
        <w:t xml:space="preserve">, </w:t>
      </w:r>
      <w:r>
        <w:t>the impact of lending on businesses</w:t>
      </w:r>
      <w:r w:rsidR="00214367">
        <w:t xml:space="preserve"> and lender response to scheme parameters</w:t>
      </w:r>
      <w:r w:rsidR="006105D6">
        <w:t>.</w:t>
      </w:r>
    </w:p>
    <w:p w14:paraId="0B73952C" w14:textId="4C4A0423" w:rsidR="00942201" w:rsidRPr="00214367" w:rsidRDefault="00942201" w:rsidP="00AB3D40">
      <w:pPr>
        <w:pStyle w:val="ListBullet"/>
      </w:pPr>
      <w:r>
        <w:t xml:space="preserve">The final chapter summarises some of the key takeaways and lessons learned from this evaluation. </w:t>
      </w:r>
    </w:p>
    <w:p w14:paraId="482EDEF0" w14:textId="79922621" w:rsidR="00653746" w:rsidRDefault="004C2C90" w:rsidP="004C2C90">
      <w:r w:rsidRPr="00214367">
        <w:t>Detailed information on the methods used in the evaluation are provided in the annexes to the report.</w:t>
      </w:r>
      <w:r w:rsidR="00653746">
        <w:br w:type="page"/>
      </w:r>
    </w:p>
    <w:p w14:paraId="170378E7" w14:textId="77777777" w:rsidR="000056E7" w:rsidRDefault="001442DE" w:rsidP="000056E7">
      <w:pPr>
        <w:pStyle w:val="Heading1"/>
      </w:pPr>
      <w:bookmarkStart w:id="16" w:name="_Toc161327578"/>
      <w:r>
        <w:t>Process evaluation</w:t>
      </w:r>
      <w:bookmarkEnd w:id="16"/>
    </w:p>
    <w:p w14:paraId="0FF38A22" w14:textId="1184C546" w:rsidR="003B2EF1" w:rsidRDefault="003B2EF1" w:rsidP="003B2EF1">
      <w:r>
        <w:t>This chapter assesses the effectiveness of the processes adopted in the design and the delivery of RLS. This assessment is based on the process evaluation framework agreed with</w:t>
      </w:r>
      <w:r w:rsidR="00A10525">
        <w:t xml:space="preserve"> BBB</w:t>
      </w:r>
      <w:r>
        <w:t xml:space="preserve"> in June 2023 (provided in Annex </w:t>
      </w:r>
      <w:r w:rsidR="00461594">
        <w:t>1)</w:t>
      </w:r>
      <w:r>
        <w:t xml:space="preserve">. The assessment drew on an analysis of monitoring information and scheme documentation provided by </w:t>
      </w:r>
      <w:r w:rsidR="00A10525">
        <w:t>BBB</w:t>
      </w:r>
      <w:r>
        <w:t xml:space="preserve"> and DBT, </w:t>
      </w:r>
      <w:r w:rsidR="00D07C34">
        <w:t>in-</w:t>
      </w:r>
      <w:r w:rsidR="002E562D">
        <w:t xml:space="preserve">depth interviews </w:t>
      </w:r>
      <w:r>
        <w:t xml:space="preserve">with officials in </w:t>
      </w:r>
      <w:r w:rsidR="00A10525">
        <w:t>BBB</w:t>
      </w:r>
      <w:r>
        <w:t xml:space="preserve">, DBT and lenders, and a review of other secondary material. This report does not provide an assessment of debt recovery processes adopted in RLS, due to the timing of the evaluation. </w:t>
      </w:r>
    </w:p>
    <w:p w14:paraId="647A3E7D" w14:textId="77777777" w:rsidR="003B2EF1" w:rsidRDefault="003B2EF1" w:rsidP="003B2EF1">
      <w:pPr>
        <w:pStyle w:val="Heading2"/>
      </w:pPr>
      <w:bookmarkStart w:id="17" w:name="_Toc100313669"/>
      <w:bookmarkStart w:id="18" w:name="_Toc161327579"/>
      <w:r>
        <w:t>Objectives and methodology</w:t>
      </w:r>
      <w:bookmarkEnd w:id="17"/>
      <w:bookmarkEnd w:id="18"/>
    </w:p>
    <w:p w14:paraId="46B49B38" w14:textId="66E09D04" w:rsidR="004B3CC9" w:rsidRDefault="004B3CC9" w:rsidP="003B2EF1">
      <w:r>
        <w:t xml:space="preserve">The aim of the process evaluation </w:t>
      </w:r>
      <w:r w:rsidR="00D07C34">
        <w:t>wa</w:t>
      </w:r>
      <w:r w:rsidR="002E562D">
        <w:t xml:space="preserve">s to </w:t>
      </w:r>
      <w:r>
        <w:t>assess the effectiveness of the processes adopted to deliver RLS 1.0 in enabling them to efficiently meet their policy objectives. The key research questions for the process evaluation defined in the Terms of Reference for the evaluation and are:</w:t>
      </w:r>
    </w:p>
    <w:p w14:paraId="19B39CC5" w14:textId="44E3554F" w:rsidR="004B3CC9" w:rsidRDefault="004B3CC9" w:rsidP="004B3CC9">
      <w:pPr>
        <w:numPr>
          <w:ilvl w:val="0"/>
          <w:numId w:val="44"/>
        </w:numPr>
      </w:pPr>
      <w:r>
        <w:t>How did the activities in place to design and deliver RLS evolve from those in place for the C</w:t>
      </w:r>
      <w:r w:rsidR="00A10525">
        <w:t>ovid</w:t>
      </w:r>
      <w:r>
        <w:t xml:space="preserve">-19 </w:t>
      </w:r>
      <w:r w:rsidR="00B37DA9">
        <w:t xml:space="preserve">Loan Guarantee </w:t>
      </w:r>
      <w:r w:rsidR="00A4242F">
        <w:t>S</w:t>
      </w:r>
      <w:r>
        <w:t>chemes?</w:t>
      </w:r>
    </w:p>
    <w:p w14:paraId="1A91FAD9" w14:textId="4E44D602" w:rsidR="004B3CC9" w:rsidRDefault="004B3CC9" w:rsidP="004B3CC9">
      <w:pPr>
        <w:numPr>
          <w:ilvl w:val="0"/>
          <w:numId w:val="44"/>
        </w:numPr>
      </w:pPr>
      <w:bookmarkStart w:id="19" w:name="_Hlk154053052"/>
      <w:r>
        <w:t xml:space="preserve">How effective were these changes in meeting the </w:t>
      </w:r>
      <w:r w:rsidR="00C236F3">
        <w:t>s</w:t>
      </w:r>
      <w:r>
        <w:t>cheme objectives?</w:t>
      </w:r>
    </w:p>
    <w:bookmarkEnd w:id="19"/>
    <w:p w14:paraId="6D512308" w14:textId="6A017E88" w:rsidR="004B3CC9" w:rsidRDefault="004B3CC9" w:rsidP="004B3CC9">
      <w:pPr>
        <w:numPr>
          <w:ilvl w:val="0"/>
          <w:numId w:val="44"/>
        </w:numPr>
      </w:pPr>
      <w:r>
        <w:t xml:space="preserve">How effective were data collection processes to support monitoring of the </w:t>
      </w:r>
      <w:r w:rsidR="00C236F3">
        <w:t>s</w:t>
      </w:r>
      <w:r>
        <w:t>cheme against objectives?</w:t>
      </w:r>
    </w:p>
    <w:p w14:paraId="5CB9DFB1" w14:textId="429B39A2" w:rsidR="004B3CC9" w:rsidRDefault="004B3CC9" w:rsidP="004B3CC9">
      <w:pPr>
        <w:numPr>
          <w:ilvl w:val="0"/>
          <w:numId w:val="44"/>
        </w:numPr>
      </w:pPr>
      <w:r>
        <w:t xml:space="preserve">To what extent were fraud risks appropriately considered as part of </w:t>
      </w:r>
      <w:r w:rsidR="00C236F3">
        <w:t>s</w:t>
      </w:r>
      <w:r>
        <w:t>cheme design and management?</w:t>
      </w:r>
    </w:p>
    <w:p w14:paraId="61C777D1" w14:textId="06F9C3CC" w:rsidR="004B3CC9" w:rsidRDefault="004B3CC9" w:rsidP="003B2EF1">
      <w:r>
        <w:t xml:space="preserve">These questions were refined through the development of an evaluation framework (see Annex </w:t>
      </w:r>
      <w:r w:rsidR="00022DBB">
        <w:t>1</w:t>
      </w:r>
      <w:r>
        <w:t>), which mapped the processes involved in the delivery of the schemes, defined more detailed evaluation questions, and the evidence required to address them.</w:t>
      </w:r>
    </w:p>
    <w:p w14:paraId="3C4C8A0E" w14:textId="77777777" w:rsidR="004B3CC9" w:rsidRDefault="004B3CC9" w:rsidP="003B2EF1">
      <w:r>
        <w:t>The research undertaken to collect the evidence to inform the process evaluation were:</w:t>
      </w:r>
    </w:p>
    <w:p w14:paraId="5F5921F6" w14:textId="28B4F51C" w:rsidR="004B3CC9" w:rsidRDefault="004B3CC9" w:rsidP="004B3CC9">
      <w:pPr>
        <w:pStyle w:val="ListBullet"/>
      </w:pPr>
      <w:r>
        <w:rPr>
          <w:b/>
          <w:bCs/>
        </w:rPr>
        <w:t>Programme documentation:</w:t>
      </w:r>
      <w:r>
        <w:t xml:space="preserve"> A review of documentation describing how the schemes had been designed, scheme guidance, </w:t>
      </w:r>
      <w:r w:rsidR="7F26BC6F">
        <w:t xml:space="preserve">and </w:t>
      </w:r>
      <w:r>
        <w:t>agreements entered into between lenders and the Guarantor.</w:t>
      </w:r>
    </w:p>
    <w:p w14:paraId="7978C343" w14:textId="77777777" w:rsidR="004B3CC9" w:rsidRDefault="004B3CC9" w:rsidP="004B3CC9">
      <w:pPr>
        <w:pStyle w:val="ListBullet"/>
      </w:pPr>
      <w:r>
        <w:rPr>
          <w:b/>
          <w:bCs/>
        </w:rPr>
        <w:t>Management information:</w:t>
      </w:r>
      <w:r>
        <w:t xml:space="preserve"> This included data around the scheme portfolios (value and number of instruments offered and drawn down) and lenders.</w:t>
      </w:r>
    </w:p>
    <w:p w14:paraId="6B71AC62" w14:textId="2B130407" w:rsidR="006C54AE" w:rsidRDefault="006C54AE" w:rsidP="004B3CC9">
      <w:pPr>
        <w:pStyle w:val="ListBullet"/>
      </w:pPr>
      <w:r>
        <w:rPr>
          <w:b/>
          <w:bCs/>
        </w:rPr>
        <w:t>Secondary datasets:</w:t>
      </w:r>
      <w:r>
        <w:t xml:space="preserve"> Secondary data was obtained to provide further measures to support the process evaluation, and included BBB’s SME Finance </w:t>
      </w:r>
      <w:r w:rsidR="7D742191">
        <w:t>S</w:t>
      </w:r>
      <w:r>
        <w:t>urvey, and Bank of England data presenting commercial lending interest rates.</w:t>
      </w:r>
    </w:p>
    <w:p w14:paraId="64794F95" w14:textId="0534F216" w:rsidR="004B3CC9" w:rsidRDefault="004B3CC9" w:rsidP="004B3CC9">
      <w:pPr>
        <w:pStyle w:val="ListBullet"/>
      </w:pPr>
      <w:r>
        <w:rPr>
          <w:b/>
          <w:bCs/>
        </w:rPr>
        <w:t xml:space="preserve">Stakeholder consultations: </w:t>
      </w:r>
      <w:r>
        <w:t>Interviews</w:t>
      </w:r>
      <w:r>
        <w:rPr>
          <w:b/>
          <w:bCs/>
        </w:rPr>
        <w:t xml:space="preserve"> </w:t>
      </w:r>
      <w:r>
        <w:t xml:space="preserve">were completed with 11 stakeholders to collect views on the effectiveness of processes adopted to deliver </w:t>
      </w:r>
      <w:r w:rsidR="00F056D3">
        <w:t>RLS 1.0</w:t>
      </w:r>
      <w:r>
        <w:t xml:space="preserve">. These interviews had a duration of around one hour per stakeholder and were conducted using Microsoft Teams. Stakeholders included five individuals involved in the scheme design and delivery (from </w:t>
      </w:r>
      <w:r w:rsidR="00A10525">
        <w:t>BBB</w:t>
      </w:r>
      <w:r>
        <w:t>, DBT and UK Finance)</w:t>
      </w:r>
      <w:r w:rsidR="000A4B5E">
        <w:t>; and</w:t>
      </w:r>
      <w:r>
        <w:t xml:space="preserve"> </w:t>
      </w:r>
      <w:r w:rsidR="000A4B5E">
        <w:t>a</w:t>
      </w:r>
      <w:r>
        <w:t xml:space="preserve"> further six delegated lenders involved in scheme delivery, and wider business groups.</w:t>
      </w:r>
    </w:p>
    <w:p w14:paraId="1CEF0144" w14:textId="033EF4A0" w:rsidR="004B3CC9" w:rsidRDefault="004B3CC9">
      <w:r>
        <w:t>The table below summarises which evidence sources have been used to inform the assessment of the processes used. A more detailed version of this table is available in Annex 1</w:t>
      </w:r>
      <w:r w:rsidR="000C3B82">
        <w:t xml:space="preserve">, which presents the key evaluation </w:t>
      </w:r>
      <w:r w:rsidR="002E562D">
        <w:t xml:space="preserve">questions addressed </w:t>
      </w:r>
      <w:r w:rsidR="000C3B82">
        <w:t>by the process evaluation</w:t>
      </w:r>
      <w:r>
        <w:t>.</w:t>
      </w:r>
    </w:p>
    <w:p w14:paraId="18104407" w14:textId="10A95A46" w:rsidR="004B3CC9" w:rsidRDefault="004B3CC9" w:rsidP="002E562D">
      <w:pPr>
        <w:pStyle w:val="Heading5"/>
      </w:pPr>
      <w:r>
        <w:t xml:space="preserve">Table </w:t>
      </w:r>
      <w:r>
        <w:fldChar w:fldCharType="begin"/>
      </w:r>
      <w:r>
        <w:instrText xml:space="preserve"> SEQ Table \* ARABIC </w:instrText>
      </w:r>
      <w:r>
        <w:fldChar w:fldCharType="separate"/>
      </w:r>
      <w:r w:rsidR="001525E9">
        <w:rPr>
          <w:noProof/>
        </w:rPr>
        <w:t>4</w:t>
      </w:r>
      <w:r>
        <w:rPr>
          <w:noProof/>
        </w:rPr>
        <w:fldChar w:fldCharType="end"/>
      </w:r>
      <w:r w:rsidR="006D552C">
        <w:rPr>
          <w:noProof/>
        </w:rPr>
        <w:t>:</w:t>
      </w:r>
      <w:r>
        <w:t xml:space="preserve"> Sources of data for the process evaluation</w:t>
      </w:r>
    </w:p>
    <w:tbl>
      <w:tblPr>
        <w:tblStyle w:val="TableGrid"/>
        <w:tblW w:w="0" w:type="auto"/>
        <w:tblLook w:val="04A0" w:firstRow="1" w:lastRow="0" w:firstColumn="1" w:lastColumn="0" w:noHBand="0" w:noVBand="1"/>
      </w:tblPr>
      <w:tblGrid>
        <w:gridCol w:w="2030"/>
        <w:gridCol w:w="2031"/>
        <w:gridCol w:w="2031"/>
        <w:gridCol w:w="2031"/>
        <w:gridCol w:w="2031"/>
      </w:tblGrid>
      <w:tr w:rsidR="004B3CC9" w14:paraId="04594B9C" w14:textId="77777777">
        <w:trPr>
          <w:cnfStyle w:val="100000000000" w:firstRow="1" w:lastRow="0" w:firstColumn="0" w:lastColumn="0" w:oddVBand="0" w:evenVBand="0" w:oddHBand="0" w:evenHBand="0" w:firstRowFirstColumn="0" w:firstRowLastColumn="0" w:lastRowFirstColumn="0" w:lastRowLastColumn="0"/>
        </w:trPr>
        <w:tc>
          <w:tcPr>
            <w:tcW w:w="2030" w:type="dxa"/>
          </w:tcPr>
          <w:p w14:paraId="430E8E78" w14:textId="77777777" w:rsidR="004B3CC9" w:rsidRDefault="004B3CC9"/>
        </w:tc>
        <w:tc>
          <w:tcPr>
            <w:tcW w:w="2031" w:type="dxa"/>
          </w:tcPr>
          <w:p w14:paraId="207C67D7" w14:textId="77777777" w:rsidR="004B3CC9" w:rsidRDefault="004B3CC9">
            <w:r>
              <w:t>Programme documentation</w:t>
            </w:r>
          </w:p>
        </w:tc>
        <w:tc>
          <w:tcPr>
            <w:tcW w:w="2031" w:type="dxa"/>
          </w:tcPr>
          <w:p w14:paraId="5FA85934" w14:textId="77777777" w:rsidR="004B3CC9" w:rsidRDefault="004B3CC9">
            <w:r>
              <w:t>Management Information</w:t>
            </w:r>
          </w:p>
        </w:tc>
        <w:tc>
          <w:tcPr>
            <w:tcW w:w="2031" w:type="dxa"/>
          </w:tcPr>
          <w:p w14:paraId="5872FF46" w14:textId="77777777" w:rsidR="004B3CC9" w:rsidRDefault="004B3CC9">
            <w:r>
              <w:t>Secondary datasets</w:t>
            </w:r>
          </w:p>
        </w:tc>
        <w:tc>
          <w:tcPr>
            <w:tcW w:w="2031" w:type="dxa"/>
          </w:tcPr>
          <w:p w14:paraId="4EB80309" w14:textId="77777777" w:rsidR="004B3CC9" w:rsidRDefault="004B3CC9">
            <w:r>
              <w:t>Stakeholder consultations</w:t>
            </w:r>
          </w:p>
        </w:tc>
      </w:tr>
      <w:tr w:rsidR="004B3CC9" w14:paraId="16395846"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30" w:type="dxa"/>
          </w:tcPr>
          <w:p w14:paraId="70B66341" w14:textId="77777777" w:rsidR="004B3CC9" w:rsidRDefault="004B3CC9" w:rsidP="002E562D">
            <w:pPr>
              <w:spacing w:line="240" w:lineRule="auto"/>
            </w:pPr>
            <w:r>
              <w:t>Scheme design</w:t>
            </w:r>
          </w:p>
        </w:tc>
        <w:tc>
          <w:tcPr>
            <w:tcW w:w="2031" w:type="dxa"/>
          </w:tcPr>
          <w:p w14:paraId="200AAEAC" w14:textId="77777777" w:rsidR="004B3CC9" w:rsidRDefault="004B3CC9" w:rsidP="002E562D">
            <w:pPr>
              <w:spacing w:line="240" w:lineRule="auto"/>
              <w:jc w:val="center"/>
            </w:pPr>
            <w:r>
              <w:rPr>
                <w:rFonts w:ascii="Wingdings" w:eastAsia="Wingdings" w:hAnsi="Wingdings" w:cs="Wingdings"/>
              </w:rPr>
              <w:t>ü</w:t>
            </w:r>
          </w:p>
        </w:tc>
        <w:tc>
          <w:tcPr>
            <w:tcW w:w="2031" w:type="dxa"/>
          </w:tcPr>
          <w:p w14:paraId="54DBD247" w14:textId="77777777" w:rsidR="004B3CC9" w:rsidRDefault="004B3CC9" w:rsidP="002E562D">
            <w:pPr>
              <w:spacing w:line="240" w:lineRule="auto"/>
              <w:jc w:val="center"/>
            </w:pPr>
          </w:p>
        </w:tc>
        <w:tc>
          <w:tcPr>
            <w:tcW w:w="2031" w:type="dxa"/>
          </w:tcPr>
          <w:p w14:paraId="101EC6D0" w14:textId="77777777" w:rsidR="004B3CC9" w:rsidRDefault="004B3CC9" w:rsidP="002E562D">
            <w:pPr>
              <w:spacing w:line="240" w:lineRule="auto"/>
              <w:jc w:val="center"/>
            </w:pPr>
            <w:r>
              <w:rPr>
                <w:rFonts w:ascii="Wingdings" w:eastAsia="Wingdings" w:hAnsi="Wingdings" w:cs="Wingdings"/>
              </w:rPr>
              <w:t>ü</w:t>
            </w:r>
          </w:p>
        </w:tc>
        <w:tc>
          <w:tcPr>
            <w:tcW w:w="2031" w:type="dxa"/>
          </w:tcPr>
          <w:p w14:paraId="07BDC4F3" w14:textId="77777777" w:rsidR="004B3CC9" w:rsidRDefault="004B3CC9" w:rsidP="002E562D">
            <w:pPr>
              <w:spacing w:line="240" w:lineRule="auto"/>
              <w:jc w:val="center"/>
            </w:pPr>
            <w:r>
              <w:rPr>
                <w:rFonts w:ascii="Wingdings" w:eastAsia="Wingdings" w:hAnsi="Wingdings" w:cs="Wingdings"/>
              </w:rPr>
              <w:t>ü</w:t>
            </w:r>
          </w:p>
        </w:tc>
      </w:tr>
      <w:tr w:rsidR="004B3CC9" w14:paraId="032B2189" w14:textId="77777777">
        <w:tblPrEx>
          <w:tblCellMar>
            <w:left w:w="108" w:type="dxa"/>
            <w:right w:w="108" w:type="dxa"/>
          </w:tblCellMar>
        </w:tblPrEx>
        <w:tc>
          <w:tcPr>
            <w:tcW w:w="2030" w:type="dxa"/>
          </w:tcPr>
          <w:p w14:paraId="30FC3F89" w14:textId="77777777" w:rsidR="004B3CC9" w:rsidRDefault="004B3CC9" w:rsidP="002E562D">
            <w:pPr>
              <w:spacing w:line="240" w:lineRule="auto"/>
            </w:pPr>
            <w:r>
              <w:t>Lender accreditation and scheme establishment</w:t>
            </w:r>
          </w:p>
        </w:tc>
        <w:tc>
          <w:tcPr>
            <w:tcW w:w="2031" w:type="dxa"/>
          </w:tcPr>
          <w:p w14:paraId="581E36E5" w14:textId="77777777" w:rsidR="004B3CC9" w:rsidRDefault="004B3CC9" w:rsidP="002E562D">
            <w:pPr>
              <w:spacing w:line="240" w:lineRule="auto"/>
              <w:jc w:val="center"/>
            </w:pPr>
          </w:p>
        </w:tc>
        <w:tc>
          <w:tcPr>
            <w:tcW w:w="2031" w:type="dxa"/>
          </w:tcPr>
          <w:p w14:paraId="1A2CDE03" w14:textId="77777777" w:rsidR="004B3CC9" w:rsidRDefault="004B3CC9" w:rsidP="002E562D">
            <w:pPr>
              <w:spacing w:line="240" w:lineRule="auto"/>
              <w:jc w:val="center"/>
            </w:pPr>
            <w:r>
              <w:rPr>
                <w:rFonts w:ascii="Wingdings" w:eastAsia="Wingdings" w:hAnsi="Wingdings" w:cs="Wingdings"/>
              </w:rPr>
              <w:t>ü</w:t>
            </w:r>
          </w:p>
        </w:tc>
        <w:tc>
          <w:tcPr>
            <w:tcW w:w="2031" w:type="dxa"/>
          </w:tcPr>
          <w:p w14:paraId="464DE55E" w14:textId="77777777" w:rsidR="004B3CC9" w:rsidRDefault="004B3CC9" w:rsidP="002E562D">
            <w:pPr>
              <w:spacing w:line="240" w:lineRule="auto"/>
              <w:jc w:val="center"/>
            </w:pPr>
            <w:r>
              <w:rPr>
                <w:rFonts w:ascii="Wingdings" w:eastAsia="Wingdings" w:hAnsi="Wingdings" w:cs="Wingdings"/>
              </w:rPr>
              <w:t>ü</w:t>
            </w:r>
          </w:p>
        </w:tc>
        <w:tc>
          <w:tcPr>
            <w:tcW w:w="2031" w:type="dxa"/>
          </w:tcPr>
          <w:p w14:paraId="35651D8B" w14:textId="77777777" w:rsidR="004B3CC9" w:rsidRDefault="004B3CC9" w:rsidP="002E562D">
            <w:pPr>
              <w:spacing w:line="240" w:lineRule="auto"/>
              <w:jc w:val="center"/>
            </w:pPr>
            <w:r>
              <w:rPr>
                <w:rFonts w:ascii="Wingdings" w:eastAsia="Wingdings" w:hAnsi="Wingdings" w:cs="Wingdings"/>
              </w:rPr>
              <w:t>ü</w:t>
            </w:r>
          </w:p>
        </w:tc>
      </w:tr>
      <w:tr w:rsidR="004B3CC9" w14:paraId="6B9D10F2" w14:textId="77777777">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2030" w:type="dxa"/>
          </w:tcPr>
          <w:p w14:paraId="28B2358D" w14:textId="77777777" w:rsidR="004B3CC9" w:rsidRDefault="004B3CC9" w:rsidP="002E562D">
            <w:pPr>
              <w:spacing w:line="240" w:lineRule="auto"/>
            </w:pPr>
            <w:r>
              <w:t>Data sharing</w:t>
            </w:r>
          </w:p>
        </w:tc>
        <w:tc>
          <w:tcPr>
            <w:tcW w:w="2031" w:type="dxa"/>
          </w:tcPr>
          <w:p w14:paraId="57BD1F37" w14:textId="77777777" w:rsidR="004B3CC9" w:rsidRDefault="004B3CC9" w:rsidP="002E562D">
            <w:pPr>
              <w:spacing w:line="240" w:lineRule="auto"/>
              <w:jc w:val="center"/>
            </w:pPr>
          </w:p>
        </w:tc>
        <w:tc>
          <w:tcPr>
            <w:tcW w:w="2031" w:type="dxa"/>
          </w:tcPr>
          <w:p w14:paraId="0D636C48" w14:textId="77777777" w:rsidR="004B3CC9" w:rsidRDefault="004B3CC9" w:rsidP="002E562D">
            <w:pPr>
              <w:spacing w:line="240" w:lineRule="auto"/>
              <w:jc w:val="center"/>
            </w:pPr>
            <w:r>
              <w:rPr>
                <w:rFonts w:ascii="Wingdings" w:eastAsia="Wingdings" w:hAnsi="Wingdings" w:cs="Wingdings"/>
              </w:rPr>
              <w:t>ü</w:t>
            </w:r>
          </w:p>
        </w:tc>
        <w:tc>
          <w:tcPr>
            <w:tcW w:w="2031" w:type="dxa"/>
          </w:tcPr>
          <w:p w14:paraId="3A3DBDD4" w14:textId="77777777" w:rsidR="004B3CC9" w:rsidRDefault="004B3CC9" w:rsidP="002E562D">
            <w:pPr>
              <w:spacing w:line="240" w:lineRule="auto"/>
              <w:jc w:val="center"/>
            </w:pPr>
          </w:p>
        </w:tc>
        <w:tc>
          <w:tcPr>
            <w:tcW w:w="2031" w:type="dxa"/>
          </w:tcPr>
          <w:p w14:paraId="6DA84647" w14:textId="77777777" w:rsidR="004B3CC9" w:rsidRDefault="004B3CC9" w:rsidP="002E562D">
            <w:pPr>
              <w:spacing w:line="240" w:lineRule="auto"/>
              <w:jc w:val="center"/>
            </w:pPr>
            <w:r>
              <w:rPr>
                <w:rFonts w:ascii="Wingdings" w:eastAsia="Wingdings" w:hAnsi="Wingdings" w:cs="Wingdings"/>
              </w:rPr>
              <w:t>ü</w:t>
            </w:r>
          </w:p>
        </w:tc>
      </w:tr>
      <w:tr w:rsidR="004B3CC9" w14:paraId="6E289242" w14:textId="77777777">
        <w:tblPrEx>
          <w:tblCellMar>
            <w:left w:w="108" w:type="dxa"/>
            <w:right w:w="108" w:type="dxa"/>
          </w:tblCellMar>
        </w:tblPrEx>
        <w:tc>
          <w:tcPr>
            <w:tcW w:w="2030" w:type="dxa"/>
          </w:tcPr>
          <w:p w14:paraId="039FF733" w14:textId="77777777" w:rsidR="004B3CC9" w:rsidRDefault="004B3CC9"/>
        </w:tc>
        <w:tc>
          <w:tcPr>
            <w:tcW w:w="2031" w:type="dxa"/>
          </w:tcPr>
          <w:p w14:paraId="2ADB0691" w14:textId="77777777" w:rsidR="004B3CC9" w:rsidRDefault="004B3CC9"/>
        </w:tc>
        <w:tc>
          <w:tcPr>
            <w:tcW w:w="2031" w:type="dxa"/>
          </w:tcPr>
          <w:p w14:paraId="2F97B481" w14:textId="77777777" w:rsidR="004B3CC9" w:rsidRDefault="004B3CC9"/>
        </w:tc>
        <w:tc>
          <w:tcPr>
            <w:tcW w:w="2031" w:type="dxa"/>
          </w:tcPr>
          <w:p w14:paraId="69F48BCF" w14:textId="77777777" w:rsidR="004B3CC9" w:rsidRDefault="004B3CC9"/>
        </w:tc>
        <w:tc>
          <w:tcPr>
            <w:tcW w:w="2031" w:type="dxa"/>
          </w:tcPr>
          <w:p w14:paraId="65A460F5" w14:textId="77777777" w:rsidR="004B3CC9" w:rsidRDefault="004B3CC9"/>
        </w:tc>
      </w:tr>
    </w:tbl>
    <w:p w14:paraId="257FE677" w14:textId="77777777" w:rsidR="004B3CC9" w:rsidRDefault="004B3CC9" w:rsidP="002E562D"/>
    <w:p w14:paraId="36B919B4" w14:textId="77777777" w:rsidR="004B3CC9" w:rsidRDefault="004B3CC9"/>
    <w:p w14:paraId="1F06062C" w14:textId="77777777" w:rsidR="003B2EF1" w:rsidRDefault="003B2EF1" w:rsidP="003B2EF1">
      <w:pPr>
        <w:pStyle w:val="Heading2"/>
      </w:pPr>
      <w:bookmarkStart w:id="20" w:name="_Toc161327580"/>
      <w:r>
        <w:t>Scheme design</w:t>
      </w:r>
      <w:bookmarkEnd w:id="20"/>
    </w:p>
    <w:p w14:paraId="56CEE2C3" w14:textId="0A8BBFC3" w:rsidR="00CD4D85" w:rsidRDefault="00CD4D85" w:rsidP="003B2EF1">
      <w:bookmarkStart w:id="21" w:name="_Toc100313671"/>
      <w:r>
        <w:t>The C</w:t>
      </w:r>
      <w:r w:rsidR="00A10525">
        <w:t>ovid</w:t>
      </w:r>
      <w:r>
        <w:t>-19 pandemic and resultant restrictions created immediate disruption to the cashflow of many businesses, particularly those that were forced to close. These disruptions and restrictions continued into 2021, when the original C</w:t>
      </w:r>
      <w:r w:rsidR="00A10525">
        <w:t>ovid</w:t>
      </w:r>
      <w:r>
        <w:t xml:space="preserve">-19 </w:t>
      </w:r>
      <w:r w:rsidR="00A4242F">
        <w:t>L</w:t>
      </w:r>
      <w:r>
        <w:t xml:space="preserve">oan </w:t>
      </w:r>
      <w:r w:rsidR="00A4242F">
        <w:t>G</w:t>
      </w:r>
      <w:r>
        <w:t xml:space="preserve">uarantee </w:t>
      </w:r>
      <w:r w:rsidR="00A4242F">
        <w:t>S</w:t>
      </w:r>
      <w:r>
        <w:t xml:space="preserve">chemes were coming to an end. These restrictions, and wider uncertainty around public health created a large degree of economic uncertainty, which continued throughout 2021. The continued economic uncertainty was expected to constrain the supply of credit to businesses, as lending institutions were unable to assess the level of default risk associated with lending decisions. However, the uncertainty around access to finance in 2021 was lower than in the preceding year. Lenders reported having better information </w:t>
      </w:r>
      <w:r w:rsidR="002E562D">
        <w:t xml:space="preserve">to </w:t>
      </w:r>
      <w:r w:rsidR="00D07C34">
        <w:t xml:space="preserve">base their </w:t>
      </w:r>
      <w:r w:rsidR="00C236F3">
        <w:t>l</w:t>
      </w:r>
      <w:r w:rsidR="002E562D">
        <w:t>ending decisions</w:t>
      </w:r>
      <w:r w:rsidR="00D07C34">
        <w:t xml:space="preserve"> on</w:t>
      </w:r>
      <w:r w:rsidR="002E562D">
        <w:t xml:space="preserve"> and </w:t>
      </w:r>
      <w:r>
        <w:t xml:space="preserve">there was less uncertainty about how restrictions would impact upon businesses. </w:t>
      </w:r>
    </w:p>
    <w:p w14:paraId="59DE336C" w14:textId="1CFBCE45" w:rsidR="00CD4D85" w:rsidRDefault="00CD4D85" w:rsidP="003B2EF1">
      <w:r>
        <w:t xml:space="preserve">There was a consensus among stakeholders that there was still a need for government support, as commercial lending would leave some businesses without access to finance. This issue motivated the Government to provide cashflow support to prevent potential business failures and promote economic activity in the UK. </w:t>
      </w:r>
    </w:p>
    <w:p w14:paraId="6CD551A6" w14:textId="6FEDA43F" w:rsidR="00CD4D85" w:rsidRDefault="00CD4D85" w:rsidP="003B2EF1">
      <w:r>
        <w:t xml:space="preserve">All the stakeholders involved in the design and delivery of </w:t>
      </w:r>
      <w:r w:rsidR="00C236F3">
        <w:t>RLS 1.0</w:t>
      </w:r>
      <w:r>
        <w:t xml:space="preserve"> confirmed that BBB and the Government expected to launch a scheme to follow on from the C</w:t>
      </w:r>
      <w:r w:rsidR="00A10525">
        <w:t>ovid</w:t>
      </w:r>
      <w:r>
        <w:t xml:space="preserve">-19 </w:t>
      </w:r>
      <w:r w:rsidR="00B37DA9">
        <w:t xml:space="preserve">Loan Guarantee </w:t>
      </w:r>
      <w:r w:rsidR="00A4242F">
        <w:t>S</w:t>
      </w:r>
      <w:r>
        <w:t xml:space="preserve">chemes months in advance of the launch. This was because there was widespread knowledge that a scheme was required to address the challenges outlined above. Due to this advanced notice, </w:t>
      </w:r>
      <w:r w:rsidR="002E562D">
        <w:t>BBB</w:t>
      </w:r>
      <w:r>
        <w:t>, HMT and DBT were able to plan the scheme design in a more timely manner than for the C</w:t>
      </w:r>
      <w:r w:rsidR="00A10525">
        <w:t>ovid</w:t>
      </w:r>
      <w:r>
        <w:t xml:space="preserve">-19 </w:t>
      </w:r>
      <w:r w:rsidR="00B37DA9">
        <w:t>Loan Guarantee</w:t>
      </w:r>
      <w:r>
        <w:t xml:space="preserve"> </w:t>
      </w:r>
      <w:r w:rsidR="00A4242F">
        <w:t>S</w:t>
      </w:r>
      <w:r>
        <w:t xml:space="preserve">chemes. </w:t>
      </w:r>
    </w:p>
    <w:p w14:paraId="4EAA3D3F" w14:textId="630980DF" w:rsidR="00CD4D85" w:rsidRDefault="00CD4D85" w:rsidP="003B2EF1">
      <w:r>
        <w:t xml:space="preserve">The design process of </w:t>
      </w:r>
      <w:r w:rsidR="002E562D">
        <w:t xml:space="preserve">RLS </w:t>
      </w:r>
      <w:r w:rsidR="00C236F3">
        <w:t xml:space="preserve">1.0 </w:t>
      </w:r>
      <w:r>
        <w:t>explored different delivery mechanisms, and not just the delivery mechanism used for the C</w:t>
      </w:r>
      <w:r w:rsidR="00A10525">
        <w:t>ovid</w:t>
      </w:r>
      <w:r>
        <w:t xml:space="preserve">-19 </w:t>
      </w:r>
      <w:r w:rsidR="00B37DA9">
        <w:t>Loan Guarantee</w:t>
      </w:r>
      <w:r>
        <w:t xml:space="preserve"> </w:t>
      </w:r>
      <w:r w:rsidR="009D7ABF">
        <w:t>S</w:t>
      </w:r>
      <w:r>
        <w:t>chemes (such as the ENABLE Guarantee</w:t>
      </w:r>
      <w:r>
        <w:rPr>
          <w:rStyle w:val="FootnoteReference"/>
        </w:rPr>
        <w:footnoteReference w:id="14"/>
      </w:r>
      <w:r>
        <w:t>). However, following an assessment of different delivery mechanisms, BBB and DBT decided that the most appropriate delivery mechanism would be the approach used for the C</w:t>
      </w:r>
      <w:r w:rsidR="00A10525">
        <w:t>ovid</w:t>
      </w:r>
      <w:r>
        <w:t xml:space="preserve">-19 </w:t>
      </w:r>
      <w:r w:rsidR="00B37DA9">
        <w:t xml:space="preserve">Loan Guarantee </w:t>
      </w:r>
      <w:r w:rsidR="009D7ABF">
        <w:t>S</w:t>
      </w:r>
      <w:r>
        <w:t xml:space="preserve">chemes, and </w:t>
      </w:r>
      <w:r w:rsidR="002E562D">
        <w:t xml:space="preserve">the </w:t>
      </w:r>
      <w:r w:rsidR="00D07C34">
        <w:t>Enterprise Finance Guarantee (</w:t>
      </w:r>
      <w:r w:rsidR="002E562D">
        <w:t>EFG</w:t>
      </w:r>
      <w:r w:rsidR="00D07C34">
        <w:t>)</w:t>
      </w:r>
      <w:r w:rsidR="002E562D">
        <w:t xml:space="preserve"> </w:t>
      </w:r>
      <w:r>
        <w:t>prior to this. This framework had worked well in delivering finance to SMEs during the C</w:t>
      </w:r>
      <w:r w:rsidR="00A10525">
        <w:t>ovid</w:t>
      </w:r>
      <w:r>
        <w:t xml:space="preserve">-19 </w:t>
      </w:r>
      <w:r w:rsidR="00B37DA9">
        <w:t>Loan Guarantee</w:t>
      </w:r>
      <w:r>
        <w:t xml:space="preserve"> </w:t>
      </w:r>
      <w:r w:rsidR="009D7ABF">
        <w:t>S</w:t>
      </w:r>
      <w:r>
        <w:t>chemes, the processes were well understood by the lenders and were in place for BBB to manage, meaning the scheme could be launched at pace, and limited new processes would need to be designed. A large number of lenders were already accredited on the C</w:t>
      </w:r>
      <w:r w:rsidR="00A10525">
        <w:t>ovid</w:t>
      </w:r>
      <w:r>
        <w:t xml:space="preserve">-19 </w:t>
      </w:r>
      <w:r w:rsidR="00B37DA9">
        <w:t>Loan Guarantee</w:t>
      </w:r>
      <w:r>
        <w:t xml:space="preserve"> </w:t>
      </w:r>
      <w:r w:rsidR="007219FC">
        <w:t>S</w:t>
      </w:r>
      <w:r>
        <w:t>chemes, which could be used to support the accreditation process for RLS</w:t>
      </w:r>
      <w:r w:rsidR="00A10525">
        <w:t xml:space="preserve"> 1.0</w:t>
      </w:r>
      <w:r>
        <w:t xml:space="preserve"> and improve efficiency. Further, lessons from the C</w:t>
      </w:r>
      <w:r w:rsidR="00A10525">
        <w:t>ovid</w:t>
      </w:r>
      <w:r>
        <w:t xml:space="preserve">-19 </w:t>
      </w:r>
      <w:r w:rsidR="00B37DA9">
        <w:t>Loan Guarantee</w:t>
      </w:r>
      <w:r>
        <w:t xml:space="preserve"> </w:t>
      </w:r>
      <w:r w:rsidR="007219FC">
        <w:t>S</w:t>
      </w:r>
      <w:r>
        <w:t>chemes and improvements made over the course of the delivery could be included in the design of RLS</w:t>
      </w:r>
      <w:r w:rsidR="00C236F3">
        <w:t xml:space="preserve"> 1.0</w:t>
      </w:r>
      <w:r>
        <w:t xml:space="preserve"> if the same framework was used.  </w:t>
      </w:r>
    </w:p>
    <w:p w14:paraId="73FC821C" w14:textId="7231B744" w:rsidR="00CD4D85" w:rsidRDefault="00CD4D85" w:rsidP="003B2EF1">
      <w:r>
        <w:t>Modelling of the potential value for money associated with RLS</w:t>
      </w:r>
      <w:r w:rsidR="00C236F3">
        <w:t xml:space="preserve"> 1.0</w:t>
      </w:r>
      <w:r>
        <w:t xml:space="preserve"> was undertaken, giving valuable information on the potential scale of the contingent liability resulting from RLS</w:t>
      </w:r>
      <w:r w:rsidR="00C236F3">
        <w:t xml:space="preserve"> 1.0</w:t>
      </w:r>
      <w:r>
        <w:t xml:space="preserve">, using data from the performance of the </w:t>
      </w:r>
      <w:r w:rsidR="00A10525">
        <w:t>Covid</w:t>
      </w:r>
      <w:r>
        <w:t xml:space="preserve">-19 </w:t>
      </w:r>
      <w:r w:rsidR="00B37DA9">
        <w:t>Loan Guarantee</w:t>
      </w:r>
      <w:r>
        <w:t xml:space="preserve"> </w:t>
      </w:r>
      <w:r w:rsidR="00784D17">
        <w:t>S</w:t>
      </w:r>
      <w:r>
        <w:t xml:space="preserve">chemes.  </w:t>
      </w:r>
    </w:p>
    <w:p w14:paraId="39185F6A" w14:textId="0BB3E1B1" w:rsidR="00CD4D85" w:rsidRDefault="3160242B" w:rsidP="003B2EF1">
      <w:r>
        <w:t xml:space="preserve">Lenders and policy stakeholders reported a good level of engagement between </w:t>
      </w:r>
      <w:r w:rsidR="002E562D">
        <w:t xml:space="preserve">BBB </w:t>
      </w:r>
      <w:r>
        <w:t xml:space="preserve">and lenders during the design process. This was seen as essential in order to support a rapid launch of the scheme. The engagement reportedly started very early on in the design stage, with BBB informing accredited lenders via relationship manager routes that another scheme, following on from the </w:t>
      </w:r>
      <w:r w:rsidR="3C580A7C">
        <w:t>Covid</w:t>
      </w:r>
      <w:r>
        <w:t xml:space="preserve">-19 </w:t>
      </w:r>
      <w:r w:rsidR="1ACDD46D">
        <w:t xml:space="preserve">Loan Guarantee </w:t>
      </w:r>
      <w:r w:rsidR="00D91475">
        <w:t>S</w:t>
      </w:r>
      <w:r>
        <w:t>chemes, was likely to be launched. This provided</w:t>
      </w:r>
      <w:r w:rsidR="002E562D">
        <w:t xml:space="preserve"> BBB </w:t>
      </w:r>
      <w:r>
        <w:t xml:space="preserve">with an assessment of the level of interest in a potential scheme and also feedback about what would work for a follow up scheme. Lenders provided feedback which was considered alongside RLS </w:t>
      </w:r>
      <w:r w:rsidR="00C236F3">
        <w:t xml:space="preserve">1.0 </w:t>
      </w:r>
      <w:r>
        <w:t xml:space="preserve">policy objectives and wider feedback from the </w:t>
      </w:r>
      <w:r w:rsidR="3C580A7C">
        <w:t>Covid</w:t>
      </w:r>
      <w:r>
        <w:t xml:space="preserve">-19 </w:t>
      </w:r>
      <w:r w:rsidR="00F25DBC">
        <w:t>L</w:t>
      </w:r>
      <w:r>
        <w:t>oan</w:t>
      </w:r>
      <w:r w:rsidR="00F25DBC">
        <w:t xml:space="preserve"> Guarantee</w:t>
      </w:r>
      <w:r>
        <w:t xml:space="preserve"> </w:t>
      </w:r>
      <w:r w:rsidR="00F25DBC">
        <w:t>S</w:t>
      </w:r>
      <w:r>
        <w:t xml:space="preserve">chemes to inform RLS </w:t>
      </w:r>
      <w:r w:rsidR="00C236F3">
        <w:t xml:space="preserve">1.0 </w:t>
      </w:r>
      <w:r>
        <w:t xml:space="preserve">design. Their feedback included topics such </w:t>
      </w:r>
      <w:r w:rsidR="67F1D2F7">
        <w:t xml:space="preserve">as </w:t>
      </w:r>
      <w:r>
        <w:t>keeping a lender fee rather than a borrower fee and the removal of the Business Interruption Payment (BIP).</w:t>
      </w:r>
    </w:p>
    <w:p w14:paraId="77112711" w14:textId="53069FCE" w:rsidR="00CD4D85" w:rsidRDefault="00CD4D85" w:rsidP="003B2EF1">
      <w:r>
        <w:t xml:space="preserve">As a result of lender engagement and the time taken for the design of the scheme, the following differences </w:t>
      </w:r>
      <w:r w:rsidR="1DE32D0F">
        <w:t xml:space="preserve">from </w:t>
      </w:r>
      <w:r>
        <w:t>CBILS were included in the scheme design:</w:t>
      </w:r>
    </w:p>
    <w:p w14:paraId="6814B4E7" w14:textId="003762E1" w:rsidR="00CD4D85" w:rsidRDefault="00CD4D85" w:rsidP="00CD4D85">
      <w:pPr>
        <w:pStyle w:val="05ABullets1stlevel"/>
        <w:numPr>
          <w:ilvl w:val="0"/>
          <w:numId w:val="45"/>
        </w:numPr>
        <w:tabs>
          <w:tab w:val="left" w:pos="720"/>
        </w:tabs>
        <w:spacing w:before="120" w:after="240" w:line="288" w:lineRule="auto"/>
        <w:ind w:left="567" w:hanging="283"/>
      </w:pPr>
      <w:r w:rsidRPr="5162393B">
        <w:rPr>
          <w:b/>
        </w:rPr>
        <w:t>Removal of the BIP:</w:t>
      </w:r>
      <w:r>
        <w:t xml:space="preserve"> The BIP was a mechanism where the government covered the cost of the interest for the first 12 months of a facility, and any lender charges to the business. This was removed to prevent the terms of the facilities being provided through the scheme being far more generous than commercial lending due to this payment and to focus the scheme on those businesses who c</w:t>
      </w:r>
      <w:r w:rsidR="002E562D">
        <w:t>ould</w:t>
      </w:r>
      <w:r>
        <w:t xml:space="preserve"> afford to take on additional debt.</w:t>
      </w:r>
    </w:p>
    <w:p w14:paraId="7D6CFA53" w14:textId="77777777" w:rsidR="00CD4D85" w:rsidRDefault="00CD4D85" w:rsidP="00CD4D85">
      <w:pPr>
        <w:pStyle w:val="05ABullets1stlevel"/>
        <w:numPr>
          <w:ilvl w:val="0"/>
          <w:numId w:val="45"/>
        </w:numPr>
        <w:tabs>
          <w:tab w:val="left" w:pos="720"/>
        </w:tabs>
        <w:spacing w:before="120" w:after="240" w:line="288" w:lineRule="auto"/>
        <w:ind w:left="567" w:hanging="283"/>
      </w:pPr>
      <w:r w:rsidRPr="5B349BD0">
        <w:rPr>
          <w:b/>
        </w:rPr>
        <w:t>The introduction of an additionality test:</w:t>
      </w:r>
      <w:r>
        <w:t xml:space="preserve"> Lenders should only offer facilities to businesses that they would not have been prepared to offer lending to in the absence of the scheme, or lending would have been provided at a higher price than offered through the scheme. Under CBILS, a commercial facility was significantly less economically attractive to the borrower than a CBILS facility, because of the BIP. This change was introduced to ensure businesses that could access commercial finance did so.</w:t>
      </w:r>
    </w:p>
    <w:p w14:paraId="58CC3E62" w14:textId="12DAB317" w:rsidR="00CD4D85" w:rsidRDefault="3160242B" w:rsidP="00CD4D85">
      <w:pPr>
        <w:pStyle w:val="05ABullets1stlevel"/>
        <w:numPr>
          <w:ilvl w:val="0"/>
          <w:numId w:val="45"/>
        </w:numPr>
        <w:tabs>
          <w:tab w:val="left" w:pos="720"/>
        </w:tabs>
        <w:spacing w:before="120" w:after="240" w:line="288" w:lineRule="auto"/>
        <w:ind w:left="567" w:hanging="283"/>
      </w:pPr>
      <w:r w:rsidRPr="02AC3778">
        <w:rPr>
          <w:b/>
          <w:bCs/>
        </w:rPr>
        <w:t>Revisions to the Undertaking in Difficulty test:</w:t>
      </w:r>
      <w:r>
        <w:t xml:space="preserve"> As highlighted in the evaluation of the </w:t>
      </w:r>
      <w:r w:rsidR="3C580A7C">
        <w:t>Covid</w:t>
      </w:r>
      <w:r>
        <w:t xml:space="preserve">-19 </w:t>
      </w:r>
      <w:r w:rsidR="1ACDD46D">
        <w:t xml:space="preserve">Loan Guarantee </w:t>
      </w:r>
      <w:r w:rsidR="007E2824">
        <w:t>S</w:t>
      </w:r>
      <w:r>
        <w:t>chemes, the Undertaking in Difficulty test</w:t>
      </w:r>
      <w:r w:rsidR="00CD4D85">
        <w:rPr>
          <w:rStyle w:val="FootnoteReference"/>
        </w:rPr>
        <w:footnoteReference w:id="15"/>
      </w:r>
      <w:r>
        <w:t>, as set out in State aid legislation, did not work well during the pandemic due to the economic uncertainty and lack of cash flow for businesses. Due to parts of the UK no longer being bound by State aid legislation in 2021</w:t>
      </w:r>
      <w:r w:rsidR="00D07C34">
        <w:t xml:space="preserve"> following the UK’s exit from the EU</w:t>
      </w:r>
      <w:r>
        <w:t>, a revised version of the Undertaking in Difficulty test could be introduced in parts of the UK. Where this was able to be introduced, the revised test allowed lenders to provide finance to businesses not in Relevant Insolvency Proceedings.</w:t>
      </w:r>
      <w:r w:rsidR="00CD4D85">
        <w:rPr>
          <w:rStyle w:val="FootnoteReference"/>
        </w:rPr>
        <w:footnoteReference w:id="16"/>
      </w:r>
      <w:r>
        <w:t xml:space="preserve"> </w:t>
      </w:r>
    </w:p>
    <w:p w14:paraId="2E8215BC" w14:textId="2B29AE8F" w:rsidR="00CD4D85" w:rsidRDefault="3160242B" w:rsidP="00CD4D85">
      <w:pPr>
        <w:pStyle w:val="05ABullets1stlevel"/>
        <w:numPr>
          <w:ilvl w:val="0"/>
          <w:numId w:val="45"/>
        </w:numPr>
        <w:tabs>
          <w:tab w:val="left" w:pos="720"/>
        </w:tabs>
        <w:spacing w:before="120" w:after="240" w:line="288" w:lineRule="auto"/>
        <w:ind w:left="567" w:hanging="283"/>
      </w:pPr>
      <w:r w:rsidRPr="02AC3778">
        <w:rPr>
          <w:b/>
          <w:bCs/>
        </w:rPr>
        <w:t>The removal of the portfolio cap:</w:t>
      </w:r>
      <w:r>
        <w:t xml:space="preserve"> A portfolio cap limits the total amount </w:t>
      </w:r>
      <w:r w:rsidR="5D0C4CEB">
        <w:t xml:space="preserve">that an </w:t>
      </w:r>
      <w:r>
        <w:t xml:space="preserve">accredited lender </w:t>
      </w:r>
      <w:r w:rsidR="2A46E5B4">
        <w:t>can claim across all of their guaranteed lending under a scheme</w:t>
      </w:r>
      <w:r w:rsidR="00DB1850">
        <w:t>.</w:t>
      </w:r>
      <w:r w:rsidR="00CD4D85" w:rsidRPr="00DB1850">
        <w:rPr>
          <w:vertAlign w:val="superscript"/>
        </w:rPr>
        <w:footnoteReference w:id="17"/>
      </w:r>
      <w:r>
        <w:t xml:space="preserve"> The portfolio cap was initially in place </w:t>
      </w:r>
      <w:r w:rsidR="4E1B55C2">
        <w:t>for</w:t>
      </w:r>
      <w:r w:rsidR="00295413">
        <w:t xml:space="preserve"> </w:t>
      </w:r>
      <w:r>
        <w:t>CBILS, but was removed</w:t>
      </w:r>
      <w:r w:rsidR="30A8301A">
        <w:t xml:space="preserve"> not long into that scheme’s period of operation</w:t>
      </w:r>
      <w:r>
        <w:t>, and for RLS the portfolio cap was not reintroduced. This was done to ensure that accredited lenders could provide more support to businesses</w:t>
      </w:r>
      <w:r w:rsidR="1BBF6B37">
        <w:t>, in line with the scheme objectives, without being unduly restricted by concerns around their abili</w:t>
      </w:r>
      <w:r w:rsidR="743C7EC1">
        <w:t>ty to claim under the guarantee</w:t>
      </w:r>
      <w:r>
        <w:t>.</w:t>
      </w:r>
    </w:p>
    <w:p w14:paraId="4F88A8DC" w14:textId="24DC4089" w:rsidR="00CD4D85" w:rsidRDefault="00CD4D85" w:rsidP="00CD4D85">
      <w:pPr>
        <w:pStyle w:val="05ABullets1stlevel"/>
        <w:numPr>
          <w:ilvl w:val="0"/>
          <w:numId w:val="45"/>
        </w:numPr>
        <w:tabs>
          <w:tab w:val="left" w:pos="720"/>
        </w:tabs>
        <w:spacing w:before="120" w:after="240" w:line="288" w:lineRule="auto"/>
        <w:ind w:left="567" w:hanging="283"/>
      </w:pPr>
      <w:r>
        <w:rPr>
          <w:b/>
          <w:bCs/>
        </w:rPr>
        <w:t>Increas</w:t>
      </w:r>
      <w:r w:rsidRPr="753C4C8A">
        <w:rPr>
          <w:b/>
          <w:bCs/>
        </w:rPr>
        <w:t>ing the fee charged to lenders to participate in the scheme:</w:t>
      </w:r>
      <w:r>
        <w:t xml:space="preserve"> This was amended as it was thought to be a more appropriate way to manage the risk of lenders providing too much finance through the scheme than having a portfolio cap.</w:t>
      </w:r>
    </w:p>
    <w:p w14:paraId="48C2D869" w14:textId="30A48CB4" w:rsidR="00CD4D85" w:rsidRDefault="3160242B" w:rsidP="00CD4D85">
      <w:pPr>
        <w:pStyle w:val="05ABullets1stlevel"/>
        <w:numPr>
          <w:ilvl w:val="0"/>
          <w:numId w:val="45"/>
        </w:numPr>
        <w:tabs>
          <w:tab w:val="left" w:pos="720"/>
        </w:tabs>
        <w:spacing w:before="120" w:after="240" w:line="288" w:lineRule="auto"/>
        <w:ind w:left="567" w:hanging="283"/>
      </w:pPr>
      <w:r w:rsidRPr="02AC3778">
        <w:rPr>
          <w:b/>
          <w:bCs/>
        </w:rPr>
        <w:t>Ensuring alternative finance providers are able, with BBB consent, to assign the guarantee to a third-party funder or investor or use ENABLE Funding</w:t>
      </w:r>
      <w:r w:rsidR="00CD4D85">
        <w:rPr>
          <w:rStyle w:val="FootnoteReference"/>
          <w:b/>
        </w:rPr>
        <w:footnoteReference w:id="18"/>
      </w:r>
      <w:r w:rsidRPr="02AC3778">
        <w:rPr>
          <w:b/>
          <w:bCs/>
        </w:rPr>
        <w:t xml:space="preserve"> to finance facilities:</w:t>
      </w:r>
      <w:r>
        <w:t xml:space="preserve"> This was in response to some alternative finance providers reporting that it was challenging for them to use their usual finance sources to deliver CBILS.</w:t>
      </w:r>
    </w:p>
    <w:p w14:paraId="75F521D6" w14:textId="33B6B36D" w:rsidR="00CD4D85" w:rsidRDefault="00CD4D85" w:rsidP="003B2EF1">
      <w:r>
        <w:t>As well as making changes to the parameters used for CBILS, BBB also incorporated some key learnings from the scheme about what worked well and should be retained for RLS 1.0. These were:</w:t>
      </w:r>
    </w:p>
    <w:p w14:paraId="607730D5" w14:textId="351E9220" w:rsidR="00CD4D85" w:rsidRDefault="00CD4D85" w:rsidP="00CD4D85">
      <w:pPr>
        <w:pStyle w:val="05ABullets1stlevel"/>
        <w:numPr>
          <w:ilvl w:val="0"/>
          <w:numId w:val="46"/>
        </w:numPr>
        <w:tabs>
          <w:tab w:val="left" w:pos="720"/>
        </w:tabs>
        <w:spacing w:before="120" w:after="240" w:line="288" w:lineRule="auto"/>
        <w:ind w:left="567" w:hanging="283"/>
      </w:pPr>
      <w:r>
        <w:rPr>
          <w:b/>
          <w:bCs/>
        </w:rPr>
        <w:t>Having</w:t>
      </w:r>
      <w:r w:rsidRPr="5A095D3E">
        <w:rPr>
          <w:b/>
          <w:bCs/>
        </w:rPr>
        <w:t xml:space="preserve"> a simplified approach to the </w:t>
      </w:r>
      <w:r>
        <w:rPr>
          <w:b/>
          <w:bCs/>
        </w:rPr>
        <w:t>U</w:t>
      </w:r>
      <w:r w:rsidRPr="5A095D3E">
        <w:rPr>
          <w:b/>
          <w:bCs/>
        </w:rPr>
        <w:t xml:space="preserve">ndertaking in </w:t>
      </w:r>
      <w:r>
        <w:rPr>
          <w:b/>
          <w:bCs/>
        </w:rPr>
        <w:t>D</w:t>
      </w:r>
      <w:r w:rsidRPr="5A095D3E">
        <w:rPr>
          <w:b/>
          <w:bCs/>
        </w:rPr>
        <w:t>ifficulty test:</w:t>
      </w:r>
      <w:r>
        <w:t xml:space="preserve"> As the Undertaking in Difficulty test as stated in State aid legislation was challenging to implement during the pandemic, this was amended to be a simpler process in Great Britain.</w:t>
      </w:r>
    </w:p>
    <w:p w14:paraId="57994720" w14:textId="372465F8" w:rsidR="00CD4D85" w:rsidRDefault="00CD4D85" w:rsidP="00CD4D85">
      <w:pPr>
        <w:pStyle w:val="05ABullets1stlevel"/>
        <w:numPr>
          <w:ilvl w:val="0"/>
          <w:numId w:val="46"/>
        </w:numPr>
        <w:tabs>
          <w:tab w:val="left" w:pos="720"/>
        </w:tabs>
        <w:spacing w:before="120" w:after="240" w:line="288" w:lineRule="auto"/>
        <w:ind w:left="567" w:hanging="283"/>
        <w:rPr>
          <w:szCs w:val="24"/>
        </w:rPr>
      </w:pPr>
      <w:r>
        <w:rPr>
          <w:b/>
          <w:bCs/>
          <w:color w:val="000000"/>
          <w:szCs w:val="24"/>
        </w:rPr>
        <w:t xml:space="preserve">Maintaining the requirement under CBILS that personal guarantees are not permitted for lending below £250,000: </w:t>
      </w:r>
      <w:r>
        <w:rPr>
          <w:color w:val="000000"/>
          <w:szCs w:val="24"/>
        </w:rPr>
        <w:t>This was maintained to ensure widespread access to the scheme, as some smaller businesses are reluctant to provide personal guarantees for business finance.</w:t>
      </w:r>
    </w:p>
    <w:p w14:paraId="66FF068C" w14:textId="6D3AFA9A" w:rsidR="000C3B82" w:rsidRDefault="00CD4D85" w:rsidP="007755B5">
      <w:pPr>
        <w:sectPr w:rsidR="000C3B82" w:rsidSect="00A21374">
          <w:footerReference w:type="default" r:id="rId29"/>
          <w:footerReference w:type="first" r:id="rId30"/>
          <w:pgSz w:w="11906" w:h="16838" w:code="9"/>
          <w:pgMar w:top="1701" w:right="845" w:bottom="1531" w:left="907" w:header="624" w:footer="454" w:gutter="0"/>
          <w:cols w:space="284"/>
          <w:titlePg/>
          <w:docGrid w:linePitch="360"/>
        </w:sectPr>
      </w:pPr>
      <w:r>
        <w:t xml:space="preserve">A summary of the scheme parameters and comparisons to the </w:t>
      </w:r>
      <w:r w:rsidR="00A10525">
        <w:t>Covid</w:t>
      </w:r>
      <w:r>
        <w:t xml:space="preserve">-19 </w:t>
      </w:r>
      <w:r w:rsidR="002C7296">
        <w:t>L</w:t>
      </w:r>
      <w:r>
        <w:t xml:space="preserve">oan </w:t>
      </w:r>
      <w:r w:rsidR="002C7296">
        <w:t>Guarantee S</w:t>
      </w:r>
      <w:r>
        <w:t xml:space="preserve">chemes is provided in </w:t>
      </w:r>
      <w:r w:rsidR="007755B5">
        <w:fldChar w:fldCharType="begin"/>
      </w:r>
      <w:r w:rsidR="007755B5">
        <w:instrText xml:space="preserve"> REF _Ref158378754 \h </w:instrText>
      </w:r>
      <w:r w:rsidR="007755B5">
        <w:fldChar w:fldCharType="separate"/>
      </w:r>
      <w:r w:rsidR="001525E9">
        <w:t xml:space="preserve">Table </w:t>
      </w:r>
      <w:r w:rsidR="001525E9">
        <w:rPr>
          <w:noProof/>
        </w:rPr>
        <w:t>5</w:t>
      </w:r>
      <w:r w:rsidR="007755B5">
        <w:fldChar w:fldCharType="end"/>
      </w:r>
      <w:r>
        <w:t xml:space="preserve"> below.</w:t>
      </w:r>
    </w:p>
    <w:p w14:paraId="79EE89B5" w14:textId="43FDD18D" w:rsidR="00CD4D85" w:rsidRDefault="00B628D7" w:rsidP="003B2EF1">
      <w:pPr>
        <w:pStyle w:val="Heading5"/>
      </w:pPr>
      <w:bookmarkStart w:id="22" w:name="_Ref158378754"/>
      <w:r>
        <w:t>Ta</w:t>
      </w:r>
      <w:r w:rsidR="00CD4D85">
        <w:t xml:space="preserve">ble </w:t>
      </w:r>
      <w:r>
        <w:fldChar w:fldCharType="begin"/>
      </w:r>
      <w:r>
        <w:instrText xml:space="preserve"> SEQ Table \* ARABIC </w:instrText>
      </w:r>
      <w:r>
        <w:fldChar w:fldCharType="separate"/>
      </w:r>
      <w:r w:rsidR="001525E9">
        <w:rPr>
          <w:noProof/>
        </w:rPr>
        <w:t>5</w:t>
      </w:r>
      <w:r>
        <w:rPr>
          <w:noProof/>
        </w:rPr>
        <w:fldChar w:fldCharType="end"/>
      </w:r>
      <w:bookmarkEnd w:id="22"/>
      <w:r w:rsidR="00E57DAE">
        <w:rPr>
          <w:noProof/>
        </w:rPr>
        <w:t>:</w:t>
      </w:r>
      <w:r w:rsidR="00CD4D85">
        <w:t xml:space="preserve"> Scheme parameters for EFG, </w:t>
      </w:r>
      <w:r w:rsidR="00A10525">
        <w:t>Covid</w:t>
      </w:r>
      <w:r w:rsidR="00CD4D85">
        <w:t xml:space="preserve">-19 </w:t>
      </w:r>
      <w:r w:rsidR="00B37DA9">
        <w:t xml:space="preserve">Loan Guarantee </w:t>
      </w:r>
      <w:r w:rsidR="00EB3EC2">
        <w:t>S</w:t>
      </w:r>
      <w:r w:rsidR="00CD4D85">
        <w:t>chemes and RLS</w:t>
      </w:r>
      <w:r>
        <w:t xml:space="preserve"> </w:t>
      </w:r>
      <w:r w:rsidR="00CD4D85">
        <w:t>1.0</w:t>
      </w:r>
    </w:p>
    <w:tbl>
      <w:tblPr>
        <w:tblStyle w:val="TableGrid"/>
        <w:tblW w:w="13606" w:type="dxa"/>
        <w:tblLayout w:type="fixed"/>
        <w:tblLook w:val="04A0" w:firstRow="1" w:lastRow="0" w:firstColumn="1" w:lastColumn="0" w:noHBand="0" w:noVBand="1"/>
      </w:tblPr>
      <w:tblGrid>
        <w:gridCol w:w="2041"/>
        <w:gridCol w:w="2313"/>
        <w:gridCol w:w="2313"/>
        <w:gridCol w:w="2313"/>
        <w:gridCol w:w="2313"/>
        <w:gridCol w:w="2313"/>
      </w:tblGrid>
      <w:tr w:rsidR="006D6A81" w14:paraId="22671153" w14:textId="77777777" w:rsidTr="002949FF">
        <w:trPr>
          <w:cnfStyle w:val="100000000000" w:firstRow="1" w:lastRow="0" w:firstColumn="0" w:lastColumn="0" w:oddVBand="0" w:evenVBand="0" w:oddHBand="0" w:evenHBand="0" w:firstRowFirstColumn="0" w:firstRowLastColumn="0" w:lastRowFirstColumn="0" w:lastRowLastColumn="0"/>
          <w:trHeight w:val="300"/>
          <w:tblHeader/>
        </w:trPr>
        <w:tc>
          <w:tcPr>
            <w:tcW w:w="750" w:type="pct"/>
          </w:tcPr>
          <w:p w14:paraId="4F25E628" w14:textId="363EB34C" w:rsidR="00CD4D85" w:rsidRDefault="00CD4D85"/>
        </w:tc>
        <w:tc>
          <w:tcPr>
            <w:tcW w:w="850" w:type="pct"/>
            <w:hideMark/>
          </w:tcPr>
          <w:p w14:paraId="7BFB5AAE" w14:textId="7B92337B" w:rsidR="00CD4D85" w:rsidRDefault="00CD4D85">
            <w:r>
              <w:t>EFG</w:t>
            </w:r>
          </w:p>
        </w:tc>
        <w:tc>
          <w:tcPr>
            <w:tcW w:w="850" w:type="pct"/>
            <w:hideMark/>
          </w:tcPr>
          <w:p w14:paraId="74D2B05B" w14:textId="1ED83FD3" w:rsidR="00CD4D85" w:rsidRDefault="00CD4D85">
            <w:r>
              <w:t>CBILS</w:t>
            </w:r>
          </w:p>
        </w:tc>
        <w:tc>
          <w:tcPr>
            <w:tcW w:w="850" w:type="pct"/>
            <w:hideMark/>
          </w:tcPr>
          <w:p w14:paraId="51C489AB" w14:textId="6D116B41" w:rsidR="00CD4D85" w:rsidRDefault="00CD4D85">
            <w:r>
              <w:t>CLBILS</w:t>
            </w:r>
          </w:p>
        </w:tc>
        <w:tc>
          <w:tcPr>
            <w:tcW w:w="850" w:type="pct"/>
            <w:hideMark/>
          </w:tcPr>
          <w:p w14:paraId="7BE253A3" w14:textId="2318130E" w:rsidR="00CD4D85" w:rsidRDefault="00CD4D85">
            <w:r>
              <w:t>BBLS</w:t>
            </w:r>
          </w:p>
        </w:tc>
        <w:tc>
          <w:tcPr>
            <w:tcW w:w="850" w:type="pct"/>
            <w:hideMark/>
          </w:tcPr>
          <w:p w14:paraId="34AF9159" w14:textId="269DE01C" w:rsidR="00CD4D85" w:rsidRDefault="00CD4D85">
            <w:r>
              <w:t>RLS 1.0</w:t>
            </w:r>
          </w:p>
        </w:tc>
      </w:tr>
      <w:tr w:rsidR="006D6A81" w14:paraId="79C3C738" w14:textId="09CD0815" w:rsidTr="002949F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0"/>
        </w:trPr>
        <w:tc>
          <w:tcPr>
            <w:tcW w:w="750" w:type="pct"/>
            <w:tcMar>
              <w:top w:w="0" w:type="dxa"/>
              <w:left w:w="108" w:type="dxa"/>
              <w:bottom w:w="0" w:type="dxa"/>
              <w:right w:w="108" w:type="dxa"/>
            </w:tcMar>
            <w:vAlign w:val="top"/>
            <w:hideMark/>
          </w:tcPr>
          <w:p w14:paraId="7DD6DE1B" w14:textId="053F2E32" w:rsidR="00CD4D85" w:rsidRDefault="00CD4D85">
            <w:r>
              <w:rPr>
                <w:rFonts w:ascii="Arial" w:hAnsi="Arial" w:cs="Arial"/>
                <w:color w:val="000000"/>
                <w:kern w:val="24"/>
              </w:rPr>
              <w:t>Eligible sectors</w:t>
            </w:r>
          </w:p>
        </w:tc>
        <w:tc>
          <w:tcPr>
            <w:tcW w:w="850" w:type="pct"/>
            <w:tcMar>
              <w:top w:w="0" w:type="dxa"/>
              <w:left w:w="108" w:type="dxa"/>
              <w:bottom w:w="0" w:type="dxa"/>
              <w:right w:w="108" w:type="dxa"/>
            </w:tcMar>
            <w:vAlign w:val="top"/>
            <w:hideMark/>
          </w:tcPr>
          <w:p w14:paraId="3713B529" w14:textId="07E4BE26" w:rsidR="00CD4D85" w:rsidRDefault="00CD4D85">
            <w:r>
              <w:rPr>
                <w:rFonts w:ascii="Arial" w:hAnsi="Arial" w:cs="Arial"/>
                <w:color w:val="000000"/>
                <w:kern w:val="24"/>
              </w:rPr>
              <w:t>Excludes fishing, agriculture</w:t>
            </w:r>
          </w:p>
        </w:tc>
        <w:tc>
          <w:tcPr>
            <w:tcW w:w="850" w:type="pct"/>
            <w:tcMar>
              <w:top w:w="0" w:type="dxa"/>
              <w:left w:w="108" w:type="dxa"/>
              <w:bottom w:w="0" w:type="dxa"/>
              <w:right w:w="108" w:type="dxa"/>
            </w:tcMar>
            <w:vAlign w:val="top"/>
            <w:hideMark/>
          </w:tcPr>
          <w:p w14:paraId="0A19A969" w14:textId="0058BE32" w:rsidR="00CD4D85" w:rsidRDefault="00CD4D85">
            <w:r>
              <w:rPr>
                <w:rFonts w:ascii="Arial" w:hAnsi="Arial" w:cs="Arial"/>
                <w:color w:val="000000"/>
                <w:kern w:val="24"/>
              </w:rPr>
              <w:t>All sectors (non-financial)</w:t>
            </w:r>
          </w:p>
        </w:tc>
        <w:tc>
          <w:tcPr>
            <w:tcW w:w="850" w:type="pct"/>
            <w:tcMar>
              <w:top w:w="0" w:type="dxa"/>
              <w:left w:w="108" w:type="dxa"/>
              <w:bottom w:w="0" w:type="dxa"/>
              <w:right w:w="108" w:type="dxa"/>
            </w:tcMar>
            <w:vAlign w:val="top"/>
            <w:hideMark/>
          </w:tcPr>
          <w:p w14:paraId="1584C783" w14:textId="700F0B45" w:rsidR="00CD4D85" w:rsidRDefault="00CD4D85">
            <w:r>
              <w:rPr>
                <w:rFonts w:ascii="Arial" w:hAnsi="Arial" w:cs="Arial"/>
                <w:color w:val="000000"/>
                <w:kern w:val="24"/>
              </w:rPr>
              <w:t>All sectors (non-financial)</w:t>
            </w:r>
          </w:p>
        </w:tc>
        <w:tc>
          <w:tcPr>
            <w:tcW w:w="850" w:type="pct"/>
            <w:tcMar>
              <w:top w:w="0" w:type="dxa"/>
              <w:left w:w="108" w:type="dxa"/>
              <w:bottom w:w="0" w:type="dxa"/>
              <w:right w:w="108" w:type="dxa"/>
            </w:tcMar>
            <w:vAlign w:val="top"/>
            <w:hideMark/>
          </w:tcPr>
          <w:p w14:paraId="21E6A011" w14:textId="326DC937" w:rsidR="00CD4D85" w:rsidRDefault="00CD4D85">
            <w:r>
              <w:rPr>
                <w:rFonts w:ascii="Arial" w:hAnsi="Arial" w:cs="Arial"/>
                <w:color w:val="000000"/>
                <w:kern w:val="24"/>
              </w:rPr>
              <w:t>All sectors (non-financial)</w:t>
            </w:r>
          </w:p>
        </w:tc>
        <w:tc>
          <w:tcPr>
            <w:tcW w:w="850" w:type="pct"/>
            <w:tcMar>
              <w:top w:w="0" w:type="dxa"/>
              <w:left w:w="108" w:type="dxa"/>
              <w:bottom w:w="0" w:type="dxa"/>
              <w:right w:w="108" w:type="dxa"/>
            </w:tcMar>
            <w:vAlign w:val="top"/>
            <w:hideMark/>
          </w:tcPr>
          <w:p w14:paraId="27977DD9" w14:textId="2E5EE6E7" w:rsidR="00CD4D85" w:rsidRDefault="00CD4D85">
            <w:pPr>
              <w:rPr>
                <w:rFonts w:ascii="Arial" w:hAnsi="Arial" w:cs="Arial"/>
                <w:color w:val="000000"/>
                <w:kern w:val="24"/>
              </w:rPr>
            </w:pPr>
            <w:r>
              <w:rPr>
                <w:rFonts w:ascii="Arial" w:hAnsi="Arial"/>
                <w:color w:val="000000"/>
                <w:kern w:val="24"/>
              </w:rPr>
              <w:t>All sectors (non-financial)</w:t>
            </w:r>
          </w:p>
        </w:tc>
      </w:tr>
      <w:tr w:rsidR="006D6A81" w14:paraId="21290552" w14:textId="77777777" w:rsidTr="002949FF">
        <w:tblPrEx>
          <w:tblCellMar>
            <w:left w:w="108" w:type="dxa"/>
            <w:right w:w="108" w:type="dxa"/>
          </w:tblCellMar>
        </w:tblPrEx>
        <w:trPr>
          <w:trHeight w:val="300"/>
        </w:trPr>
        <w:tc>
          <w:tcPr>
            <w:tcW w:w="750" w:type="pct"/>
            <w:tcMar>
              <w:top w:w="0" w:type="dxa"/>
              <w:left w:w="108" w:type="dxa"/>
              <w:bottom w:w="0" w:type="dxa"/>
              <w:right w:w="108" w:type="dxa"/>
            </w:tcMar>
            <w:vAlign w:val="top"/>
            <w:hideMark/>
          </w:tcPr>
          <w:p w14:paraId="66BEA3EE" w14:textId="55531ECE" w:rsidR="00CD4D85" w:rsidRDefault="00CD4D85">
            <w:r>
              <w:rPr>
                <w:rFonts w:ascii="Arial" w:hAnsi="Arial" w:cs="Arial"/>
                <w:color w:val="000000"/>
                <w:kern w:val="24"/>
              </w:rPr>
              <w:t>Business turnover limit</w:t>
            </w:r>
          </w:p>
        </w:tc>
        <w:tc>
          <w:tcPr>
            <w:tcW w:w="850" w:type="pct"/>
            <w:tcMar>
              <w:top w:w="0" w:type="dxa"/>
              <w:left w:w="108" w:type="dxa"/>
              <w:bottom w:w="0" w:type="dxa"/>
              <w:right w:w="108" w:type="dxa"/>
            </w:tcMar>
            <w:vAlign w:val="top"/>
            <w:hideMark/>
          </w:tcPr>
          <w:p w14:paraId="3AA3D394" w14:textId="34C12485" w:rsidR="00CD4D85" w:rsidRDefault="00CD4D85">
            <w:r>
              <w:rPr>
                <w:rFonts w:ascii="Arial" w:hAnsi="Arial" w:cs="Arial"/>
                <w:color w:val="000000"/>
                <w:kern w:val="24"/>
              </w:rPr>
              <w:t>£41 million</w:t>
            </w:r>
          </w:p>
        </w:tc>
        <w:tc>
          <w:tcPr>
            <w:tcW w:w="850" w:type="pct"/>
            <w:tcMar>
              <w:top w:w="0" w:type="dxa"/>
              <w:left w:w="108" w:type="dxa"/>
              <w:bottom w:w="0" w:type="dxa"/>
              <w:right w:w="108" w:type="dxa"/>
            </w:tcMar>
            <w:vAlign w:val="top"/>
            <w:hideMark/>
          </w:tcPr>
          <w:p w14:paraId="39F8A0BE" w14:textId="32D93CB9" w:rsidR="00CD4D85" w:rsidRDefault="00CD4D85">
            <w:r>
              <w:rPr>
                <w:rFonts w:ascii="Arial" w:hAnsi="Arial" w:cs="Arial"/>
                <w:color w:val="000000"/>
                <w:kern w:val="24"/>
              </w:rPr>
              <w:t>£45 million</w:t>
            </w:r>
          </w:p>
        </w:tc>
        <w:tc>
          <w:tcPr>
            <w:tcW w:w="850" w:type="pct"/>
            <w:tcMar>
              <w:top w:w="0" w:type="dxa"/>
              <w:left w:w="108" w:type="dxa"/>
              <w:bottom w:w="0" w:type="dxa"/>
              <w:right w:w="108" w:type="dxa"/>
            </w:tcMar>
            <w:vAlign w:val="top"/>
            <w:hideMark/>
          </w:tcPr>
          <w:p w14:paraId="123B79E9" w14:textId="0D274751" w:rsidR="00CD4D85" w:rsidRDefault="00CD4D85">
            <w:r>
              <w:rPr>
                <w:rFonts w:ascii="Arial" w:hAnsi="Arial" w:cs="Arial"/>
                <w:color w:val="000000"/>
                <w:kern w:val="24"/>
              </w:rPr>
              <w:t>None – floor of £45 million</w:t>
            </w:r>
          </w:p>
        </w:tc>
        <w:tc>
          <w:tcPr>
            <w:tcW w:w="850" w:type="pct"/>
            <w:tcMar>
              <w:top w:w="0" w:type="dxa"/>
              <w:left w:w="108" w:type="dxa"/>
              <w:bottom w:w="0" w:type="dxa"/>
              <w:right w:w="108" w:type="dxa"/>
            </w:tcMar>
            <w:vAlign w:val="top"/>
            <w:hideMark/>
          </w:tcPr>
          <w:p w14:paraId="0EC08DCE" w14:textId="6DFEBAD0" w:rsidR="00CD4D85" w:rsidRDefault="00CD4D85">
            <w:r>
              <w:rPr>
                <w:rFonts w:ascii="Arial" w:hAnsi="Arial" w:cs="Arial"/>
                <w:color w:val="000000"/>
                <w:kern w:val="24"/>
              </w:rPr>
              <w:t>None</w:t>
            </w:r>
          </w:p>
        </w:tc>
        <w:tc>
          <w:tcPr>
            <w:tcW w:w="850" w:type="pct"/>
            <w:tcMar>
              <w:top w:w="0" w:type="dxa"/>
              <w:left w:w="108" w:type="dxa"/>
              <w:bottom w:w="0" w:type="dxa"/>
              <w:right w:w="108" w:type="dxa"/>
            </w:tcMar>
            <w:vAlign w:val="top"/>
            <w:hideMark/>
          </w:tcPr>
          <w:p w14:paraId="0C0CC71F" w14:textId="39CA66E2" w:rsidR="00CD4D85" w:rsidRDefault="00CD4D85">
            <w:pPr>
              <w:rPr>
                <w:rFonts w:ascii="Arial" w:hAnsi="Arial" w:cs="Arial"/>
                <w:color w:val="000000"/>
                <w:kern w:val="24"/>
              </w:rPr>
            </w:pPr>
            <w:r>
              <w:rPr>
                <w:rFonts w:ascii="Arial" w:hAnsi="Arial"/>
                <w:color w:val="000000"/>
                <w:kern w:val="24"/>
              </w:rPr>
              <w:t>None</w:t>
            </w:r>
          </w:p>
        </w:tc>
      </w:tr>
      <w:tr w:rsidR="006D6A81" w14:paraId="581FDD0F" w14:textId="4A9FC1FA" w:rsidTr="002949F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0"/>
        </w:trPr>
        <w:tc>
          <w:tcPr>
            <w:tcW w:w="750" w:type="pct"/>
            <w:tcMar>
              <w:top w:w="0" w:type="dxa"/>
              <w:left w:w="108" w:type="dxa"/>
              <w:bottom w:w="0" w:type="dxa"/>
              <w:right w:w="108" w:type="dxa"/>
            </w:tcMar>
            <w:vAlign w:val="top"/>
            <w:hideMark/>
          </w:tcPr>
          <w:p w14:paraId="5F4314CF" w14:textId="0D624705" w:rsidR="00CD4D85" w:rsidRDefault="00CD4D85">
            <w:r>
              <w:rPr>
                <w:rFonts w:ascii="Arial" w:hAnsi="Arial" w:cs="Arial"/>
                <w:color w:val="000000"/>
                <w:kern w:val="24"/>
              </w:rPr>
              <w:t>Maximum loan size</w:t>
            </w:r>
          </w:p>
        </w:tc>
        <w:tc>
          <w:tcPr>
            <w:tcW w:w="850" w:type="pct"/>
            <w:tcMar>
              <w:top w:w="0" w:type="dxa"/>
              <w:left w:w="108" w:type="dxa"/>
              <w:bottom w:w="0" w:type="dxa"/>
              <w:right w:w="108" w:type="dxa"/>
            </w:tcMar>
            <w:vAlign w:val="top"/>
            <w:hideMark/>
          </w:tcPr>
          <w:p w14:paraId="2B8228CF" w14:textId="791D03D8" w:rsidR="00CD4D85" w:rsidRDefault="00CD4D85">
            <w:r>
              <w:rPr>
                <w:rFonts w:ascii="Arial" w:hAnsi="Arial" w:cs="Arial"/>
                <w:color w:val="000000"/>
                <w:kern w:val="24"/>
              </w:rPr>
              <w:t>£1.2 million</w:t>
            </w:r>
          </w:p>
        </w:tc>
        <w:tc>
          <w:tcPr>
            <w:tcW w:w="850" w:type="pct"/>
            <w:tcMar>
              <w:top w:w="0" w:type="dxa"/>
              <w:left w:w="108" w:type="dxa"/>
              <w:bottom w:w="0" w:type="dxa"/>
              <w:right w:w="108" w:type="dxa"/>
            </w:tcMar>
            <w:vAlign w:val="top"/>
            <w:hideMark/>
          </w:tcPr>
          <w:p w14:paraId="3B645E59" w14:textId="757A65E7" w:rsidR="00CD4D85" w:rsidRDefault="00CD4D85">
            <w:r>
              <w:rPr>
                <w:rFonts w:ascii="Arial" w:hAnsi="Arial" w:cs="Arial"/>
                <w:color w:val="000000"/>
                <w:kern w:val="24"/>
              </w:rPr>
              <w:t>£5 million</w:t>
            </w:r>
          </w:p>
        </w:tc>
        <w:tc>
          <w:tcPr>
            <w:tcW w:w="850" w:type="pct"/>
            <w:tcMar>
              <w:top w:w="0" w:type="dxa"/>
              <w:left w:w="108" w:type="dxa"/>
              <w:bottom w:w="0" w:type="dxa"/>
              <w:right w:w="108" w:type="dxa"/>
            </w:tcMar>
            <w:vAlign w:val="top"/>
            <w:hideMark/>
          </w:tcPr>
          <w:p w14:paraId="14844B4F" w14:textId="7FBE9DFA" w:rsidR="00CD4D85" w:rsidRDefault="00CD4D85">
            <w:r>
              <w:rPr>
                <w:rFonts w:ascii="Arial" w:hAnsi="Arial" w:cs="Arial"/>
                <w:color w:val="000000"/>
                <w:kern w:val="24"/>
              </w:rPr>
              <w:t>£25m - £50m</w:t>
            </w:r>
          </w:p>
        </w:tc>
        <w:tc>
          <w:tcPr>
            <w:tcW w:w="850" w:type="pct"/>
            <w:tcMar>
              <w:top w:w="0" w:type="dxa"/>
              <w:left w:w="108" w:type="dxa"/>
              <w:bottom w:w="0" w:type="dxa"/>
              <w:right w:w="108" w:type="dxa"/>
            </w:tcMar>
            <w:vAlign w:val="top"/>
            <w:hideMark/>
          </w:tcPr>
          <w:p w14:paraId="3249DA69" w14:textId="218E4FB9" w:rsidR="00CD4D85" w:rsidRDefault="00CD4D85">
            <w:r>
              <w:rPr>
                <w:rFonts w:ascii="Arial" w:hAnsi="Arial" w:cs="Arial"/>
                <w:color w:val="000000"/>
                <w:kern w:val="24"/>
              </w:rPr>
              <w:t>£50,000</w:t>
            </w:r>
          </w:p>
        </w:tc>
        <w:tc>
          <w:tcPr>
            <w:tcW w:w="850" w:type="pct"/>
            <w:tcMar>
              <w:top w:w="0" w:type="dxa"/>
              <w:left w:w="108" w:type="dxa"/>
              <w:bottom w:w="0" w:type="dxa"/>
              <w:right w:w="108" w:type="dxa"/>
            </w:tcMar>
            <w:vAlign w:val="top"/>
            <w:hideMark/>
          </w:tcPr>
          <w:p w14:paraId="564CB746" w14:textId="584E304C" w:rsidR="00CD4D85" w:rsidRDefault="00CD4D85">
            <w:pPr>
              <w:rPr>
                <w:rFonts w:ascii="Arial" w:hAnsi="Arial" w:cs="Arial"/>
                <w:color w:val="000000"/>
                <w:kern w:val="24"/>
              </w:rPr>
            </w:pPr>
            <w:r>
              <w:rPr>
                <w:rFonts w:ascii="Arial" w:hAnsi="Arial"/>
                <w:color w:val="000000"/>
                <w:kern w:val="24"/>
              </w:rPr>
              <w:t>£10m</w:t>
            </w:r>
          </w:p>
        </w:tc>
      </w:tr>
      <w:tr w:rsidR="006D6A81" w14:paraId="399B4A77" w14:textId="77777777" w:rsidTr="002949FF">
        <w:tblPrEx>
          <w:tblCellMar>
            <w:left w:w="108" w:type="dxa"/>
            <w:right w:w="108" w:type="dxa"/>
          </w:tblCellMar>
        </w:tblPrEx>
        <w:trPr>
          <w:trHeight w:val="300"/>
        </w:trPr>
        <w:tc>
          <w:tcPr>
            <w:tcW w:w="750" w:type="pct"/>
            <w:tcMar>
              <w:top w:w="0" w:type="dxa"/>
              <w:left w:w="108" w:type="dxa"/>
              <w:bottom w:w="0" w:type="dxa"/>
              <w:right w:w="108" w:type="dxa"/>
            </w:tcMar>
            <w:vAlign w:val="top"/>
            <w:hideMark/>
          </w:tcPr>
          <w:p w14:paraId="5970601D" w14:textId="6C444E7A" w:rsidR="00CD4D85" w:rsidRDefault="00CD4D85">
            <w:r>
              <w:rPr>
                <w:rFonts w:ascii="Arial" w:hAnsi="Arial" w:cs="Arial"/>
                <w:color w:val="000000"/>
                <w:kern w:val="24"/>
              </w:rPr>
              <w:t>Guarantee to the lender</w:t>
            </w:r>
          </w:p>
        </w:tc>
        <w:tc>
          <w:tcPr>
            <w:tcW w:w="850" w:type="pct"/>
            <w:tcMar>
              <w:top w:w="0" w:type="dxa"/>
              <w:left w:w="108" w:type="dxa"/>
              <w:bottom w:w="0" w:type="dxa"/>
              <w:right w:w="108" w:type="dxa"/>
            </w:tcMar>
            <w:vAlign w:val="top"/>
            <w:hideMark/>
          </w:tcPr>
          <w:p w14:paraId="4724264E" w14:textId="3976E2AC" w:rsidR="00CD4D85" w:rsidRDefault="00CD4D85">
            <w:r>
              <w:rPr>
                <w:rFonts w:ascii="Arial" w:hAnsi="Arial" w:cs="Arial"/>
                <w:color w:val="000000"/>
                <w:kern w:val="24"/>
              </w:rPr>
              <w:t>75%</w:t>
            </w:r>
          </w:p>
        </w:tc>
        <w:tc>
          <w:tcPr>
            <w:tcW w:w="850" w:type="pct"/>
            <w:tcMar>
              <w:top w:w="0" w:type="dxa"/>
              <w:left w:w="108" w:type="dxa"/>
              <w:bottom w:w="0" w:type="dxa"/>
              <w:right w:w="108" w:type="dxa"/>
            </w:tcMar>
            <w:vAlign w:val="top"/>
            <w:hideMark/>
          </w:tcPr>
          <w:p w14:paraId="50DE5C25" w14:textId="330A8B3C" w:rsidR="00CD4D85" w:rsidRDefault="00CD4D85">
            <w:r>
              <w:rPr>
                <w:rFonts w:ascii="Arial" w:hAnsi="Arial" w:cs="Arial"/>
                <w:color w:val="000000"/>
                <w:kern w:val="24"/>
              </w:rPr>
              <w:t>80%</w:t>
            </w:r>
          </w:p>
        </w:tc>
        <w:tc>
          <w:tcPr>
            <w:tcW w:w="850" w:type="pct"/>
            <w:tcMar>
              <w:top w:w="0" w:type="dxa"/>
              <w:left w:w="108" w:type="dxa"/>
              <w:bottom w:w="0" w:type="dxa"/>
              <w:right w:w="108" w:type="dxa"/>
            </w:tcMar>
            <w:vAlign w:val="top"/>
            <w:hideMark/>
          </w:tcPr>
          <w:p w14:paraId="7D81E129" w14:textId="3DA00285" w:rsidR="00CD4D85" w:rsidRDefault="00CD4D85">
            <w:r>
              <w:rPr>
                <w:rFonts w:ascii="Arial" w:hAnsi="Arial" w:cs="Arial"/>
                <w:color w:val="000000"/>
                <w:kern w:val="24"/>
              </w:rPr>
              <w:t>80%</w:t>
            </w:r>
          </w:p>
        </w:tc>
        <w:tc>
          <w:tcPr>
            <w:tcW w:w="850" w:type="pct"/>
            <w:tcMar>
              <w:top w:w="0" w:type="dxa"/>
              <w:left w:w="108" w:type="dxa"/>
              <w:bottom w:w="0" w:type="dxa"/>
              <w:right w:w="108" w:type="dxa"/>
            </w:tcMar>
            <w:vAlign w:val="top"/>
            <w:hideMark/>
          </w:tcPr>
          <w:p w14:paraId="7AA7ED68" w14:textId="573419C7" w:rsidR="00CD4D85" w:rsidRDefault="00CD4D85">
            <w:r>
              <w:rPr>
                <w:rFonts w:ascii="Arial" w:hAnsi="Arial" w:cs="Arial"/>
                <w:color w:val="000000"/>
                <w:kern w:val="24"/>
              </w:rPr>
              <w:t>100%</w:t>
            </w:r>
          </w:p>
        </w:tc>
        <w:tc>
          <w:tcPr>
            <w:tcW w:w="850" w:type="pct"/>
            <w:tcMar>
              <w:top w:w="0" w:type="dxa"/>
              <w:left w:w="108" w:type="dxa"/>
              <w:bottom w:w="0" w:type="dxa"/>
              <w:right w:w="108" w:type="dxa"/>
            </w:tcMar>
            <w:vAlign w:val="top"/>
            <w:hideMark/>
          </w:tcPr>
          <w:p w14:paraId="174BB761" w14:textId="6673D021" w:rsidR="00CD4D85" w:rsidRDefault="00CD4D85">
            <w:pPr>
              <w:rPr>
                <w:rFonts w:ascii="Arial" w:hAnsi="Arial" w:cs="Arial"/>
                <w:color w:val="000000"/>
                <w:kern w:val="24"/>
              </w:rPr>
            </w:pPr>
            <w:r>
              <w:rPr>
                <w:rFonts w:ascii="Arial" w:eastAsiaTheme="minorEastAsia" w:hAnsi="Arial"/>
                <w:color w:val="000000"/>
                <w:kern w:val="24"/>
              </w:rPr>
              <w:t>80%</w:t>
            </w:r>
          </w:p>
        </w:tc>
      </w:tr>
      <w:tr w:rsidR="006D6A81" w14:paraId="2BDF1115" w14:textId="35EA7265" w:rsidTr="002949F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0"/>
        </w:trPr>
        <w:tc>
          <w:tcPr>
            <w:tcW w:w="750" w:type="pct"/>
            <w:tcMar>
              <w:top w:w="0" w:type="dxa"/>
              <w:left w:w="108" w:type="dxa"/>
              <w:bottom w:w="0" w:type="dxa"/>
              <w:right w:w="108" w:type="dxa"/>
            </w:tcMar>
            <w:vAlign w:val="top"/>
            <w:hideMark/>
          </w:tcPr>
          <w:p w14:paraId="3946305C" w14:textId="58D95FE7" w:rsidR="00CD4D85" w:rsidRDefault="3160242B" w:rsidP="0F8E6BAA">
            <w:pPr>
              <w:rPr>
                <w:rFonts w:ascii="Arial" w:hAnsi="Arial" w:cs="Arial"/>
                <w:color w:val="000000"/>
              </w:rPr>
            </w:pPr>
            <w:r>
              <w:rPr>
                <w:rFonts w:ascii="Arial" w:hAnsi="Arial" w:cs="Arial"/>
                <w:color w:val="000000"/>
                <w:kern w:val="24"/>
              </w:rPr>
              <w:t>Interest and fees paid to the lender</w:t>
            </w:r>
          </w:p>
        </w:tc>
        <w:tc>
          <w:tcPr>
            <w:tcW w:w="850" w:type="pct"/>
            <w:tcMar>
              <w:top w:w="0" w:type="dxa"/>
              <w:left w:w="108" w:type="dxa"/>
              <w:bottom w:w="0" w:type="dxa"/>
              <w:right w:w="108" w:type="dxa"/>
            </w:tcMar>
            <w:vAlign w:val="top"/>
            <w:hideMark/>
          </w:tcPr>
          <w:p w14:paraId="54BA071F" w14:textId="6D5B304B" w:rsidR="00CD4D85" w:rsidRDefault="00CD4D85">
            <w:r>
              <w:rPr>
                <w:rFonts w:ascii="Arial" w:hAnsi="Arial" w:cs="Arial"/>
                <w:color w:val="000000"/>
                <w:kern w:val="24"/>
              </w:rPr>
              <w:t>As agreed</w:t>
            </w:r>
            <w:r w:rsidR="00A507A4">
              <w:rPr>
                <w:rFonts w:ascii="Arial" w:hAnsi="Arial" w:cs="Arial"/>
                <w:color w:val="000000"/>
                <w:kern w:val="24"/>
              </w:rPr>
              <w:t xml:space="preserve"> with lender</w:t>
            </w:r>
          </w:p>
        </w:tc>
        <w:tc>
          <w:tcPr>
            <w:tcW w:w="850" w:type="pct"/>
            <w:tcMar>
              <w:top w:w="0" w:type="dxa"/>
              <w:left w:w="108" w:type="dxa"/>
              <w:bottom w:w="0" w:type="dxa"/>
              <w:right w:w="108" w:type="dxa"/>
            </w:tcMar>
            <w:vAlign w:val="top"/>
            <w:hideMark/>
          </w:tcPr>
          <w:p w14:paraId="7FB017F5" w14:textId="068B96D3" w:rsidR="00CD4D85" w:rsidRDefault="00CD4D85">
            <w:r>
              <w:rPr>
                <w:rFonts w:ascii="Arial" w:hAnsi="Arial" w:cs="Arial"/>
                <w:color w:val="000000"/>
                <w:kern w:val="24"/>
              </w:rPr>
              <w:t>0% for 12 months then as agreed (to max. rate</w:t>
            </w:r>
            <w:r w:rsidR="00A507A4">
              <w:rPr>
                <w:rFonts w:ascii="Arial" w:hAnsi="Arial" w:cs="Arial"/>
                <w:color w:val="000000"/>
                <w:kern w:val="24"/>
              </w:rPr>
              <w:t xml:space="preserve"> of 14.99%</w:t>
            </w:r>
            <w:r>
              <w:rPr>
                <w:rFonts w:ascii="Arial" w:hAnsi="Arial" w:cs="Arial"/>
                <w:color w:val="000000"/>
                <w:kern w:val="24"/>
              </w:rPr>
              <w:t>)</w:t>
            </w:r>
          </w:p>
        </w:tc>
        <w:tc>
          <w:tcPr>
            <w:tcW w:w="850" w:type="pct"/>
            <w:tcMar>
              <w:top w:w="0" w:type="dxa"/>
              <w:left w:w="108" w:type="dxa"/>
              <w:bottom w:w="0" w:type="dxa"/>
              <w:right w:w="108" w:type="dxa"/>
            </w:tcMar>
            <w:vAlign w:val="top"/>
            <w:hideMark/>
          </w:tcPr>
          <w:p w14:paraId="21942132" w14:textId="689BA96A" w:rsidR="00CD4D85" w:rsidRDefault="00CD4D85">
            <w:r>
              <w:rPr>
                <w:rFonts w:ascii="Arial" w:hAnsi="Arial" w:cs="Arial"/>
                <w:color w:val="000000"/>
                <w:kern w:val="24"/>
              </w:rPr>
              <w:t>As agreed</w:t>
            </w:r>
            <w:r w:rsidR="00A507A4">
              <w:rPr>
                <w:rFonts w:ascii="Arial" w:hAnsi="Arial" w:cs="Arial"/>
                <w:color w:val="000000"/>
                <w:kern w:val="24"/>
              </w:rPr>
              <w:t xml:space="preserve"> with lender</w:t>
            </w:r>
          </w:p>
        </w:tc>
        <w:tc>
          <w:tcPr>
            <w:tcW w:w="850" w:type="pct"/>
            <w:tcMar>
              <w:top w:w="0" w:type="dxa"/>
              <w:left w:w="108" w:type="dxa"/>
              <w:bottom w:w="0" w:type="dxa"/>
              <w:right w:w="108" w:type="dxa"/>
            </w:tcMar>
            <w:vAlign w:val="top"/>
            <w:hideMark/>
          </w:tcPr>
          <w:p w14:paraId="4ACA3323" w14:textId="1DEA50B2" w:rsidR="00CD4D85" w:rsidRPr="002E562D" w:rsidRDefault="00CD4D85">
            <w:pPr>
              <w:rPr>
                <w:vertAlign w:val="superscript"/>
              </w:rPr>
            </w:pPr>
            <w:r>
              <w:rPr>
                <w:rFonts w:ascii="Arial" w:hAnsi="Arial" w:cs="Arial"/>
                <w:color w:val="000000"/>
                <w:kern w:val="24"/>
              </w:rPr>
              <w:t>0% for 12 months, then 2.5%</w:t>
            </w:r>
            <w:r w:rsidR="00A507A4">
              <w:rPr>
                <w:rStyle w:val="FootnoteReference"/>
                <w:rFonts w:ascii="Arial" w:hAnsi="Arial" w:cs="Arial"/>
                <w:color w:val="000000"/>
                <w:kern w:val="24"/>
              </w:rPr>
              <w:footnoteReference w:id="19"/>
            </w:r>
          </w:p>
        </w:tc>
        <w:tc>
          <w:tcPr>
            <w:tcW w:w="850" w:type="pct"/>
            <w:tcMar>
              <w:top w:w="0" w:type="dxa"/>
              <w:left w:w="108" w:type="dxa"/>
              <w:bottom w:w="0" w:type="dxa"/>
              <w:right w:w="108" w:type="dxa"/>
            </w:tcMar>
            <w:vAlign w:val="top"/>
            <w:hideMark/>
          </w:tcPr>
          <w:p w14:paraId="4A18937D" w14:textId="49434CE9" w:rsidR="00CD4D85" w:rsidRDefault="00CD4D85">
            <w:pPr>
              <w:rPr>
                <w:rFonts w:ascii="Arial" w:hAnsi="Arial" w:cs="Arial"/>
                <w:color w:val="000000"/>
                <w:kern w:val="24"/>
              </w:rPr>
            </w:pPr>
            <w:r>
              <w:rPr>
                <w:rFonts w:ascii="Arial" w:hAnsi="Arial"/>
                <w:color w:val="000000"/>
                <w:kern w:val="24"/>
              </w:rPr>
              <w:t>As agreed (up to 14.99%)</w:t>
            </w:r>
          </w:p>
        </w:tc>
      </w:tr>
      <w:tr w:rsidR="006D6A81" w14:paraId="18E69AEA" w14:textId="77777777" w:rsidTr="002949FF">
        <w:tblPrEx>
          <w:tblCellMar>
            <w:left w:w="108" w:type="dxa"/>
            <w:right w:w="108" w:type="dxa"/>
          </w:tblCellMar>
        </w:tblPrEx>
        <w:trPr>
          <w:trHeight w:val="300"/>
        </w:trPr>
        <w:tc>
          <w:tcPr>
            <w:tcW w:w="750" w:type="pct"/>
            <w:tcMar>
              <w:top w:w="0" w:type="dxa"/>
              <w:left w:w="108" w:type="dxa"/>
              <w:bottom w:w="0" w:type="dxa"/>
              <w:right w:w="108" w:type="dxa"/>
            </w:tcMar>
            <w:vAlign w:val="top"/>
            <w:hideMark/>
          </w:tcPr>
          <w:p w14:paraId="279F10F9" w14:textId="120E8251" w:rsidR="00CD4D85" w:rsidRDefault="00CD4D85">
            <w:r>
              <w:rPr>
                <w:rFonts w:ascii="Arial" w:hAnsi="Arial"/>
                <w:color w:val="000000"/>
                <w:kern w:val="24"/>
              </w:rPr>
              <w:t>Lender fee</w:t>
            </w:r>
          </w:p>
        </w:tc>
        <w:tc>
          <w:tcPr>
            <w:tcW w:w="850" w:type="pct"/>
            <w:tcMar>
              <w:top w:w="0" w:type="dxa"/>
              <w:left w:w="108" w:type="dxa"/>
              <w:bottom w:w="0" w:type="dxa"/>
              <w:right w:w="108" w:type="dxa"/>
            </w:tcMar>
            <w:vAlign w:val="top"/>
            <w:hideMark/>
          </w:tcPr>
          <w:p w14:paraId="1C5AD8BB" w14:textId="07C6D805" w:rsidR="00CD4D85" w:rsidRDefault="00CD4D85">
            <w:r>
              <w:rPr>
                <w:rFonts w:ascii="Arial" w:hAnsi="Arial"/>
                <w:color w:val="000000"/>
                <w:kern w:val="24"/>
              </w:rPr>
              <w:t>No</w:t>
            </w:r>
          </w:p>
        </w:tc>
        <w:tc>
          <w:tcPr>
            <w:tcW w:w="850" w:type="pct"/>
            <w:tcMar>
              <w:top w:w="0" w:type="dxa"/>
              <w:left w:w="108" w:type="dxa"/>
              <w:bottom w:w="0" w:type="dxa"/>
              <w:right w:w="108" w:type="dxa"/>
            </w:tcMar>
            <w:vAlign w:val="top"/>
            <w:hideMark/>
          </w:tcPr>
          <w:p w14:paraId="64394138" w14:textId="7F50E628" w:rsidR="00CD4D85" w:rsidRDefault="00CD4D85">
            <w:r>
              <w:rPr>
                <w:rFonts w:ascii="Arial" w:hAnsi="Arial"/>
                <w:color w:val="000000"/>
                <w:kern w:val="24"/>
              </w:rPr>
              <w:t>0.5% to 1%</w:t>
            </w:r>
          </w:p>
        </w:tc>
        <w:tc>
          <w:tcPr>
            <w:tcW w:w="850" w:type="pct"/>
            <w:tcMar>
              <w:top w:w="0" w:type="dxa"/>
              <w:left w:w="108" w:type="dxa"/>
              <w:bottom w:w="0" w:type="dxa"/>
              <w:right w:w="108" w:type="dxa"/>
            </w:tcMar>
            <w:vAlign w:val="top"/>
            <w:hideMark/>
          </w:tcPr>
          <w:p w14:paraId="0387DF88" w14:textId="0A7AF80D" w:rsidR="00CD4D85" w:rsidRDefault="00CD4D85">
            <w:r>
              <w:rPr>
                <w:rFonts w:ascii="Arial" w:hAnsi="Arial"/>
                <w:color w:val="000000"/>
                <w:kern w:val="24"/>
              </w:rPr>
              <w:t>0.5% to 2%</w:t>
            </w:r>
          </w:p>
        </w:tc>
        <w:tc>
          <w:tcPr>
            <w:tcW w:w="850" w:type="pct"/>
            <w:tcMar>
              <w:top w:w="0" w:type="dxa"/>
              <w:left w:w="108" w:type="dxa"/>
              <w:bottom w:w="0" w:type="dxa"/>
              <w:right w:w="108" w:type="dxa"/>
            </w:tcMar>
            <w:vAlign w:val="top"/>
            <w:hideMark/>
          </w:tcPr>
          <w:p w14:paraId="0E972440" w14:textId="2836961F" w:rsidR="00CD4D85" w:rsidRDefault="00CD4D85">
            <w:r>
              <w:rPr>
                <w:rFonts w:ascii="Arial" w:hAnsi="Arial"/>
                <w:color w:val="000000"/>
                <w:kern w:val="24"/>
              </w:rPr>
              <w:t>No</w:t>
            </w:r>
          </w:p>
        </w:tc>
        <w:tc>
          <w:tcPr>
            <w:tcW w:w="850" w:type="pct"/>
            <w:tcMar>
              <w:top w:w="0" w:type="dxa"/>
              <w:left w:w="108" w:type="dxa"/>
              <w:bottom w:w="0" w:type="dxa"/>
              <w:right w:w="108" w:type="dxa"/>
            </w:tcMar>
            <w:vAlign w:val="top"/>
            <w:hideMark/>
          </w:tcPr>
          <w:p w14:paraId="5756556F" w14:textId="52868420" w:rsidR="00CD4D85" w:rsidRDefault="00CD4D85">
            <w:pPr>
              <w:rPr>
                <w:rFonts w:ascii="Arial" w:hAnsi="Arial"/>
                <w:color w:val="000000"/>
                <w:kern w:val="24"/>
              </w:rPr>
            </w:pPr>
            <w:r>
              <w:rPr>
                <w:rFonts w:ascii="Arial" w:hAnsi="Arial"/>
                <w:color w:val="000000"/>
                <w:kern w:val="24"/>
              </w:rPr>
              <w:t>1.5% (range 1% to 2%)</w:t>
            </w:r>
          </w:p>
        </w:tc>
      </w:tr>
      <w:tr w:rsidR="006D6A81" w14:paraId="62F3F878" w14:textId="31358DDA" w:rsidTr="002949F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0"/>
        </w:trPr>
        <w:tc>
          <w:tcPr>
            <w:tcW w:w="750" w:type="pct"/>
            <w:tcMar>
              <w:top w:w="0" w:type="dxa"/>
              <w:left w:w="108" w:type="dxa"/>
              <w:bottom w:w="0" w:type="dxa"/>
              <w:right w:w="108" w:type="dxa"/>
            </w:tcMar>
            <w:vAlign w:val="top"/>
            <w:hideMark/>
          </w:tcPr>
          <w:p w14:paraId="113EF479" w14:textId="1B37527D" w:rsidR="00CD4D85" w:rsidRDefault="00CD4D85">
            <w:r>
              <w:rPr>
                <w:rFonts w:ascii="Arial" w:hAnsi="Arial" w:cs="Arial"/>
                <w:color w:val="000000"/>
                <w:kern w:val="24"/>
              </w:rPr>
              <w:t>Business fee payable</w:t>
            </w:r>
          </w:p>
        </w:tc>
        <w:tc>
          <w:tcPr>
            <w:tcW w:w="850" w:type="pct"/>
            <w:tcMar>
              <w:top w:w="0" w:type="dxa"/>
              <w:left w:w="108" w:type="dxa"/>
              <w:bottom w:w="0" w:type="dxa"/>
              <w:right w:w="108" w:type="dxa"/>
            </w:tcMar>
            <w:vAlign w:val="top"/>
            <w:hideMark/>
          </w:tcPr>
          <w:p w14:paraId="37358C17" w14:textId="05909B00" w:rsidR="00CD4D85" w:rsidRDefault="00CD4D85">
            <w:r>
              <w:rPr>
                <w:rFonts w:ascii="Arial" w:hAnsi="Arial" w:cs="Arial"/>
                <w:color w:val="000000"/>
                <w:kern w:val="24"/>
              </w:rPr>
              <w:t>2%</w:t>
            </w:r>
          </w:p>
        </w:tc>
        <w:tc>
          <w:tcPr>
            <w:tcW w:w="850" w:type="pct"/>
            <w:tcMar>
              <w:top w:w="0" w:type="dxa"/>
              <w:left w:w="108" w:type="dxa"/>
              <w:bottom w:w="0" w:type="dxa"/>
              <w:right w:w="108" w:type="dxa"/>
            </w:tcMar>
            <w:vAlign w:val="top"/>
            <w:hideMark/>
          </w:tcPr>
          <w:p w14:paraId="1C4C28CC" w14:textId="17CB0E0C" w:rsidR="00CD4D85" w:rsidRDefault="00CD4D85">
            <w:r>
              <w:rPr>
                <w:rFonts w:ascii="Arial" w:hAnsi="Arial" w:cs="Arial"/>
                <w:color w:val="000000"/>
                <w:kern w:val="24"/>
              </w:rPr>
              <w:t>Zero</w:t>
            </w:r>
          </w:p>
        </w:tc>
        <w:tc>
          <w:tcPr>
            <w:tcW w:w="850" w:type="pct"/>
            <w:tcMar>
              <w:top w:w="0" w:type="dxa"/>
              <w:left w:w="108" w:type="dxa"/>
              <w:bottom w:w="0" w:type="dxa"/>
              <w:right w:w="108" w:type="dxa"/>
            </w:tcMar>
            <w:vAlign w:val="top"/>
            <w:hideMark/>
          </w:tcPr>
          <w:p w14:paraId="30C5D6CD" w14:textId="20540150" w:rsidR="00CD4D85" w:rsidRDefault="00CD4D85">
            <w:r>
              <w:rPr>
                <w:rFonts w:ascii="Arial" w:hAnsi="Arial" w:cs="Arial"/>
                <w:color w:val="000000"/>
                <w:kern w:val="24"/>
              </w:rPr>
              <w:t>Zero</w:t>
            </w:r>
          </w:p>
        </w:tc>
        <w:tc>
          <w:tcPr>
            <w:tcW w:w="850" w:type="pct"/>
            <w:tcMar>
              <w:top w:w="0" w:type="dxa"/>
              <w:left w:w="108" w:type="dxa"/>
              <w:bottom w:w="0" w:type="dxa"/>
              <w:right w:w="108" w:type="dxa"/>
            </w:tcMar>
            <w:vAlign w:val="top"/>
            <w:hideMark/>
          </w:tcPr>
          <w:p w14:paraId="30CE5542" w14:textId="4546DDA5" w:rsidR="00CD4D85" w:rsidRDefault="00CD4D85">
            <w:r>
              <w:rPr>
                <w:rFonts w:ascii="Arial" w:hAnsi="Arial" w:cs="Arial"/>
                <w:color w:val="000000"/>
                <w:kern w:val="24"/>
              </w:rPr>
              <w:t>Zero</w:t>
            </w:r>
          </w:p>
        </w:tc>
        <w:tc>
          <w:tcPr>
            <w:tcW w:w="850" w:type="pct"/>
            <w:tcMar>
              <w:top w:w="0" w:type="dxa"/>
              <w:left w:w="108" w:type="dxa"/>
              <w:bottom w:w="0" w:type="dxa"/>
              <w:right w:w="108" w:type="dxa"/>
            </w:tcMar>
            <w:vAlign w:val="top"/>
            <w:hideMark/>
          </w:tcPr>
          <w:p w14:paraId="76A99632" w14:textId="26E819E1" w:rsidR="00CD4D85" w:rsidRDefault="00CD4D85">
            <w:pPr>
              <w:rPr>
                <w:rFonts w:ascii="Arial" w:hAnsi="Arial" w:cs="Arial"/>
                <w:color w:val="000000"/>
                <w:kern w:val="24"/>
              </w:rPr>
            </w:pPr>
            <w:r>
              <w:rPr>
                <w:rFonts w:ascii="Arial" w:hAnsi="Arial"/>
                <w:color w:val="000000"/>
                <w:kern w:val="24"/>
              </w:rPr>
              <w:t>Zero</w:t>
            </w:r>
          </w:p>
        </w:tc>
      </w:tr>
      <w:tr w:rsidR="006D6A81" w14:paraId="4594A1BF" w14:textId="77777777" w:rsidTr="002949FF">
        <w:tblPrEx>
          <w:tblCellMar>
            <w:left w:w="108" w:type="dxa"/>
            <w:right w:w="108" w:type="dxa"/>
          </w:tblCellMar>
        </w:tblPrEx>
        <w:trPr>
          <w:trHeight w:val="300"/>
        </w:trPr>
        <w:tc>
          <w:tcPr>
            <w:tcW w:w="750" w:type="pct"/>
            <w:tcMar>
              <w:top w:w="0" w:type="dxa"/>
              <w:left w:w="108" w:type="dxa"/>
              <w:bottom w:w="0" w:type="dxa"/>
              <w:right w:w="108" w:type="dxa"/>
            </w:tcMar>
            <w:vAlign w:val="top"/>
            <w:hideMark/>
          </w:tcPr>
          <w:p w14:paraId="448FFA9F" w14:textId="1A971B29" w:rsidR="00CD4D85" w:rsidRDefault="00CD4D85">
            <w:r>
              <w:rPr>
                <w:rFonts w:ascii="Arial" w:hAnsi="Arial" w:cs="Arial"/>
                <w:color w:val="000000"/>
                <w:kern w:val="24"/>
              </w:rPr>
              <w:t>Effective portfolio cap</w:t>
            </w:r>
          </w:p>
        </w:tc>
        <w:tc>
          <w:tcPr>
            <w:tcW w:w="850" w:type="pct"/>
            <w:tcMar>
              <w:top w:w="0" w:type="dxa"/>
              <w:left w:w="108" w:type="dxa"/>
              <w:bottom w:w="0" w:type="dxa"/>
              <w:right w:w="108" w:type="dxa"/>
            </w:tcMar>
            <w:vAlign w:val="top"/>
            <w:hideMark/>
          </w:tcPr>
          <w:p w14:paraId="628E763C" w14:textId="545419A1" w:rsidR="00CD4D85" w:rsidRDefault="00CD4D85">
            <w:r>
              <w:rPr>
                <w:rFonts w:ascii="Arial" w:hAnsi="Arial" w:cs="Arial"/>
                <w:color w:val="000000"/>
                <w:kern w:val="24"/>
              </w:rPr>
              <w:t>15%</w:t>
            </w:r>
          </w:p>
        </w:tc>
        <w:tc>
          <w:tcPr>
            <w:tcW w:w="850" w:type="pct"/>
            <w:tcMar>
              <w:top w:w="0" w:type="dxa"/>
              <w:left w:w="108" w:type="dxa"/>
              <w:bottom w:w="0" w:type="dxa"/>
              <w:right w:w="108" w:type="dxa"/>
            </w:tcMar>
            <w:vAlign w:val="top"/>
            <w:hideMark/>
          </w:tcPr>
          <w:p w14:paraId="0E5AB8C9" w14:textId="66D929EE" w:rsidR="00CD4D85" w:rsidRDefault="00CD4D85">
            <w:r>
              <w:rPr>
                <w:rFonts w:ascii="Arial" w:hAnsi="Arial" w:cs="Arial"/>
                <w:color w:val="000000"/>
                <w:kern w:val="24"/>
              </w:rPr>
              <w:t>None (originally 60%)</w:t>
            </w:r>
          </w:p>
        </w:tc>
        <w:tc>
          <w:tcPr>
            <w:tcW w:w="850" w:type="pct"/>
            <w:tcMar>
              <w:top w:w="0" w:type="dxa"/>
              <w:left w:w="108" w:type="dxa"/>
              <w:bottom w:w="0" w:type="dxa"/>
              <w:right w:w="108" w:type="dxa"/>
            </w:tcMar>
            <w:vAlign w:val="top"/>
            <w:hideMark/>
          </w:tcPr>
          <w:p w14:paraId="496FBA74" w14:textId="5D53B635" w:rsidR="00CD4D85" w:rsidRDefault="00CD4D85">
            <w:r>
              <w:rPr>
                <w:rFonts w:ascii="Arial" w:hAnsi="Arial" w:cs="Arial"/>
                <w:color w:val="000000"/>
                <w:kern w:val="24"/>
              </w:rPr>
              <w:t> </w:t>
            </w:r>
            <w:r w:rsidRPr="7DF122D3">
              <w:rPr>
                <w:rFonts w:ascii="Arial" w:hAnsi="Arial" w:cs="Arial"/>
                <w:color w:val="000000"/>
              </w:rPr>
              <w:t>None</w:t>
            </w:r>
          </w:p>
        </w:tc>
        <w:tc>
          <w:tcPr>
            <w:tcW w:w="850" w:type="pct"/>
            <w:tcMar>
              <w:top w:w="0" w:type="dxa"/>
              <w:left w:w="108" w:type="dxa"/>
              <w:bottom w:w="0" w:type="dxa"/>
              <w:right w:w="108" w:type="dxa"/>
            </w:tcMar>
            <w:vAlign w:val="top"/>
            <w:hideMark/>
          </w:tcPr>
          <w:p w14:paraId="5E50E043" w14:textId="6AD735D7" w:rsidR="00CD4D85" w:rsidRDefault="00CD4D85">
            <w:r>
              <w:rPr>
                <w:rFonts w:ascii="Arial" w:hAnsi="Arial" w:cs="Arial"/>
                <w:color w:val="000000"/>
                <w:kern w:val="24"/>
              </w:rPr>
              <w:t>None</w:t>
            </w:r>
          </w:p>
        </w:tc>
        <w:tc>
          <w:tcPr>
            <w:tcW w:w="850" w:type="pct"/>
            <w:tcMar>
              <w:top w:w="0" w:type="dxa"/>
              <w:left w:w="108" w:type="dxa"/>
              <w:bottom w:w="0" w:type="dxa"/>
              <w:right w:w="108" w:type="dxa"/>
            </w:tcMar>
            <w:vAlign w:val="top"/>
            <w:hideMark/>
          </w:tcPr>
          <w:p w14:paraId="5FB8484C" w14:textId="7C43D33E" w:rsidR="00CD4D85" w:rsidRDefault="00CD4D85">
            <w:pPr>
              <w:rPr>
                <w:rFonts w:ascii="Arial" w:hAnsi="Arial" w:cs="Arial"/>
                <w:color w:val="000000"/>
                <w:kern w:val="24"/>
              </w:rPr>
            </w:pPr>
            <w:r>
              <w:rPr>
                <w:rFonts w:ascii="Arial" w:eastAsiaTheme="minorEastAsia" w:hAnsi="Arial"/>
                <w:color w:val="000000"/>
                <w:kern w:val="24"/>
              </w:rPr>
              <w:t>None</w:t>
            </w:r>
          </w:p>
        </w:tc>
      </w:tr>
      <w:tr w:rsidR="006D6A81" w14:paraId="2308AB9B" w14:textId="6EE78DEF" w:rsidTr="002949F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0"/>
        </w:trPr>
        <w:tc>
          <w:tcPr>
            <w:tcW w:w="750" w:type="pct"/>
            <w:tcMar>
              <w:top w:w="0" w:type="dxa"/>
              <w:left w:w="108" w:type="dxa"/>
              <w:bottom w:w="0" w:type="dxa"/>
              <w:right w:w="108" w:type="dxa"/>
            </w:tcMar>
            <w:vAlign w:val="top"/>
            <w:hideMark/>
          </w:tcPr>
          <w:p w14:paraId="7D4ACAF9" w14:textId="536337A3" w:rsidR="00CD4D85" w:rsidRDefault="00CD4D85">
            <w:r>
              <w:rPr>
                <w:rFonts w:ascii="Arial" w:hAnsi="Arial" w:cs="Arial"/>
                <w:color w:val="000000"/>
                <w:kern w:val="24"/>
              </w:rPr>
              <w:t>Cap on refinancing</w:t>
            </w:r>
          </w:p>
        </w:tc>
        <w:tc>
          <w:tcPr>
            <w:tcW w:w="850" w:type="pct"/>
            <w:tcMar>
              <w:top w:w="0" w:type="dxa"/>
              <w:left w:w="108" w:type="dxa"/>
              <w:bottom w:w="0" w:type="dxa"/>
              <w:right w:w="108" w:type="dxa"/>
            </w:tcMar>
            <w:vAlign w:val="top"/>
            <w:hideMark/>
          </w:tcPr>
          <w:p w14:paraId="3959BBA7" w14:textId="4051B405" w:rsidR="00CD4D85" w:rsidRDefault="00CD4D85">
            <w:r>
              <w:rPr>
                <w:rFonts w:ascii="Arial" w:hAnsi="Arial" w:cs="Arial"/>
                <w:color w:val="000000"/>
                <w:kern w:val="24"/>
              </w:rPr>
              <w:t>20% (can increase up to 40%)</w:t>
            </w:r>
          </w:p>
        </w:tc>
        <w:tc>
          <w:tcPr>
            <w:tcW w:w="850" w:type="pct"/>
            <w:tcMar>
              <w:top w:w="0" w:type="dxa"/>
              <w:left w:w="108" w:type="dxa"/>
              <w:bottom w:w="0" w:type="dxa"/>
              <w:right w:w="108" w:type="dxa"/>
            </w:tcMar>
            <w:vAlign w:val="top"/>
            <w:hideMark/>
          </w:tcPr>
          <w:p w14:paraId="4280BF9F" w14:textId="65349896" w:rsidR="00CD4D85" w:rsidRDefault="00CD4D85">
            <w:r>
              <w:rPr>
                <w:rFonts w:ascii="Arial" w:hAnsi="Arial" w:cs="Arial"/>
                <w:color w:val="000000"/>
                <w:kern w:val="24"/>
              </w:rPr>
              <w:t>20% (can increase up to 40%)</w:t>
            </w:r>
          </w:p>
        </w:tc>
        <w:tc>
          <w:tcPr>
            <w:tcW w:w="850" w:type="pct"/>
            <w:tcMar>
              <w:top w:w="0" w:type="dxa"/>
              <w:left w:w="108" w:type="dxa"/>
              <w:bottom w:w="0" w:type="dxa"/>
              <w:right w:w="108" w:type="dxa"/>
            </w:tcMar>
            <w:vAlign w:val="top"/>
            <w:hideMark/>
          </w:tcPr>
          <w:p w14:paraId="60441B50" w14:textId="68044962" w:rsidR="00CD4D85" w:rsidRDefault="00CD4D85">
            <w:r>
              <w:rPr>
                <w:rFonts w:ascii="Arial" w:hAnsi="Arial" w:cs="Arial"/>
                <w:color w:val="000000"/>
                <w:kern w:val="24"/>
              </w:rPr>
              <w:t>20% (can increase up to 40%)</w:t>
            </w:r>
          </w:p>
        </w:tc>
        <w:tc>
          <w:tcPr>
            <w:tcW w:w="850" w:type="pct"/>
            <w:tcMar>
              <w:top w:w="0" w:type="dxa"/>
              <w:left w:w="108" w:type="dxa"/>
              <w:bottom w:w="0" w:type="dxa"/>
              <w:right w:w="108" w:type="dxa"/>
            </w:tcMar>
            <w:vAlign w:val="top"/>
            <w:hideMark/>
          </w:tcPr>
          <w:p w14:paraId="2FD8C320" w14:textId="5C963315" w:rsidR="00CD4D85" w:rsidRDefault="00CD4D85">
            <w:r>
              <w:rPr>
                <w:rFonts w:ascii="Arial" w:hAnsi="Arial" w:cs="Arial"/>
                <w:color w:val="000000"/>
                <w:kern w:val="24"/>
              </w:rPr>
              <w:t>No limit</w:t>
            </w:r>
          </w:p>
        </w:tc>
        <w:tc>
          <w:tcPr>
            <w:tcW w:w="850" w:type="pct"/>
            <w:tcMar>
              <w:top w:w="0" w:type="dxa"/>
              <w:left w:w="108" w:type="dxa"/>
              <w:bottom w:w="0" w:type="dxa"/>
              <w:right w:w="108" w:type="dxa"/>
            </w:tcMar>
            <w:vAlign w:val="top"/>
            <w:hideMark/>
          </w:tcPr>
          <w:p w14:paraId="29C26E28" w14:textId="0E8605D5" w:rsidR="00CD4D85" w:rsidRDefault="00CD4D85">
            <w:pPr>
              <w:rPr>
                <w:rFonts w:ascii="Arial" w:hAnsi="Arial" w:cs="Arial"/>
                <w:color w:val="000000"/>
                <w:kern w:val="24"/>
              </w:rPr>
            </w:pPr>
            <w:r>
              <w:rPr>
                <w:rFonts w:ascii="Arial" w:hAnsi="Arial"/>
                <w:color w:val="000000"/>
                <w:kern w:val="24"/>
              </w:rPr>
              <w:t>20% (excluding Covid</w:t>
            </w:r>
            <w:r w:rsidR="00417863">
              <w:rPr>
                <w:rFonts w:ascii="Arial" w:hAnsi="Arial"/>
                <w:color w:val="000000"/>
                <w:kern w:val="24"/>
              </w:rPr>
              <w:t>-19</w:t>
            </w:r>
            <w:r>
              <w:rPr>
                <w:rFonts w:ascii="Arial" w:hAnsi="Arial"/>
                <w:color w:val="000000"/>
                <w:kern w:val="24"/>
              </w:rPr>
              <w:t xml:space="preserve"> </w:t>
            </w:r>
            <w:r w:rsidR="00417863">
              <w:rPr>
                <w:rFonts w:ascii="Arial" w:hAnsi="Arial"/>
                <w:color w:val="000000"/>
                <w:kern w:val="24"/>
              </w:rPr>
              <w:t>L</w:t>
            </w:r>
            <w:r>
              <w:rPr>
                <w:rFonts w:ascii="Arial" w:hAnsi="Arial"/>
                <w:color w:val="000000"/>
                <w:kern w:val="24"/>
              </w:rPr>
              <w:t>oan</w:t>
            </w:r>
            <w:r w:rsidR="00417863">
              <w:rPr>
                <w:rFonts w:ascii="Arial" w:hAnsi="Arial"/>
                <w:color w:val="000000"/>
                <w:kern w:val="24"/>
              </w:rPr>
              <w:t xml:space="preserve"> Guarantee</w:t>
            </w:r>
            <w:r>
              <w:rPr>
                <w:rFonts w:ascii="Arial" w:hAnsi="Arial"/>
                <w:color w:val="000000"/>
                <w:kern w:val="24"/>
              </w:rPr>
              <w:t xml:space="preserve"> </w:t>
            </w:r>
            <w:r w:rsidR="00417863">
              <w:rPr>
                <w:rFonts w:ascii="Arial" w:hAnsi="Arial"/>
                <w:color w:val="000000"/>
                <w:kern w:val="24"/>
              </w:rPr>
              <w:t>S</w:t>
            </w:r>
            <w:r>
              <w:rPr>
                <w:rFonts w:ascii="Arial" w:hAnsi="Arial"/>
                <w:color w:val="000000"/>
                <w:kern w:val="24"/>
              </w:rPr>
              <w:t>chemes)</w:t>
            </w:r>
          </w:p>
        </w:tc>
      </w:tr>
      <w:tr w:rsidR="006D6A81" w14:paraId="19E5E0B0" w14:textId="77777777" w:rsidTr="002949FF">
        <w:tblPrEx>
          <w:tblCellMar>
            <w:left w:w="108" w:type="dxa"/>
            <w:right w:w="108" w:type="dxa"/>
          </w:tblCellMar>
        </w:tblPrEx>
        <w:trPr>
          <w:trHeight w:val="300"/>
        </w:trPr>
        <w:tc>
          <w:tcPr>
            <w:tcW w:w="750" w:type="pct"/>
            <w:tcMar>
              <w:top w:w="0" w:type="dxa"/>
              <w:left w:w="108" w:type="dxa"/>
              <w:bottom w:w="0" w:type="dxa"/>
              <w:right w:w="108" w:type="dxa"/>
            </w:tcMar>
            <w:vAlign w:val="top"/>
            <w:hideMark/>
          </w:tcPr>
          <w:p w14:paraId="1EAC2031" w14:textId="3E6B6A7B" w:rsidR="00CD4D85" w:rsidRDefault="00A507A4">
            <w:pPr>
              <w:rPr>
                <w:rFonts w:ascii="Arial" w:hAnsi="Arial" w:cs="Arial"/>
                <w:color w:val="000000"/>
              </w:rPr>
            </w:pPr>
            <w:r>
              <w:rPr>
                <w:rFonts w:ascii="Arial" w:hAnsi="Arial" w:cs="Arial"/>
                <w:color w:val="000000"/>
                <w:kern w:val="24"/>
              </w:rPr>
              <w:t>Personal Guarantees</w:t>
            </w:r>
          </w:p>
        </w:tc>
        <w:tc>
          <w:tcPr>
            <w:tcW w:w="850" w:type="pct"/>
            <w:tcMar>
              <w:top w:w="0" w:type="dxa"/>
              <w:left w:w="108" w:type="dxa"/>
              <w:bottom w:w="0" w:type="dxa"/>
              <w:right w:w="108" w:type="dxa"/>
            </w:tcMar>
            <w:vAlign w:val="top"/>
            <w:hideMark/>
          </w:tcPr>
          <w:p w14:paraId="4C5BCB32" w14:textId="05BB0AD2" w:rsidR="00CD4D85" w:rsidRDefault="00A507A4">
            <w:r>
              <w:rPr>
                <w:rFonts w:ascii="Arial" w:hAnsi="Arial" w:cs="Arial"/>
                <w:color w:val="000000"/>
                <w:kern w:val="24"/>
              </w:rPr>
              <w:t>Permitted</w:t>
            </w:r>
          </w:p>
        </w:tc>
        <w:tc>
          <w:tcPr>
            <w:tcW w:w="850" w:type="pct"/>
            <w:tcMar>
              <w:top w:w="0" w:type="dxa"/>
              <w:left w:w="108" w:type="dxa"/>
              <w:bottom w:w="0" w:type="dxa"/>
              <w:right w:w="108" w:type="dxa"/>
            </w:tcMar>
            <w:vAlign w:val="top"/>
            <w:hideMark/>
          </w:tcPr>
          <w:p w14:paraId="788F1D5E" w14:textId="35315CA5" w:rsidR="00CD4D85" w:rsidRDefault="00CD4D85">
            <w:r>
              <w:rPr>
                <w:rFonts w:ascii="Arial" w:hAnsi="Arial" w:cs="Arial"/>
                <w:color w:val="000000"/>
                <w:kern w:val="24"/>
              </w:rPr>
              <w:t xml:space="preserve">Only </w:t>
            </w:r>
            <w:r w:rsidR="00A507A4">
              <w:rPr>
                <w:rFonts w:ascii="Arial" w:hAnsi="Arial" w:cs="Arial"/>
                <w:color w:val="000000"/>
                <w:kern w:val="24"/>
              </w:rPr>
              <w:t xml:space="preserve">for facilities </w:t>
            </w:r>
            <w:r>
              <w:rPr>
                <w:rFonts w:ascii="Arial" w:hAnsi="Arial" w:cs="Arial"/>
                <w:color w:val="000000"/>
                <w:kern w:val="24"/>
              </w:rPr>
              <w:t>above £250k</w:t>
            </w:r>
          </w:p>
        </w:tc>
        <w:tc>
          <w:tcPr>
            <w:tcW w:w="850" w:type="pct"/>
            <w:tcMar>
              <w:top w:w="0" w:type="dxa"/>
              <w:left w:w="108" w:type="dxa"/>
              <w:bottom w:w="0" w:type="dxa"/>
              <w:right w:w="108" w:type="dxa"/>
            </w:tcMar>
            <w:vAlign w:val="top"/>
            <w:hideMark/>
          </w:tcPr>
          <w:p w14:paraId="2566A80B" w14:textId="5CEFB948" w:rsidR="00CD4D85" w:rsidRDefault="00CD4D85">
            <w:r>
              <w:rPr>
                <w:rFonts w:ascii="Arial" w:hAnsi="Arial" w:cs="Arial"/>
                <w:color w:val="000000"/>
                <w:kern w:val="24"/>
              </w:rPr>
              <w:t xml:space="preserve">Only </w:t>
            </w:r>
            <w:r w:rsidR="00A507A4">
              <w:rPr>
                <w:rFonts w:ascii="Arial" w:hAnsi="Arial" w:cs="Arial"/>
                <w:color w:val="000000"/>
                <w:kern w:val="24"/>
              </w:rPr>
              <w:t xml:space="preserve">for facilities </w:t>
            </w:r>
            <w:r>
              <w:rPr>
                <w:rFonts w:ascii="Arial" w:hAnsi="Arial" w:cs="Arial"/>
                <w:color w:val="000000"/>
                <w:kern w:val="24"/>
              </w:rPr>
              <w:t>above £250k</w:t>
            </w:r>
          </w:p>
        </w:tc>
        <w:tc>
          <w:tcPr>
            <w:tcW w:w="850" w:type="pct"/>
            <w:tcMar>
              <w:top w:w="0" w:type="dxa"/>
              <w:left w:w="108" w:type="dxa"/>
              <w:bottom w:w="0" w:type="dxa"/>
              <w:right w:w="108" w:type="dxa"/>
            </w:tcMar>
            <w:vAlign w:val="top"/>
            <w:hideMark/>
          </w:tcPr>
          <w:p w14:paraId="6E498270" w14:textId="4F1EB1C7" w:rsidR="00CD4D85" w:rsidRDefault="00CD4D85">
            <w:r>
              <w:rPr>
                <w:rFonts w:ascii="Arial" w:hAnsi="Arial" w:cs="Arial"/>
                <w:color w:val="000000"/>
                <w:kern w:val="24"/>
              </w:rPr>
              <w:t>None</w:t>
            </w:r>
          </w:p>
        </w:tc>
        <w:tc>
          <w:tcPr>
            <w:tcW w:w="850" w:type="pct"/>
            <w:tcMar>
              <w:top w:w="0" w:type="dxa"/>
              <w:left w:w="108" w:type="dxa"/>
              <w:bottom w:w="0" w:type="dxa"/>
              <w:right w:w="108" w:type="dxa"/>
            </w:tcMar>
            <w:vAlign w:val="top"/>
            <w:hideMark/>
          </w:tcPr>
          <w:p w14:paraId="151DF7BA" w14:textId="3D154AC3" w:rsidR="00CD4D85" w:rsidRDefault="00CD4D85">
            <w:pPr>
              <w:rPr>
                <w:rFonts w:ascii="Arial" w:hAnsi="Arial" w:cs="Arial"/>
                <w:color w:val="000000"/>
                <w:kern w:val="24"/>
              </w:rPr>
            </w:pPr>
            <w:r>
              <w:rPr>
                <w:rFonts w:ascii="Arial" w:hAnsi="Arial"/>
                <w:color w:val="000000"/>
                <w:kern w:val="24"/>
              </w:rPr>
              <w:t xml:space="preserve">Only </w:t>
            </w:r>
            <w:r w:rsidR="00A507A4">
              <w:rPr>
                <w:rFonts w:ascii="Arial" w:hAnsi="Arial"/>
                <w:color w:val="000000"/>
                <w:kern w:val="24"/>
              </w:rPr>
              <w:t xml:space="preserve">for facilities </w:t>
            </w:r>
            <w:r>
              <w:rPr>
                <w:rFonts w:ascii="Arial" w:hAnsi="Arial"/>
                <w:color w:val="000000"/>
                <w:kern w:val="24"/>
              </w:rPr>
              <w:t>above £250k</w:t>
            </w:r>
          </w:p>
        </w:tc>
      </w:tr>
      <w:tr w:rsidR="006D6A81" w14:paraId="144D6728" w14:textId="5B885559" w:rsidTr="002949F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0"/>
        </w:trPr>
        <w:tc>
          <w:tcPr>
            <w:tcW w:w="750" w:type="pct"/>
            <w:tcMar>
              <w:top w:w="0" w:type="dxa"/>
              <w:left w:w="108" w:type="dxa"/>
              <w:bottom w:w="0" w:type="dxa"/>
              <w:right w:w="108" w:type="dxa"/>
            </w:tcMar>
            <w:vAlign w:val="top"/>
            <w:hideMark/>
          </w:tcPr>
          <w:p w14:paraId="7FAD43EB" w14:textId="0A976848" w:rsidR="00CD4D85" w:rsidRDefault="00CD4D85">
            <w:r>
              <w:rPr>
                <w:rFonts w:ascii="Arial" w:hAnsi="Arial" w:cs="Arial"/>
                <w:color w:val="000000"/>
                <w:kern w:val="24"/>
              </w:rPr>
              <w:t>Business must be viable</w:t>
            </w:r>
          </w:p>
        </w:tc>
        <w:tc>
          <w:tcPr>
            <w:tcW w:w="850" w:type="pct"/>
            <w:tcMar>
              <w:top w:w="0" w:type="dxa"/>
              <w:left w:w="108" w:type="dxa"/>
              <w:bottom w:w="0" w:type="dxa"/>
              <w:right w:w="108" w:type="dxa"/>
            </w:tcMar>
            <w:vAlign w:val="top"/>
            <w:hideMark/>
          </w:tcPr>
          <w:p w14:paraId="35138FA0" w14:textId="1FB62B98" w:rsidR="00CD4D85" w:rsidRDefault="00CD4D85">
            <w:r>
              <w:rPr>
                <w:rFonts w:ascii="Arial" w:hAnsi="Arial" w:cs="Arial"/>
                <w:color w:val="000000"/>
                <w:kern w:val="24"/>
              </w:rPr>
              <w:t>Yes</w:t>
            </w:r>
          </w:p>
        </w:tc>
        <w:tc>
          <w:tcPr>
            <w:tcW w:w="850" w:type="pct"/>
            <w:tcMar>
              <w:top w:w="0" w:type="dxa"/>
              <w:left w:w="108" w:type="dxa"/>
              <w:bottom w:w="0" w:type="dxa"/>
              <w:right w:w="108" w:type="dxa"/>
            </w:tcMar>
            <w:vAlign w:val="top"/>
            <w:hideMark/>
          </w:tcPr>
          <w:p w14:paraId="4A79AD57" w14:textId="3803E443" w:rsidR="00CD4D85" w:rsidRDefault="00CD4D85">
            <w:r>
              <w:rPr>
                <w:rFonts w:ascii="Arial" w:hAnsi="Arial" w:cs="Arial"/>
                <w:color w:val="000000"/>
                <w:kern w:val="24"/>
              </w:rPr>
              <w:t>Yes, capable of recovery</w:t>
            </w:r>
          </w:p>
        </w:tc>
        <w:tc>
          <w:tcPr>
            <w:tcW w:w="850" w:type="pct"/>
            <w:tcMar>
              <w:top w:w="0" w:type="dxa"/>
              <w:left w:w="108" w:type="dxa"/>
              <w:bottom w:w="0" w:type="dxa"/>
              <w:right w:w="108" w:type="dxa"/>
            </w:tcMar>
            <w:vAlign w:val="top"/>
            <w:hideMark/>
          </w:tcPr>
          <w:p w14:paraId="38FBAFA2" w14:textId="4DF7D5E2" w:rsidR="00CD4D85" w:rsidRDefault="00CD4D85">
            <w:r>
              <w:rPr>
                <w:rFonts w:ascii="Arial" w:hAnsi="Arial" w:cs="Arial"/>
                <w:color w:val="000000"/>
                <w:kern w:val="24"/>
              </w:rPr>
              <w:t>Yes, capable of recovery</w:t>
            </w:r>
          </w:p>
        </w:tc>
        <w:tc>
          <w:tcPr>
            <w:tcW w:w="850" w:type="pct"/>
            <w:tcMar>
              <w:top w:w="0" w:type="dxa"/>
              <w:left w:w="108" w:type="dxa"/>
              <w:bottom w:w="0" w:type="dxa"/>
              <w:right w:w="108" w:type="dxa"/>
            </w:tcMar>
            <w:vAlign w:val="top"/>
            <w:hideMark/>
          </w:tcPr>
          <w:p w14:paraId="2A8DA934" w14:textId="066C98BE" w:rsidR="00CD4D85" w:rsidRPr="002E562D" w:rsidRDefault="00CD4D85">
            <w:pPr>
              <w:rPr>
                <w:rFonts w:ascii="Arial" w:hAnsi="Arial" w:cs="Arial"/>
                <w:color w:val="000000"/>
                <w:kern w:val="24"/>
              </w:rPr>
            </w:pPr>
            <w:r>
              <w:rPr>
                <w:rFonts w:ascii="Arial" w:hAnsi="Arial" w:cs="Arial"/>
                <w:color w:val="000000"/>
                <w:kern w:val="24"/>
              </w:rPr>
              <w:t>Yes (not UiD)</w:t>
            </w:r>
          </w:p>
        </w:tc>
        <w:tc>
          <w:tcPr>
            <w:tcW w:w="850" w:type="pct"/>
            <w:tcMar>
              <w:top w:w="0" w:type="dxa"/>
              <w:left w:w="108" w:type="dxa"/>
              <w:bottom w:w="0" w:type="dxa"/>
              <w:right w:w="108" w:type="dxa"/>
            </w:tcMar>
            <w:vAlign w:val="top"/>
            <w:hideMark/>
          </w:tcPr>
          <w:p w14:paraId="17A0F115" w14:textId="739422EF" w:rsidR="00CD4D85" w:rsidRDefault="3160242B">
            <w:pPr>
              <w:rPr>
                <w:rFonts w:ascii="Arial" w:hAnsi="Arial" w:cs="Arial"/>
                <w:color w:val="000000"/>
                <w:kern w:val="24"/>
              </w:rPr>
            </w:pPr>
            <w:r w:rsidRPr="00627DB7">
              <w:rPr>
                <w:rFonts w:ascii="Arial" w:hAnsi="Arial" w:cs="Arial"/>
                <w:color w:val="000000"/>
                <w:kern w:val="24"/>
              </w:rPr>
              <w:t xml:space="preserve">Not </w:t>
            </w:r>
            <w:r w:rsidR="00A507A4">
              <w:rPr>
                <w:rFonts w:ascii="Arial" w:hAnsi="Arial" w:cs="Arial"/>
                <w:color w:val="000000"/>
                <w:kern w:val="24"/>
              </w:rPr>
              <w:t xml:space="preserve">in Relevant Insolvency Proceedings (for GB), Not UiD in NI </w:t>
            </w:r>
          </w:p>
        </w:tc>
      </w:tr>
      <w:tr w:rsidR="006D6A81" w14:paraId="73FFD884" w14:textId="77777777" w:rsidTr="002949FF">
        <w:tblPrEx>
          <w:tblCellMar>
            <w:left w:w="108" w:type="dxa"/>
            <w:right w:w="108" w:type="dxa"/>
          </w:tblCellMar>
        </w:tblPrEx>
        <w:trPr>
          <w:trHeight w:val="300"/>
        </w:trPr>
        <w:tc>
          <w:tcPr>
            <w:tcW w:w="750" w:type="pct"/>
            <w:tcMar>
              <w:top w:w="0" w:type="dxa"/>
              <w:left w:w="108" w:type="dxa"/>
              <w:bottom w:w="0" w:type="dxa"/>
              <w:right w:w="108" w:type="dxa"/>
            </w:tcMar>
            <w:vAlign w:val="top"/>
            <w:hideMark/>
          </w:tcPr>
          <w:p w14:paraId="787B29AB" w14:textId="5FE0BBFD" w:rsidR="00CD4D85" w:rsidRDefault="5356B5CE">
            <w:pPr>
              <w:rPr>
                <w:rFonts w:ascii="Arial" w:hAnsi="Arial" w:cs="Arial"/>
                <w:color w:val="000000"/>
              </w:rPr>
            </w:pPr>
            <w:r w:rsidRPr="1ED96058">
              <w:rPr>
                <w:rFonts w:ascii="Arial" w:hAnsi="Arial" w:cs="Arial"/>
                <w:color w:val="000000"/>
              </w:rPr>
              <w:t xml:space="preserve">Facilities </w:t>
            </w:r>
            <w:r w:rsidR="3160242B">
              <w:rPr>
                <w:rFonts w:ascii="Arial" w:hAnsi="Arial" w:cs="Arial"/>
                <w:color w:val="000000"/>
                <w:kern w:val="24"/>
              </w:rPr>
              <w:t>under £25k</w:t>
            </w:r>
          </w:p>
        </w:tc>
        <w:tc>
          <w:tcPr>
            <w:tcW w:w="850" w:type="pct"/>
            <w:tcMar>
              <w:top w:w="0" w:type="dxa"/>
              <w:left w:w="108" w:type="dxa"/>
              <w:bottom w:w="0" w:type="dxa"/>
              <w:right w:w="108" w:type="dxa"/>
            </w:tcMar>
            <w:vAlign w:val="top"/>
            <w:hideMark/>
          </w:tcPr>
          <w:p w14:paraId="27FA718B" w14:textId="2E2FB36C" w:rsidR="00CD4D85" w:rsidRDefault="00A507A4">
            <w:r>
              <w:rPr>
                <w:rFonts w:ascii="Arial" w:hAnsi="Arial" w:cs="Arial"/>
                <w:color w:val="000000"/>
                <w:kern w:val="24"/>
              </w:rPr>
              <w:t>Yes</w:t>
            </w:r>
          </w:p>
        </w:tc>
        <w:tc>
          <w:tcPr>
            <w:tcW w:w="850" w:type="pct"/>
            <w:tcMar>
              <w:top w:w="0" w:type="dxa"/>
              <w:left w:w="108" w:type="dxa"/>
              <w:bottom w:w="0" w:type="dxa"/>
              <w:right w:w="108" w:type="dxa"/>
            </w:tcMar>
            <w:vAlign w:val="top"/>
            <w:hideMark/>
          </w:tcPr>
          <w:p w14:paraId="4DE2B50A" w14:textId="66CE4691" w:rsidR="00CD4D85" w:rsidRDefault="00CD4D85">
            <w:r>
              <w:rPr>
                <w:rFonts w:ascii="Arial" w:hAnsi="Arial" w:cs="Arial"/>
                <w:color w:val="000000"/>
                <w:kern w:val="24"/>
              </w:rPr>
              <w:t>Yes</w:t>
            </w:r>
            <w:r w:rsidR="5356B5CE" w:rsidRPr="1ED96058">
              <w:rPr>
                <w:rFonts w:ascii="Arial" w:hAnsi="Arial" w:cs="Arial"/>
                <w:color w:val="000000"/>
              </w:rPr>
              <w:t xml:space="preserve"> (</w:t>
            </w:r>
            <w:r w:rsidR="5356B5CE" w:rsidRPr="1ED96058">
              <w:rPr>
                <w:rFonts w:ascii="Arial" w:hAnsi="Arial"/>
                <w:color w:val="000000"/>
              </w:rPr>
              <w:t>invoice/asset finance available, and</w:t>
            </w:r>
            <w:r w:rsidR="409C8E1C" w:rsidRPr="1ED96058">
              <w:rPr>
                <w:rFonts w:ascii="Arial" w:hAnsi="Arial"/>
                <w:color w:val="000000"/>
              </w:rPr>
              <w:t xml:space="preserve"> all</w:t>
            </w:r>
            <w:r w:rsidR="5356B5CE" w:rsidRPr="1ED96058">
              <w:rPr>
                <w:rFonts w:ascii="Arial" w:hAnsi="Arial"/>
                <w:color w:val="000000"/>
              </w:rPr>
              <w:t xml:space="preserve"> facilit</w:t>
            </w:r>
            <w:r w:rsidR="5EBDF005" w:rsidRPr="1ED96058">
              <w:rPr>
                <w:rFonts w:ascii="Arial" w:hAnsi="Arial"/>
                <w:color w:val="000000"/>
              </w:rPr>
              <w:t>y types</w:t>
            </w:r>
            <w:r w:rsidR="5356B5CE" w:rsidRPr="1ED96058">
              <w:rPr>
                <w:rFonts w:ascii="Arial" w:hAnsi="Arial"/>
                <w:color w:val="000000"/>
              </w:rPr>
              <w:t xml:space="preserve"> prior to BBLS launch)</w:t>
            </w:r>
          </w:p>
        </w:tc>
        <w:tc>
          <w:tcPr>
            <w:tcW w:w="850" w:type="pct"/>
            <w:tcMar>
              <w:top w:w="0" w:type="dxa"/>
              <w:left w:w="108" w:type="dxa"/>
              <w:bottom w:w="0" w:type="dxa"/>
              <w:right w:w="108" w:type="dxa"/>
            </w:tcMar>
            <w:vAlign w:val="top"/>
            <w:hideMark/>
          </w:tcPr>
          <w:p w14:paraId="0D482EC8" w14:textId="0D4A9686" w:rsidR="00CD4D85" w:rsidRDefault="00CD4D85">
            <w:r>
              <w:rPr>
                <w:rFonts w:ascii="Arial" w:hAnsi="Arial" w:cs="Arial"/>
                <w:color w:val="000000"/>
                <w:kern w:val="24"/>
              </w:rPr>
              <w:t>No</w:t>
            </w:r>
          </w:p>
        </w:tc>
        <w:tc>
          <w:tcPr>
            <w:tcW w:w="850" w:type="pct"/>
            <w:tcMar>
              <w:top w:w="0" w:type="dxa"/>
              <w:left w:w="108" w:type="dxa"/>
              <w:bottom w:w="0" w:type="dxa"/>
              <w:right w:w="108" w:type="dxa"/>
            </w:tcMar>
            <w:vAlign w:val="top"/>
            <w:hideMark/>
          </w:tcPr>
          <w:p w14:paraId="25376295" w14:textId="3C279328" w:rsidR="00CD4D85" w:rsidRDefault="00CD4D85">
            <w:r>
              <w:rPr>
                <w:rFonts w:ascii="Arial" w:hAnsi="Arial"/>
                <w:color w:val="000000"/>
                <w:kern w:val="24"/>
              </w:rPr>
              <w:t>Yes</w:t>
            </w:r>
          </w:p>
        </w:tc>
        <w:tc>
          <w:tcPr>
            <w:tcW w:w="850" w:type="pct"/>
            <w:tcMar>
              <w:top w:w="0" w:type="dxa"/>
              <w:left w:w="108" w:type="dxa"/>
              <w:bottom w:w="0" w:type="dxa"/>
              <w:right w:w="108" w:type="dxa"/>
            </w:tcMar>
            <w:vAlign w:val="top"/>
            <w:hideMark/>
          </w:tcPr>
          <w:p w14:paraId="58CDC33F" w14:textId="51D5621A" w:rsidR="00CD4D85" w:rsidRDefault="3163B8D2">
            <w:pPr>
              <w:rPr>
                <w:rFonts w:ascii="Arial" w:hAnsi="Arial"/>
                <w:color w:val="000000"/>
                <w:kern w:val="24"/>
              </w:rPr>
            </w:pPr>
            <w:r>
              <w:rPr>
                <w:rFonts w:ascii="Arial" w:hAnsi="Arial"/>
                <w:color w:val="000000"/>
                <w:kern w:val="24"/>
              </w:rPr>
              <w:t xml:space="preserve">Yes </w:t>
            </w:r>
            <w:r w:rsidR="00CD4D85">
              <w:rPr>
                <w:rFonts w:ascii="Arial" w:hAnsi="Arial"/>
                <w:color w:val="000000"/>
                <w:kern w:val="24"/>
              </w:rPr>
              <w:t>(</w:t>
            </w:r>
            <w:r w:rsidR="00E7FCB0">
              <w:rPr>
                <w:rFonts w:ascii="Arial" w:hAnsi="Arial"/>
                <w:color w:val="000000"/>
                <w:kern w:val="24"/>
              </w:rPr>
              <w:t xml:space="preserve">only </w:t>
            </w:r>
            <w:r w:rsidR="00CD4D85">
              <w:rPr>
                <w:rFonts w:ascii="Arial" w:hAnsi="Arial"/>
                <w:color w:val="000000"/>
                <w:kern w:val="24"/>
              </w:rPr>
              <w:t>invoice/asset finance available)</w:t>
            </w:r>
          </w:p>
        </w:tc>
      </w:tr>
      <w:tr w:rsidR="006D6A81" w14:paraId="768A3A20" w14:textId="481CCF80" w:rsidTr="002949FF">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0"/>
        </w:trPr>
        <w:tc>
          <w:tcPr>
            <w:tcW w:w="750" w:type="pct"/>
            <w:tcMar>
              <w:top w:w="0" w:type="dxa"/>
              <w:left w:w="108" w:type="dxa"/>
              <w:bottom w:w="0" w:type="dxa"/>
              <w:right w:w="108" w:type="dxa"/>
            </w:tcMar>
            <w:vAlign w:val="top"/>
            <w:hideMark/>
          </w:tcPr>
          <w:p w14:paraId="62BC977B" w14:textId="0251B828" w:rsidR="00CD4D85" w:rsidRDefault="00CD4D85">
            <w:r>
              <w:rPr>
                <w:rFonts w:ascii="Arial" w:hAnsi="Arial" w:cs="Arial"/>
                <w:color w:val="000000"/>
                <w:kern w:val="24"/>
              </w:rPr>
              <w:t>Funding proposal required</w:t>
            </w:r>
          </w:p>
        </w:tc>
        <w:tc>
          <w:tcPr>
            <w:tcW w:w="850" w:type="pct"/>
            <w:tcMar>
              <w:top w:w="0" w:type="dxa"/>
              <w:left w:w="108" w:type="dxa"/>
              <w:bottom w:w="0" w:type="dxa"/>
              <w:right w:w="108" w:type="dxa"/>
            </w:tcMar>
            <w:vAlign w:val="top"/>
            <w:hideMark/>
          </w:tcPr>
          <w:p w14:paraId="780C26AB" w14:textId="27423506" w:rsidR="00CD4D85" w:rsidRDefault="00CD4D85">
            <w:r>
              <w:rPr>
                <w:rFonts w:ascii="Arial" w:hAnsi="Arial" w:cs="Arial"/>
                <w:color w:val="000000"/>
                <w:kern w:val="24"/>
              </w:rPr>
              <w:t>Yes</w:t>
            </w:r>
          </w:p>
        </w:tc>
        <w:tc>
          <w:tcPr>
            <w:tcW w:w="850" w:type="pct"/>
            <w:tcMar>
              <w:top w:w="0" w:type="dxa"/>
              <w:left w:w="108" w:type="dxa"/>
              <w:bottom w:w="0" w:type="dxa"/>
              <w:right w:w="108" w:type="dxa"/>
            </w:tcMar>
            <w:vAlign w:val="top"/>
            <w:hideMark/>
          </w:tcPr>
          <w:p w14:paraId="053457EC" w14:textId="33AF87C8" w:rsidR="00CD4D85" w:rsidRDefault="00CD4D85">
            <w:r>
              <w:rPr>
                <w:rFonts w:ascii="Arial" w:hAnsi="Arial" w:cs="Arial"/>
                <w:color w:val="000000"/>
                <w:kern w:val="24"/>
              </w:rPr>
              <w:t>Yes</w:t>
            </w:r>
          </w:p>
        </w:tc>
        <w:tc>
          <w:tcPr>
            <w:tcW w:w="850" w:type="pct"/>
            <w:tcMar>
              <w:top w:w="0" w:type="dxa"/>
              <w:left w:w="108" w:type="dxa"/>
              <w:bottom w:w="0" w:type="dxa"/>
              <w:right w:w="108" w:type="dxa"/>
            </w:tcMar>
            <w:vAlign w:val="top"/>
            <w:hideMark/>
          </w:tcPr>
          <w:p w14:paraId="441DBE7E" w14:textId="36E65EE0" w:rsidR="00CD4D85" w:rsidRDefault="00CD4D85">
            <w:r>
              <w:rPr>
                <w:rFonts w:ascii="Arial" w:hAnsi="Arial" w:cs="Arial"/>
                <w:color w:val="000000"/>
                <w:kern w:val="24"/>
              </w:rPr>
              <w:t>Yes</w:t>
            </w:r>
          </w:p>
        </w:tc>
        <w:tc>
          <w:tcPr>
            <w:tcW w:w="850" w:type="pct"/>
            <w:tcMar>
              <w:top w:w="0" w:type="dxa"/>
              <w:left w:w="108" w:type="dxa"/>
              <w:bottom w:w="0" w:type="dxa"/>
              <w:right w:w="108" w:type="dxa"/>
            </w:tcMar>
            <w:vAlign w:val="top"/>
            <w:hideMark/>
          </w:tcPr>
          <w:p w14:paraId="4421C5BC" w14:textId="2B14AAF4" w:rsidR="00CD4D85" w:rsidRDefault="00CD4D85">
            <w:r>
              <w:rPr>
                <w:rFonts w:ascii="Arial" w:hAnsi="Arial" w:cs="Arial"/>
                <w:color w:val="000000"/>
                <w:kern w:val="24"/>
              </w:rPr>
              <w:t>No</w:t>
            </w:r>
          </w:p>
        </w:tc>
        <w:tc>
          <w:tcPr>
            <w:tcW w:w="850" w:type="pct"/>
            <w:tcMar>
              <w:top w:w="0" w:type="dxa"/>
              <w:left w:w="108" w:type="dxa"/>
              <w:bottom w:w="0" w:type="dxa"/>
              <w:right w:w="108" w:type="dxa"/>
            </w:tcMar>
            <w:vAlign w:val="top"/>
            <w:hideMark/>
          </w:tcPr>
          <w:p w14:paraId="5EAB8E98" w14:textId="3959E116" w:rsidR="00CD4D85" w:rsidRDefault="00CD4D85">
            <w:pPr>
              <w:rPr>
                <w:rFonts w:ascii="Arial" w:hAnsi="Arial"/>
                <w:color w:val="000000"/>
                <w:kern w:val="24"/>
              </w:rPr>
            </w:pPr>
            <w:r>
              <w:rPr>
                <w:rFonts w:ascii="Arial" w:hAnsi="Arial"/>
                <w:color w:val="000000"/>
                <w:kern w:val="24"/>
              </w:rPr>
              <w:t>Yes</w:t>
            </w:r>
          </w:p>
        </w:tc>
      </w:tr>
      <w:tr w:rsidR="006D6A81" w14:paraId="73294315" w14:textId="77777777" w:rsidTr="002949FF">
        <w:tblPrEx>
          <w:tblCellMar>
            <w:left w:w="108" w:type="dxa"/>
            <w:right w:w="108" w:type="dxa"/>
          </w:tblCellMar>
        </w:tblPrEx>
        <w:trPr>
          <w:trHeight w:val="300"/>
        </w:trPr>
        <w:tc>
          <w:tcPr>
            <w:tcW w:w="750" w:type="pct"/>
            <w:tcMar>
              <w:top w:w="0" w:type="dxa"/>
              <w:left w:w="108" w:type="dxa"/>
              <w:bottom w:w="0" w:type="dxa"/>
              <w:right w:w="108" w:type="dxa"/>
            </w:tcMar>
            <w:vAlign w:val="top"/>
            <w:hideMark/>
          </w:tcPr>
          <w:p w14:paraId="2FE4E6D2" w14:textId="0AEE2F53" w:rsidR="00CD4D85" w:rsidRDefault="00CD4D85">
            <w:r>
              <w:rPr>
                <w:rFonts w:ascii="Arial" w:hAnsi="Arial" w:cs="Arial"/>
                <w:color w:val="000000"/>
                <w:kern w:val="24"/>
              </w:rPr>
              <w:t>Assessment of additionality</w:t>
            </w:r>
          </w:p>
        </w:tc>
        <w:tc>
          <w:tcPr>
            <w:tcW w:w="850" w:type="pct"/>
            <w:tcMar>
              <w:top w:w="0" w:type="dxa"/>
              <w:left w:w="108" w:type="dxa"/>
              <w:bottom w:w="0" w:type="dxa"/>
              <w:right w:w="108" w:type="dxa"/>
            </w:tcMar>
            <w:vAlign w:val="top"/>
            <w:hideMark/>
          </w:tcPr>
          <w:p w14:paraId="7B77D03D" w14:textId="2E342465" w:rsidR="00CD4D85" w:rsidRDefault="00CD4D85">
            <w:r>
              <w:rPr>
                <w:rFonts w:ascii="Arial" w:hAnsi="Arial" w:cs="Arial"/>
                <w:color w:val="000000"/>
                <w:kern w:val="24"/>
              </w:rPr>
              <w:t>Yes</w:t>
            </w:r>
          </w:p>
        </w:tc>
        <w:tc>
          <w:tcPr>
            <w:tcW w:w="850" w:type="pct"/>
            <w:tcMar>
              <w:top w:w="0" w:type="dxa"/>
              <w:left w:w="108" w:type="dxa"/>
              <w:bottom w:w="0" w:type="dxa"/>
              <w:right w:w="108" w:type="dxa"/>
            </w:tcMar>
            <w:vAlign w:val="top"/>
            <w:hideMark/>
          </w:tcPr>
          <w:p w14:paraId="3E7CBF14" w14:textId="38B47711" w:rsidR="00CD4D85" w:rsidRDefault="00CD4D85">
            <w:r>
              <w:rPr>
                <w:rFonts w:ascii="Arial" w:hAnsi="Arial" w:cs="Arial"/>
                <w:color w:val="000000"/>
                <w:kern w:val="24"/>
              </w:rPr>
              <w:t>No</w:t>
            </w:r>
          </w:p>
        </w:tc>
        <w:tc>
          <w:tcPr>
            <w:tcW w:w="850" w:type="pct"/>
            <w:tcMar>
              <w:top w:w="0" w:type="dxa"/>
              <w:left w:w="108" w:type="dxa"/>
              <w:bottom w:w="0" w:type="dxa"/>
              <w:right w:w="108" w:type="dxa"/>
            </w:tcMar>
            <w:vAlign w:val="top"/>
            <w:hideMark/>
          </w:tcPr>
          <w:p w14:paraId="52BB331D" w14:textId="4452DCBF" w:rsidR="00CD4D85" w:rsidRDefault="00CD4D85">
            <w:r>
              <w:rPr>
                <w:rFonts w:ascii="Arial" w:hAnsi="Arial" w:cs="Arial"/>
                <w:color w:val="000000"/>
                <w:kern w:val="24"/>
              </w:rPr>
              <w:t>No</w:t>
            </w:r>
          </w:p>
        </w:tc>
        <w:tc>
          <w:tcPr>
            <w:tcW w:w="850" w:type="pct"/>
            <w:tcMar>
              <w:top w:w="0" w:type="dxa"/>
              <w:left w:w="108" w:type="dxa"/>
              <w:bottom w:w="0" w:type="dxa"/>
              <w:right w:w="108" w:type="dxa"/>
            </w:tcMar>
            <w:vAlign w:val="top"/>
            <w:hideMark/>
          </w:tcPr>
          <w:p w14:paraId="72A4B8FF" w14:textId="13F0D244" w:rsidR="00CD4D85" w:rsidRDefault="00CD4D85">
            <w:r>
              <w:rPr>
                <w:rFonts w:ascii="Arial" w:hAnsi="Arial" w:cs="Arial"/>
                <w:color w:val="000000"/>
                <w:kern w:val="24"/>
              </w:rPr>
              <w:t>No</w:t>
            </w:r>
          </w:p>
        </w:tc>
        <w:tc>
          <w:tcPr>
            <w:tcW w:w="850" w:type="pct"/>
            <w:tcMar>
              <w:top w:w="0" w:type="dxa"/>
              <w:left w:w="108" w:type="dxa"/>
              <w:bottom w:w="0" w:type="dxa"/>
              <w:right w:w="108" w:type="dxa"/>
            </w:tcMar>
            <w:vAlign w:val="top"/>
            <w:hideMark/>
          </w:tcPr>
          <w:p w14:paraId="345A0A32" w14:textId="7B4F95E0" w:rsidR="00CD4D85" w:rsidRDefault="00CD4D85">
            <w:pPr>
              <w:rPr>
                <w:rFonts w:ascii="Arial" w:hAnsi="Arial" w:cs="Arial"/>
                <w:color w:val="000000"/>
                <w:kern w:val="24"/>
              </w:rPr>
            </w:pPr>
            <w:r>
              <w:rPr>
                <w:rFonts w:ascii="Arial" w:hAnsi="Arial"/>
                <w:color w:val="000000"/>
                <w:kern w:val="24"/>
              </w:rPr>
              <w:t>Yes</w:t>
            </w:r>
          </w:p>
        </w:tc>
      </w:tr>
    </w:tbl>
    <w:p w14:paraId="2030666C" w14:textId="77777777" w:rsidR="00B628D7" w:rsidRDefault="00B628D7" w:rsidP="003B2EF1">
      <w:pPr>
        <w:pStyle w:val="Heading3"/>
        <w:sectPr w:rsidR="00B628D7" w:rsidSect="00A21374">
          <w:pgSz w:w="16838" w:h="11906" w:orient="landscape" w:code="9"/>
          <w:pgMar w:top="907" w:right="1701" w:bottom="845" w:left="1531" w:header="624" w:footer="454" w:gutter="0"/>
          <w:cols w:space="284"/>
          <w:titlePg/>
          <w:docGrid w:linePitch="360"/>
        </w:sectPr>
      </w:pPr>
    </w:p>
    <w:p w14:paraId="7DDD2954" w14:textId="77777777" w:rsidR="00CD4D85" w:rsidRDefault="00CD4D85" w:rsidP="003B2EF1">
      <w:pPr>
        <w:pStyle w:val="Heading3"/>
      </w:pPr>
      <w:r>
        <w:t>Risk</w:t>
      </w:r>
    </w:p>
    <w:p w14:paraId="28877B1F" w14:textId="554BFBFD" w:rsidR="00CD4D85" w:rsidRDefault="3160242B" w:rsidP="003B2EF1">
      <w:r>
        <w:t>Several risks to the value for money, affordability, and feasibility of the schemes were identified in the process of developing the schemes. These risks were acknowledged in the Accounting Officer</w:t>
      </w:r>
      <w:r w:rsidR="6E90A79D">
        <w:t>’</w:t>
      </w:r>
      <w:r>
        <w:t>s Advice for the scheme, but these did not require escalation, unlike the BBLS.</w:t>
      </w:r>
      <w:r w:rsidR="00CD4D85">
        <w:rPr>
          <w:rStyle w:val="FootnoteReference"/>
        </w:rPr>
        <w:footnoteReference w:id="20"/>
      </w:r>
      <w:r>
        <w:t xml:space="preserve"> This demonstrates that RLS </w:t>
      </w:r>
      <w:r w:rsidR="00C236F3">
        <w:t xml:space="preserve">1.0 </w:t>
      </w:r>
      <w:r>
        <w:t xml:space="preserve">was viewed to have fewer significant risks than the </w:t>
      </w:r>
      <w:r w:rsidR="3C580A7C">
        <w:t>Covid</w:t>
      </w:r>
      <w:r>
        <w:t xml:space="preserve">-19 </w:t>
      </w:r>
      <w:r w:rsidR="1ACDD46D">
        <w:t>Loan Guarantee</w:t>
      </w:r>
      <w:r>
        <w:t xml:space="preserve"> </w:t>
      </w:r>
      <w:r w:rsidR="00B34445">
        <w:t>S</w:t>
      </w:r>
      <w:r>
        <w:t>chemes. The key risks highlighted in this correspondence included:</w:t>
      </w:r>
    </w:p>
    <w:p w14:paraId="708B149F" w14:textId="100BF30F" w:rsidR="00CD4D85" w:rsidRDefault="00CD4D85" w:rsidP="00CD4D85">
      <w:pPr>
        <w:pStyle w:val="ListBullet"/>
        <w:rPr>
          <w:b/>
          <w:bCs/>
        </w:rPr>
      </w:pPr>
      <w:r>
        <w:rPr>
          <w:b/>
          <w:bCs/>
        </w:rPr>
        <w:t xml:space="preserve">Additionality risks: </w:t>
      </w:r>
      <w:r>
        <w:t>Additionality was highlighted as a risk of RLS 1.0, however it was noted that the introduction of the additionality test and the pricing mechanism and lender fee parameters would ensure that a high level of additionality would be achieved in RLS 1.0. It was anticipated that lenders would only use the scheme when the expected returns to them exceeded the lender fee payments.</w:t>
      </w:r>
      <w:r>
        <w:rPr>
          <w:b/>
          <w:bCs/>
        </w:rPr>
        <w:t xml:space="preserve"> </w:t>
      </w:r>
    </w:p>
    <w:p w14:paraId="22A31917" w14:textId="2A800568" w:rsidR="00CD4D85" w:rsidRDefault="3160242B" w:rsidP="00CD4D85">
      <w:pPr>
        <w:pStyle w:val="ListBullet"/>
        <w:rPr>
          <w:b/>
          <w:bCs/>
        </w:rPr>
      </w:pPr>
      <w:r w:rsidRPr="2A165AEB">
        <w:rPr>
          <w:b/>
          <w:bCs/>
        </w:rPr>
        <w:t xml:space="preserve">Fraud: </w:t>
      </w:r>
      <w:r w:rsidR="7B4A85AD">
        <w:t xml:space="preserve">The </w:t>
      </w:r>
      <w:r>
        <w:t>RLS 1.0</w:t>
      </w:r>
      <w:r w:rsidR="689AF4A3">
        <w:t xml:space="preserve"> default rate</w:t>
      </w:r>
      <w:r w:rsidR="67A1FD58">
        <w:t>, for all reasons,</w:t>
      </w:r>
      <w:r w:rsidR="689AF4A3">
        <w:t xml:space="preserve"> was </w:t>
      </w:r>
      <w:r w:rsidR="41800C0E">
        <w:t>estimated at</w:t>
      </w:r>
      <w:r>
        <w:t xml:space="preserve"> </w:t>
      </w:r>
      <w:r w:rsidR="6833720B">
        <w:t xml:space="preserve">around </w:t>
      </w:r>
      <w:r>
        <w:t xml:space="preserve">17.5% </w:t>
      </w:r>
      <w:r w:rsidR="371D7E48">
        <w:t>ex-ante</w:t>
      </w:r>
      <w:r>
        <w:t>.</w:t>
      </w:r>
      <w:r w:rsidR="00CD4D85">
        <w:rPr>
          <w:rStyle w:val="FootnoteReference"/>
        </w:rPr>
        <w:footnoteReference w:id="21"/>
      </w:r>
      <w:r>
        <w:t xml:space="preserve"> However, although a risk of fraud was still highlighted, this risk was assessed to be significantly lower than for the Bounce Back Loan Scheme, as RLS 1.0 would not rely on self-certification and standard lender checks would be required.</w:t>
      </w:r>
      <w:r w:rsidRPr="2A165AEB">
        <w:rPr>
          <w:b/>
          <w:bCs/>
        </w:rPr>
        <w:t xml:space="preserve"> </w:t>
      </w:r>
    </w:p>
    <w:p w14:paraId="66064E9C" w14:textId="42724CE4" w:rsidR="00CD4D85" w:rsidRDefault="00CD4D85" w:rsidP="00CD4D85">
      <w:pPr>
        <w:pStyle w:val="ListBullet"/>
      </w:pPr>
      <w:r>
        <w:rPr>
          <w:b/>
          <w:bCs/>
        </w:rPr>
        <w:t xml:space="preserve">Subsidy control: </w:t>
      </w:r>
      <w:r>
        <w:t xml:space="preserve">RLS 1.0 was being designed during the period when the UK was exiting the EU, and therefore subsidy control legislation was replacing EU State aid legislation, with the exception of Northern Ireland, where State aid rules would still apply. For RLS 1.0, this did not have a large impact due to the UK-EU Trade and Cooperation Agreement, except for the Undertaking in Difficulty test. For businesses in Northern Ireland, the previous Undertaking in Difficulty test remained largely in place. This created risks to the scheme if lenders could not correctly identify businesses operating in Northern Ireland, which could lead to non-compliant lending as the wrong undertaking in difficulty test was used. A further risk was highlighted as potential differences in opinion on interpretation of the Northern Ireland Protocol between the UK and the EU. </w:t>
      </w:r>
    </w:p>
    <w:p w14:paraId="1B02ACE9" w14:textId="7685807A" w:rsidR="00CD4D85" w:rsidRDefault="3160242B" w:rsidP="00CD4D85">
      <w:pPr>
        <w:pStyle w:val="ListBullet"/>
        <w:rPr>
          <w:b/>
          <w:bCs/>
        </w:rPr>
      </w:pPr>
      <w:r w:rsidRPr="02AC3778">
        <w:rPr>
          <w:b/>
          <w:bCs/>
        </w:rPr>
        <w:t xml:space="preserve">Lender preparation: </w:t>
      </w:r>
      <w:r>
        <w:t>Although RLS 1.0 was developed with a longer lead</w:t>
      </w:r>
      <w:r w:rsidR="002E562D">
        <w:t>-</w:t>
      </w:r>
      <w:r>
        <w:t xml:space="preserve">in time than the </w:t>
      </w:r>
      <w:r w:rsidR="3C580A7C">
        <w:t>Covid</w:t>
      </w:r>
      <w:r>
        <w:t xml:space="preserve">-19 </w:t>
      </w:r>
      <w:r w:rsidR="1ACDD46D">
        <w:t xml:space="preserve">Loan Guarantee </w:t>
      </w:r>
      <w:r w:rsidR="00B34445">
        <w:t>S</w:t>
      </w:r>
      <w:r>
        <w:t xml:space="preserve">chemes, a risk was still highlighted that accredited lenders may not be in a position to begin lending in a prompt manner, which would limit access to finance for businesses at a crucial time.   </w:t>
      </w:r>
    </w:p>
    <w:p w14:paraId="50B0323F" w14:textId="77777777" w:rsidR="00CD4D85" w:rsidRDefault="00CD4D85" w:rsidP="003B2EF1">
      <w:pPr>
        <w:pStyle w:val="Heading3"/>
      </w:pPr>
      <w:r>
        <w:t>Skills and capacity</w:t>
      </w:r>
    </w:p>
    <w:p w14:paraId="12847F4B" w14:textId="75F213DC" w:rsidR="00CD4D85" w:rsidRDefault="00CD4D85" w:rsidP="003B2EF1">
      <w:pPr>
        <w:rPr>
          <w:sz w:val="22"/>
        </w:rPr>
      </w:pPr>
      <w:r>
        <w:t>Most stakeholders consulted reported that an appropriate set of skills and expertise were used to design RLS</w:t>
      </w:r>
      <w:r w:rsidR="00C236F3">
        <w:t xml:space="preserve"> 1.0</w:t>
      </w:r>
      <w:r>
        <w:t>. The key expertise which was utilised in the design phase comprised:</w:t>
      </w:r>
    </w:p>
    <w:p w14:paraId="00142303" w14:textId="3FD4485A" w:rsidR="00CD4D85" w:rsidRDefault="00A10525" w:rsidP="00CD4D85">
      <w:pPr>
        <w:pStyle w:val="ListBullet"/>
      </w:pPr>
      <w:r>
        <w:t>BBB</w:t>
      </w:r>
      <w:r w:rsidR="00CD4D85">
        <w:t xml:space="preserve"> and its knowledge of the delivery of the EFG and </w:t>
      </w:r>
      <w:r>
        <w:t>Covid</w:t>
      </w:r>
      <w:r w:rsidR="00CD4D85">
        <w:t xml:space="preserve">-19 </w:t>
      </w:r>
      <w:r w:rsidR="00B37DA9">
        <w:t xml:space="preserve">Loan Guarantee </w:t>
      </w:r>
      <w:r w:rsidR="00B34445">
        <w:t>S</w:t>
      </w:r>
      <w:r w:rsidR="00CD4D85">
        <w:t xml:space="preserve">chemes, and how the parameters of the scheme would lead to take-up, default rates etc. </w:t>
      </w:r>
    </w:p>
    <w:p w14:paraId="1F8FD780" w14:textId="0F8D6306" w:rsidR="00CD4D85" w:rsidRDefault="00CD4D85" w:rsidP="00CD4D85">
      <w:pPr>
        <w:pStyle w:val="ListBullet"/>
      </w:pPr>
      <w:r>
        <w:t>Lenders and UK Finance, to provide input from the finance industry about what would be feasible for lenders to deliver and to provide indications of market interest in RLS</w:t>
      </w:r>
      <w:r w:rsidR="00C236F3">
        <w:t xml:space="preserve"> 1.0</w:t>
      </w:r>
      <w:r>
        <w:t>.</w:t>
      </w:r>
    </w:p>
    <w:p w14:paraId="6C4AFFD2" w14:textId="77777777" w:rsidR="00CD4D85" w:rsidRDefault="00CD4D85" w:rsidP="00CD4D85">
      <w:pPr>
        <w:pStyle w:val="ListBullet"/>
      </w:pPr>
      <w:r>
        <w:t>HM Treasury and DBT to provide input and expertise on what the schemes needed to achieve, and to provide legal expertise on State aid and Subsidy Control requirements.</w:t>
      </w:r>
    </w:p>
    <w:p w14:paraId="14451D38" w14:textId="77777777" w:rsidR="00CD4D85" w:rsidRDefault="00CD4D85" w:rsidP="003B2EF1">
      <w:r>
        <w:t xml:space="preserve">The involvement of lenders in the scheme design phase was highlighted as a particularly important feature of the process. As the schemes needed to be operational very quickly, they needed to be designed in a way that aligned with existing operational systems and resources of potential lenders. </w:t>
      </w:r>
    </w:p>
    <w:p w14:paraId="3A7E9F9F" w14:textId="77777777" w:rsidR="00CD4D85" w:rsidRDefault="00CD4D85"/>
    <w:p w14:paraId="36ADE96D" w14:textId="77777777" w:rsidR="003B2EF1" w:rsidRDefault="003B2EF1" w:rsidP="003B2EF1">
      <w:pPr>
        <w:pStyle w:val="Heading2"/>
      </w:pPr>
      <w:bookmarkStart w:id="23" w:name="_Toc161327581"/>
      <w:r>
        <w:t>Lender accreditation and scheme establishment</w:t>
      </w:r>
      <w:bookmarkEnd w:id="21"/>
      <w:bookmarkEnd w:id="23"/>
    </w:p>
    <w:p w14:paraId="09B89332" w14:textId="53EEF8B3" w:rsidR="00CD4D85" w:rsidRDefault="3160242B" w:rsidP="003B2EF1">
      <w:bookmarkStart w:id="24" w:name="_Toc146230591"/>
      <w:r>
        <w:t>RLS</w:t>
      </w:r>
      <w:r w:rsidR="00C236F3">
        <w:t xml:space="preserve"> 1.0</w:t>
      </w:r>
      <w:r>
        <w:t xml:space="preserve"> required lenders to become accredited to allow them to offer lending through the scheme. This aimed to ensure lenders were reputable, financially stable and regulated (where required), had access to capital to provide the schemes, had adequate systems and staffing in place to deliver the schemes, and would follow the scheme requirements. BBB </w:t>
      </w:r>
      <w:r w:rsidR="002E562D">
        <w:t>accredited 8</w:t>
      </w:r>
      <w:r w:rsidR="005256A9">
        <w:t>4</w:t>
      </w:r>
      <w:r w:rsidR="002E562D">
        <w:t xml:space="preserve"> lenders to deliver RLS </w:t>
      </w:r>
      <w:r>
        <w:t>1.0.</w:t>
      </w:r>
    </w:p>
    <w:p w14:paraId="08F399EB" w14:textId="77777777" w:rsidR="00CD4D85" w:rsidRDefault="00CD4D85" w:rsidP="003B2EF1">
      <w:pPr>
        <w:pStyle w:val="Heading3"/>
      </w:pPr>
      <w:r>
        <w:t>Accreditation process</w:t>
      </w:r>
    </w:p>
    <w:p w14:paraId="04647B0E" w14:textId="1ACA1AAD" w:rsidR="00CD4D85" w:rsidRDefault="00CD4D85" w:rsidP="003B2EF1">
      <w:r>
        <w:t xml:space="preserve">The process adopted by BBB to accredit lenders to RLS </w:t>
      </w:r>
      <w:r w:rsidR="00C236F3">
        <w:t xml:space="preserve">1.0 </w:t>
      </w:r>
      <w:r>
        <w:t xml:space="preserve">was a streamlined version of the process to accredit lenders for CBILS. For lenders that were accredited on CBILS, a “fast-tracked” accreditation system was utilised, where information BBB held about lenders was used (with confirmation that the information was still accurate) where possible. This related to ownership details, corporate/business strategy, processes in place for debt collection and recovery, anti-fraud procedures, corporate governance. The fast-track approach was designed in an attempt to minimise the burden on lenders for data collection, and on BBB for assessing the information collected. </w:t>
      </w:r>
    </w:p>
    <w:p w14:paraId="1DD181C8" w14:textId="7FB723DC" w:rsidR="00CD4D85" w:rsidRDefault="00CD4D85" w:rsidP="003B2EF1">
      <w:r>
        <w:t xml:space="preserve">However, the accreditation process also included some new, more </w:t>
      </w:r>
      <w:r w:rsidR="00C42600">
        <w:t>in-</w:t>
      </w:r>
      <w:r>
        <w:t xml:space="preserve">depth information to be provided (around structures of the company and governance), and information to be provided about the pricing approach to be used for the scheme, and up to date information about its accounts and proposed lending strategy.  </w:t>
      </w:r>
    </w:p>
    <w:p w14:paraId="096CAA41" w14:textId="0EFA4615" w:rsidR="00CD4D85" w:rsidRDefault="00CD4D85" w:rsidP="003B2EF1">
      <w:r>
        <w:t xml:space="preserve">The fast-track process was split into three categories, based on the level of finance that the lender was able to provide – with larger lenders being assessed first. This was done in order to maximise the speed of the </w:t>
      </w:r>
      <w:r w:rsidR="002E562D">
        <w:t>roll</w:t>
      </w:r>
      <w:r w:rsidR="005256A9">
        <w:t>-</w:t>
      </w:r>
      <w:r w:rsidR="002E562D">
        <w:t xml:space="preserve">out of </w:t>
      </w:r>
      <w:r>
        <w:t>the scheme.</w:t>
      </w:r>
    </w:p>
    <w:p w14:paraId="28CC35DD" w14:textId="19A4A089" w:rsidR="00CD4D85" w:rsidRDefault="00CD4D85" w:rsidP="003B2EF1">
      <w:r>
        <w:t>Consultees generally indicated that the accreditation process for RLS 1.0 was much quicker than was the case for CBILS, and previously the EFG scheme, although data indicating duration of time for accreditation was not available. Anecdotal evidence from the interviews with accredited lenders suggested the process could be completed in under a month</w:t>
      </w:r>
      <w:r w:rsidR="00E820D7">
        <w:t>, which was a shorter period than experienced for most lenders for CBILS, CLBILS and BBLS</w:t>
      </w:r>
      <w:r>
        <w:t xml:space="preserve">. This was because of the reduced time required to collect information for the lenders, the existing knowledge of CBILS accredited lenders about what information was required to become an accredited lender, and the skills and </w:t>
      </w:r>
      <w:r w:rsidR="002E562D">
        <w:t xml:space="preserve">capacity </w:t>
      </w:r>
      <w:r w:rsidR="005256A9">
        <w:t>of</w:t>
      </w:r>
      <w:r w:rsidR="002E562D">
        <w:t xml:space="preserve"> BBB staff </w:t>
      </w:r>
      <w:r>
        <w:t xml:space="preserve">meaning they could address the volume of applications received. </w:t>
      </w:r>
    </w:p>
    <w:p w14:paraId="3D3B263E" w14:textId="29488C6D" w:rsidR="00CD4D85" w:rsidRDefault="3160242B" w:rsidP="003B2EF1">
      <w:r>
        <w:t xml:space="preserve">BBB </w:t>
      </w:r>
      <w:r w:rsidR="4CB09F80">
        <w:t xml:space="preserve">accredited </w:t>
      </w:r>
      <w:r>
        <w:t>a total of 8</w:t>
      </w:r>
      <w:r w:rsidR="005256A9">
        <w:t>4</w:t>
      </w:r>
      <w:r>
        <w:t xml:space="preserve"> </w:t>
      </w:r>
      <w:r w:rsidR="005256A9">
        <w:t xml:space="preserve">lenders </w:t>
      </w:r>
      <w:r>
        <w:t>to deliver RLS 1.0 and 8</w:t>
      </w:r>
      <w:r w:rsidR="005256A9">
        <w:t>2</w:t>
      </w:r>
      <w:r>
        <w:t xml:space="preserve"> provided finance through the scheme. </w:t>
      </w:r>
      <w:r w:rsidR="4CB09F80">
        <w:t xml:space="preserve">Not all lenders that expressed an interest in RLS 1.0 or applied to participate in the scheme were successful. </w:t>
      </w:r>
      <w:r>
        <w:t xml:space="preserve">Most lenders that were not accredited were reported to not proceed with their application rather than formally being declined. This occurred because prospective lenders would be informed as early as possible where the initial information provided indicated they would not be eligible (to ensure the lender and BBB staff did not expend resources on applications that would not be successful). </w:t>
      </w:r>
    </w:p>
    <w:p w14:paraId="2136F2E4" w14:textId="3D54F936" w:rsidR="00CD4D85" w:rsidRDefault="3160242B" w:rsidP="003B2EF1">
      <w:r>
        <w:t xml:space="preserve">BBB accredited a broad variety of different types of lenders to deliver </w:t>
      </w:r>
      <w:r w:rsidR="00447A72">
        <w:t>RLS 1.0</w:t>
      </w:r>
      <w:r>
        <w:t>. 2</w:t>
      </w:r>
      <w:r w:rsidR="00CC4BC9">
        <w:t>8</w:t>
      </w:r>
      <w:r>
        <w:t xml:space="preserve"> of the </w:t>
      </w:r>
      <w:r w:rsidR="00973EB3">
        <w:t>8</w:t>
      </w:r>
      <w:r w:rsidR="00CC4BC9">
        <w:t>2</w:t>
      </w:r>
      <w:r w:rsidR="00D45190">
        <w:t xml:space="preserve"> </w:t>
      </w:r>
      <w:r>
        <w:t xml:space="preserve">lenders </w:t>
      </w:r>
      <w:r w:rsidR="4CB09F80">
        <w:t xml:space="preserve">that provided facilities through the scheme </w:t>
      </w:r>
      <w:r>
        <w:t xml:space="preserve">were regulated banks, with the remainder a broad mix of alternative finance providers. </w:t>
      </w:r>
    </w:p>
    <w:p w14:paraId="5410CA8D" w14:textId="5C1205DB" w:rsidR="00CD4D85" w:rsidRDefault="00CD4D85" w:rsidP="003B2EF1">
      <w:pPr>
        <w:pStyle w:val="Heading5"/>
      </w:pPr>
      <w:r>
        <w:t xml:space="preserve">Figure </w:t>
      </w:r>
      <w:r>
        <w:fldChar w:fldCharType="begin"/>
      </w:r>
      <w:r>
        <w:instrText xml:space="preserve"> SEQ Figure \* ARABIC </w:instrText>
      </w:r>
      <w:r>
        <w:fldChar w:fldCharType="separate"/>
      </w:r>
      <w:r w:rsidR="001525E9">
        <w:rPr>
          <w:noProof/>
        </w:rPr>
        <w:t>4</w:t>
      </w:r>
      <w:r>
        <w:rPr>
          <w:noProof/>
        </w:rPr>
        <w:fldChar w:fldCharType="end"/>
      </w:r>
      <w:r>
        <w:t>: Accredited lender</w:t>
      </w:r>
      <w:r w:rsidR="00D71318">
        <w:t>s</w:t>
      </w:r>
      <w:r w:rsidR="00973EB3">
        <w:t xml:space="preserve"> </w:t>
      </w:r>
      <w:r w:rsidR="00293255">
        <w:t xml:space="preserve">that provided finance through </w:t>
      </w:r>
      <w:r w:rsidR="001B2A2C">
        <w:t>RLS 1.0</w:t>
      </w:r>
      <w:r>
        <w:t xml:space="preserve"> by type of lender</w:t>
      </w:r>
    </w:p>
    <w:p w14:paraId="23376621" w14:textId="77777777" w:rsidR="00CD4D85" w:rsidRDefault="00CD4D85" w:rsidP="003B2EF1">
      <w:r>
        <w:rPr>
          <w:noProof/>
        </w:rPr>
        <w:drawing>
          <wp:inline distT="0" distB="0" distL="0" distR="0" wp14:anchorId="19DD11CC" wp14:editId="11171459">
            <wp:extent cx="5915025" cy="3400425"/>
            <wp:effectExtent l="0" t="0" r="0" b="0"/>
            <wp:docPr id="1310110996" name="Chart 5">
              <a:extLst xmlns:a="http://schemas.openxmlformats.org/drawingml/2006/main">
                <a:ext uri="{FF2B5EF4-FFF2-40B4-BE49-F238E27FC236}">
                  <a16:creationId xmlns:a16="http://schemas.microsoft.com/office/drawing/2014/main" id="{1D766386-EA18-59D6-5DBF-14D89118A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55D0D7" w14:textId="3D33F8A1" w:rsidR="00CD4D85" w:rsidRDefault="00CD4D85" w:rsidP="003B2EF1">
      <w:pPr>
        <w:rPr>
          <w:color w:val="555674"/>
        </w:rPr>
      </w:pPr>
      <w:r w:rsidRPr="5E72E77E">
        <w:rPr>
          <w:color w:val="555674"/>
        </w:rPr>
        <w:t xml:space="preserve">Source: </w:t>
      </w:r>
      <w:r w:rsidR="00A10525" w:rsidRPr="5E72E77E">
        <w:rPr>
          <w:color w:val="555674"/>
        </w:rPr>
        <w:t>BBB</w:t>
      </w:r>
      <w:r w:rsidRPr="5E72E77E">
        <w:rPr>
          <w:color w:val="555674"/>
        </w:rPr>
        <w:t xml:space="preserve"> Management Information, </w:t>
      </w:r>
      <w:r w:rsidR="39E50726" w:rsidRPr="5E72E77E">
        <w:rPr>
          <w:color w:val="555674"/>
        </w:rPr>
        <w:t>September 2023</w:t>
      </w:r>
      <w:r w:rsidR="4D75A37A" w:rsidRPr="5E72E77E">
        <w:rPr>
          <w:color w:val="555674"/>
        </w:rPr>
        <w:t>.</w:t>
      </w:r>
      <w:r w:rsidRPr="5E72E77E">
        <w:rPr>
          <w:color w:val="555674"/>
        </w:rPr>
        <w:t xml:space="preserve"> </w:t>
      </w:r>
    </w:p>
    <w:p w14:paraId="3A397B35" w14:textId="77777777" w:rsidR="00CD4D85" w:rsidRDefault="00CD4D85" w:rsidP="003B2EF1">
      <w:r>
        <w:t>The accreditation process was considered largely straightforward and proportionate, however a small number of challenges were highlighted:</w:t>
      </w:r>
    </w:p>
    <w:p w14:paraId="4A387572" w14:textId="37042957" w:rsidR="00CD4D85" w:rsidRDefault="00CD4D85" w:rsidP="00CD4D85">
      <w:pPr>
        <w:pStyle w:val="ListBullet"/>
      </w:pPr>
      <w:r>
        <w:rPr>
          <w:b/>
          <w:bCs/>
        </w:rPr>
        <w:t>Pricing matrix:</w:t>
      </w:r>
      <w:r>
        <w:t xml:space="preserve"> A pricing matrix was a documentary part of the application process which provided evidence of the price lenders would charge businesses for facilities. Although most lenders reported that it was relatively straightforward to collect the information required for the accreditation process, some lenders, particularly non-bank lenders, reported challenges in completing the pricing matrix. Non-bank lenders reported that the process appeared to be tailored to traditional banks. While this was considered logical given the relative volume of bank and non-bank lending expected, non-bank lenders reported that it was challenging to complete the pricing matrix demonstrating they were passing on the benefit of the guarantee. This was due to their approach of pricing on a business-by-business basis rather than offering a suite of products. Many lenders reported it took many iterations to agree the pricing matrix with BBB, delaying their ability to offer the product.</w:t>
      </w:r>
    </w:p>
    <w:p w14:paraId="72FE8468" w14:textId="3B81FC0D" w:rsidR="00CD4D85" w:rsidRDefault="00CD4D85" w:rsidP="00CD4D85">
      <w:pPr>
        <w:pStyle w:val="ListBullet"/>
      </w:pPr>
      <w:r>
        <w:rPr>
          <w:b/>
          <w:bCs/>
        </w:rPr>
        <w:t xml:space="preserve">Information transferred from CBILS: </w:t>
      </w:r>
      <w:r>
        <w:t>A small number of accredited lenders reported that information that they expected to be transferred across from their CBILS accreditation was not, and they had to collect and resubmit information already held by BBB. This was reported to be information that was held by BBB and had not altered (for example ownership details). This meant that the completion of information for</w:t>
      </w:r>
      <w:r w:rsidR="002E562D">
        <w:t xml:space="preserve"> the</w:t>
      </w:r>
      <w:r>
        <w:t xml:space="preserve"> accreditation process was more intensive than could have been the case for these lenders. However, it should be noted that this was a minority of the lenders consulted.</w:t>
      </w:r>
    </w:p>
    <w:p w14:paraId="292A7C80" w14:textId="77777777" w:rsidR="00CD4D85" w:rsidRDefault="00CD4D85" w:rsidP="003B2EF1">
      <w:r>
        <w:t>Despite these challenges, most lenders reported that the accreditation was straightforward. They also reported a good level of engagement and advice from BBB during the process. BBB staff were described as being responsive and providing helpful information to lenders to ensure that they were providing the correct information for the accreditation process. Further, as described above, where lenders were not going to be able to pass the accreditation process, BBB staff fed this information back to lenders at an early stage.</w:t>
      </w:r>
    </w:p>
    <w:p w14:paraId="659E5B48" w14:textId="77777777" w:rsidR="00CD4D85" w:rsidRDefault="00CD4D85" w:rsidP="003B2EF1">
      <w:r>
        <w:t>Following the accreditation process there was a requirement that lenders provided training to their staff. This training was around the aims and objectives of the scheme, the eligibility criteria, the streamlined ‘undertaking in difficulty’ test, the additionality test, and data sharing arrangements between the lender and BBB. Guidance and training materials were provided by BBB, and key documentation included a lender manual and training materials.</w:t>
      </w:r>
    </w:p>
    <w:p w14:paraId="0720D2EB" w14:textId="60023FCB" w:rsidR="00CD4D85" w:rsidRDefault="00CD4D85" w:rsidP="003B2EF1">
      <w:r>
        <w:t xml:space="preserve">The quality and usefulness of the documentation was reported by lenders to be high and improved compared to the </w:t>
      </w:r>
      <w:r w:rsidR="00A10525">
        <w:t>Covid</w:t>
      </w:r>
      <w:r>
        <w:t xml:space="preserve">-19 </w:t>
      </w:r>
      <w:r w:rsidR="00B37DA9">
        <w:t xml:space="preserve">Loan Guarantee </w:t>
      </w:r>
      <w:r w:rsidR="00B34445">
        <w:t>S</w:t>
      </w:r>
      <w:r>
        <w:t xml:space="preserve">chemes. The documentation was reported to be provided in a timely manner, covered all relevant topics and did not require re-issues with updates (as was the case with the </w:t>
      </w:r>
      <w:r w:rsidR="00A10525">
        <w:t>Covid</w:t>
      </w:r>
      <w:r>
        <w:t xml:space="preserve">-19 </w:t>
      </w:r>
      <w:r w:rsidR="00B37DA9">
        <w:t>Loan Guarantee</w:t>
      </w:r>
      <w:r>
        <w:t xml:space="preserve"> </w:t>
      </w:r>
      <w:r w:rsidR="00B34445">
        <w:t>S</w:t>
      </w:r>
      <w:r>
        <w:t xml:space="preserve">chemes). One reason for this was reported to be the learning from the </w:t>
      </w:r>
      <w:r w:rsidR="00A10525">
        <w:t>Covid</w:t>
      </w:r>
      <w:r>
        <w:t xml:space="preserve">-19 </w:t>
      </w:r>
      <w:r w:rsidR="00B37DA9">
        <w:t xml:space="preserve">Loan Guarantee </w:t>
      </w:r>
      <w:r w:rsidR="00B34445">
        <w:t>S</w:t>
      </w:r>
      <w:r>
        <w:t>chemes (as RLS</w:t>
      </w:r>
      <w:r w:rsidR="00C236F3">
        <w:t xml:space="preserve"> 1.0</w:t>
      </w:r>
      <w:r>
        <w:t xml:space="preserve"> was similar to CBILS, so issues that had been addressed in the CBILS materials were not present in the RLS </w:t>
      </w:r>
      <w:r w:rsidR="00C236F3">
        <w:t xml:space="preserve">1.0 </w:t>
      </w:r>
      <w:r>
        <w:t xml:space="preserve">documentation) and there was more of a </w:t>
      </w:r>
      <w:r w:rsidR="002E562D">
        <w:t>lead</w:t>
      </w:r>
      <w:r w:rsidR="005256A9">
        <w:t>-</w:t>
      </w:r>
      <w:r w:rsidR="002E562D">
        <w:t xml:space="preserve">in time </w:t>
      </w:r>
      <w:r>
        <w:t xml:space="preserve">for the scheme. Lenders reported one of the key bits of information included in the guidance and training was around the additionality test, which was a major difference to the CBILS scheme – but that the information provided by BBB for this was sufficient for their purposes. </w:t>
      </w:r>
    </w:p>
    <w:p w14:paraId="11483B38" w14:textId="77777777" w:rsidR="00CD4D85" w:rsidRDefault="00CD4D85" w:rsidP="003B2EF1">
      <w:r>
        <w:t xml:space="preserve">As highlighted above, the accreditation and contracting process aimed to ensure that lenders were financially robust, adopted appropriate processes in making lending decisions, and committed sufficient resources to fraud detection and debt recovery. No stakeholders consulted raised any significant concerns regarding the approach adopted to the accreditation of lenders. They felt that appropriate information and data was used to assess lenders and their suitability for the scheme. No lender has been removed from the scheme. </w:t>
      </w:r>
    </w:p>
    <w:p w14:paraId="1B148F84" w14:textId="77777777" w:rsidR="00CD4D85" w:rsidRDefault="00CD4D85" w:rsidP="003B2EF1">
      <w:pPr>
        <w:pStyle w:val="Heading3"/>
      </w:pPr>
      <w:r>
        <w:t>Business lending</w:t>
      </w:r>
    </w:p>
    <w:p w14:paraId="7ED268F5" w14:textId="60618203" w:rsidR="00CD4D85" w:rsidRDefault="3160242B" w:rsidP="003B2EF1">
      <w:r>
        <w:t>RLS</w:t>
      </w:r>
      <w:r w:rsidR="2B3303AD">
        <w:t xml:space="preserve"> 1.0</w:t>
      </w:r>
      <w:r>
        <w:t xml:space="preserve"> provided </w:t>
      </w:r>
      <w:r w:rsidR="44654994">
        <w:t>just under £2.8bn</w:t>
      </w:r>
      <w:r>
        <w:t xml:space="preserve"> in guaranteed lending facilities to</w:t>
      </w:r>
      <w:r w:rsidR="00973EB3">
        <w:t xml:space="preserve"> </w:t>
      </w:r>
      <w:r w:rsidR="59F962BD">
        <w:t>c.</w:t>
      </w:r>
      <w:r w:rsidR="48EC0B51">
        <w:t>10,000</w:t>
      </w:r>
      <w:r>
        <w:t xml:space="preserve"> businesses. </w:t>
      </w:r>
    </w:p>
    <w:p w14:paraId="69116D12" w14:textId="00C96D28" w:rsidR="00CD4D85" w:rsidRDefault="00CD4D85" w:rsidP="003B2EF1">
      <w:r>
        <w:t xml:space="preserve">BBB did not prescribe lending processes adopted in the delivery of RLS. Lenders reported that they followed a similar approach and required similar information to Business As Usual (BAU) lending processes and for CBILS. This involved conversations between the business and their relationship manager, where forms were either completed by the relationship manager or sent to the business to complete after the call. Once the documents were completed and provided, these would be sent on to the risk or credit assessment team. </w:t>
      </w:r>
    </w:p>
    <w:p w14:paraId="5C92454C" w14:textId="77777777" w:rsidR="00CD4D85" w:rsidRDefault="00CD4D85" w:rsidP="003B2EF1">
      <w:r>
        <w:t>There were limited differences in the application process for RLS compared to the approach taken for CBILS in terms of the information collected from businesses. There were some slight differences in how lenders assessed the information (in order for the lending to be in line with scheme parameters, for example the additionality test).</w:t>
      </w:r>
    </w:p>
    <w:p w14:paraId="727954D1" w14:textId="77777777" w:rsidR="00CD4D85" w:rsidRDefault="00CD4D85" w:rsidP="003B2EF1">
      <w:r>
        <w:t xml:space="preserve">Most bank lenders described making minor amendments to the loan applications used for CBILS (mainly around wording), which were in themselves minor amendments to commercial loan application forms. This was reported to be a very straightforward task. </w:t>
      </w:r>
    </w:p>
    <w:p w14:paraId="33B7B875" w14:textId="5A51B032" w:rsidR="00CD4D85" w:rsidRDefault="00CD4D85" w:rsidP="003B2EF1">
      <w:r>
        <w:t>Accredited lenders reported that they did not advertise for RLS products. They were included in lists on BBB</w:t>
      </w:r>
      <w:r w:rsidR="00F8069D">
        <w:t>’s</w:t>
      </w:r>
      <w:r>
        <w:t xml:space="preserve"> website and included notifications that they offered the scheme on their own websites but did not advertise particular products, which was the same approach as taken for CBILS and CLBILS. </w:t>
      </w:r>
    </w:p>
    <w:p w14:paraId="2A2C34F3" w14:textId="24BE9213" w:rsidR="00CD4D85" w:rsidRDefault="00987646" w:rsidP="003B2EF1">
      <w:pPr>
        <w:pStyle w:val="Heading3"/>
      </w:pPr>
      <w:r>
        <w:t>Business a</w:t>
      </w:r>
      <w:r w:rsidR="00CD4D85">
        <w:t xml:space="preserve">pplications and </w:t>
      </w:r>
      <w:r>
        <w:t>facilities provided</w:t>
      </w:r>
    </w:p>
    <w:p w14:paraId="7CF81CF3" w14:textId="7AC341A0" w:rsidR="00CD4D85" w:rsidRDefault="3C580A7C" w:rsidP="02AC3778">
      <w:r>
        <w:t>BBB</w:t>
      </w:r>
      <w:r w:rsidR="3160242B">
        <w:t xml:space="preserve"> monitoring data indicates that lenders </w:t>
      </w:r>
      <w:r w:rsidR="7994AAD9">
        <w:t>provided</w:t>
      </w:r>
      <w:r w:rsidR="32510AD8">
        <w:t xml:space="preserve"> </w:t>
      </w:r>
      <w:r w:rsidR="25535837">
        <w:t>ju</w:t>
      </w:r>
      <w:r w:rsidR="3025B5E2">
        <w:t>st under 11,000</w:t>
      </w:r>
      <w:r w:rsidR="3160242B">
        <w:t xml:space="preserve"> facilities, with a total value of </w:t>
      </w:r>
      <w:r w:rsidR="24692421">
        <w:t xml:space="preserve">just under </w:t>
      </w:r>
      <w:r w:rsidR="3160242B">
        <w:t>£</w:t>
      </w:r>
      <w:r w:rsidR="7FE88EC0">
        <w:t>2</w:t>
      </w:r>
      <w:r w:rsidR="3160242B">
        <w:t xml:space="preserve">.8bn. </w:t>
      </w:r>
    </w:p>
    <w:p w14:paraId="557B8BD7" w14:textId="6C1618B7" w:rsidR="00CD4D85" w:rsidRDefault="00CD4D85" w:rsidP="003B2EF1">
      <w:r>
        <w:t>This highlights that the scheme</w:t>
      </w:r>
      <w:r w:rsidR="009D761B">
        <w:t>, as was originally intended, has not provided facilities to a large proportion of</w:t>
      </w:r>
      <w:r w:rsidR="009D761B" w:rsidDel="009D761B">
        <w:t xml:space="preserve"> </w:t>
      </w:r>
      <w:r w:rsidR="009D761B">
        <w:t xml:space="preserve">the </w:t>
      </w:r>
      <w:r>
        <w:t xml:space="preserve">UK economy, with ONS business population figures indicating that 0.2% of businesses in the UK used RLS 1.0. Research </w:t>
      </w:r>
      <w:r w:rsidR="005256A9">
        <w:t xml:space="preserve">published </w:t>
      </w:r>
      <w:r>
        <w:t>by BBB indicates that 44% of SME businesses could be categorised as permanent non-borrowers in 2021/22</w:t>
      </w:r>
      <w:r w:rsidR="005256A9">
        <w:rPr>
          <w:rStyle w:val="FootnoteReference"/>
        </w:rPr>
        <w:footnoteReference w:id="22"/>
      </w:r>
      <w:r>
        <w:t xml:space="preserve"> – which indicates that penetration among businesses that actively use external finance was around 0.4%. Analysis of the businesses supported </w:t>
      </w:r>
      <w:r w:rsidR="002E562D">
        <w:t xml:space="preserve">by </w:t>
      </w:r>
      <w:r w:rsidR="002E562D" w:rsidDel="001A4848">
        <w:t>RLS</w:t>
      </w:r>
      <w:r w:rsidR="002E562D">
        <w:t xml:space="preserve"> </w:t>
      </w:r>
      <w:r>
        <w:t xml:space="preserve">1.0 shows that there was a relatively even distribution of businesses supported across the UK, with between 0.1% and 0.2% of businesses supported in all areas of the UK (see Figure </w:t>
      </w:r>
      <w:r w:rsidR="00700EB8">
        <w:t>5</w:t>
      </w:r>
      <w:r>
        <w:t>).</w:t>
      </w:r>
    </w:p>
    <w:p w14:paraId="7FB090CB" w14:textId="3014E195" w:rsidR="00CD4D85" w:rsidRDefault="00CD4D85" w:rsidP="003B2EF1">
      <w:pPr>
        <w:pStyle w:val="Heading5"/>
      </w:pPr>
      <w:r>
        <w:t xml:space="preserve">Figure </w:t>
      </w:r>
      <w:r>
        <w:fldChar w:fldCharType="begin"/>
      </w:r>
      <w:r>
        <w:instrText xml:space="preserve"> SEQ Figure \* ARABIC </w:instrText>
      </w:r>
      <w:r>
        <w:fldChar w:fldCharType="separate"/>
      </w:r>
      <w:r w:rsidR="001525E9">
        <w:rPr>
          <w:noProof/>
        </w:rPr>
        <w:t>5</w:t>
      </w:r>
      <w:r>
        <w:rPr>
          <w:noProof/>
        </w:rPr>
        <w:fldChar w:fldCharType="end"/>
      </w:r>
      <w:r w:rsidR="000F24B2">
        <w:rPr>
          <w:noProof/>
        </w:rPr>
        <w:t>:</w:t>
      </w:r>
      <w:r>
        <w:t xml:space="preserve"> Businesses supported by RLS 1.0 as a proportion of total businesses by region</w:t>
      </w:r>
    </w:p>
    <w:p w14:paraId="33AFA5D8" w14:textId="77777777" w:rsidR="00CD4D85" w:rsidRDefault="00CD4D85" w:rsidP="003B2EF1">
      <w:r>
        <w:rPr>
          <w:noProof/>
        </w:rPr>
        <w:drawing>
          <wp:inline distT="0" distB="0" distL="0" distR="0" wp14:anchorId="1B609D56" wp14:editId="3D744E42">
            <wp:extent cx="6486525" cy="2971800"/>
            <wp:effectExtent l="0" t="0" r="0" b="0"/>
            <wp:docPr id="2474094" name="Chart 4">
              <a:extLst xmlns:a="http://schemas.openxmlformats.org/drawingml/2006/main">
                <a:ext uri="{FF2B5EF4-FFF2-40B4-BE49-F238E27FC236}">
                  <a16:creationId xmlns:a16="http://schemas.microsoft.com/office/drawing/2014/main" id="{C6592340-135E-8BB1-5551-043D80C99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7A3119" w14:textId="6D17981C" w:rsidR="00CD4D85" w:rsidRDefault="00CD4D85" w:rsidP="003B2EF1">
      <w:pPr>
        <w:rPr>
          <w:iCs/>
          <w:color w:val="555674"/>
          <w:szCs w:val="18"/>
        </w:rPr>
      </w:pPr>
      <w:r>
        <w:rPr>
          <w:iCs/>
          <w:color w:val="555674"/>
          <w:szCs w:val="18"/>
        </w:rPr>
        <w:t xml:space="preserve">Source: </w:t>
      </w:r>
      <w:r w:rsidR="00A10525">
        <w:rPr>
          <w:iCs/>
          <w:color w:val="555674"/>
          <w:szCs w:val="18"/>
        </w:rPr>
        <w:t>BBB</w:t>
      </w:r>
      <w:r>
        <w:rPr>
          <w:iCs/>
          <w:color w:val="555674"/>
          <w:szCs w:val="18"/>
        </w:rPr>
        <w:t xml:space="preserve"> Management Information, </w:t>
      </w:r>
      <w:r w:rsidR="00973EB3">
        <w:rPr>
          <w:iCs/>
          <w:color w:val="555674"/>
          <w:szCs w:val="18"/>
        </w:rPr>
        <w:t xml:space="preserve">January </w:t>
      </w:r>
      <w:r>
        <w:rPr>
          <w:iCs/>
          <w:color w:val="555674"/>
          <w:szCs w:val="18"/>
        </w:rPr>
        <w:t>202</w:t>
      </w:r>
      <w:r w:rsidR="00973EB3">
        <w:rPr>
          <w:iCs/>
          <w:color w:val="555674"/>
          <w:szCs w:val="18"/>
        </w:rPr>
        <w:t>2</w:t>
      </w:r>
      <w:r>
        <w:rPr>
          <w:iCs/>
          <w:color w:val="555674"/>
          <w:szCs w:val="18"/>
        </w:rPr>
        <w:t xml:space="preserve">. </w:t>
      </w:r>
    </w:p>
    <w:p w14:paraId="0EBA7FED" w14:textId="4E7204CD" w:rsidR="00CD4D85" w:rsidRDefault="00CD4D85" w:rsidP="003B2EF1">
      <w:r>
        <w:t xml:space="preserve">There were some differences between the proportion of businesses which sought support through the scheme based on sector. Relatively small proportions </w:t>
      </w:r>
      <w:r w:rsidR="002E562D">
        <w:t>of education</w:t>
      </w:r>
      <w:r w:rsidR="005256A9">
        <w:t>,</w:t>
      </w:r>
      <w:r w:rsidR="002E562D">
        <w:t xml:space="preserve"> and arts</w:t>
      </w:r>
      <w:r w:rsidR="005256A9">
        <w:t xml:space="preserve"> and</w:t>
      </w:r>
      <w:r w:rsidR="002E562D">
        <w:t xml:space="preserve"> entertainment sector </w:t>
      </w:r>
      <w:r>
        <w:t>businesses took advantage of RLS 1.0. This could be because these types of businesses were less impacted by restrictions in 2021. However, some of the sectors which were more impacted by restrictions remaining in place and the aftereffects of restrictions in 2020, for example retail and accommodation and food, had slightly higher proportions of businesses being supported. This indicates that RLS 1.0 did help to fill a finance gap for businesses in those affected sectors that could not access commercial finance.</w:t>
      </w:r>
    </w:p>
    <w:p w14:paraId="23CA53AF" w14:textId="13DDC8FC" w:rsidR="00CD4D85" w:rsidRDefault="00CD4D85" w:rsidP="003B2EF1">
      <w:pPr>
        <w:pStyle w:val="Heading5"/>
      </w:pPr>
      <w:r>
        <w:t xml:space="preserve">Figure </w:t>
      </w:r>
      <w:r>
        <w:fldChar w:fldCharType="begin"/>
      </w:r>
      <w:r>
        <w:instrText xml:space="preserve"> SEQ Figure \* ARABIC </w:instrText>
      </w:r>
      <w:r>
        <w:fldChar w:fldCharType="separate"/>
      </w:r>
      <w:r w:rsidR="001525E9">
        <w:rPr>
          <w:noProof/>
        </w:rPr>
        <w:t>6</w:t>
      </w:r>
      <w:r>
        <w:rPr>
          <w:noProof/>
        </w:rPr>
        <w:fldChar w:fldCharType="end"/>
      </w:r>
      <w:r w:rsidR="000F24B2">
        <w:rPr>
          <w:noProof/>
        </w:rPr>
        <w:t>:</w:t>
      </w:r>
      <w:r>
        <w:t xml:space="preserve"> Businesses supported by RLS 1.0 as a proportion of total businesses by sector</w:t>
      </w:r>
    </w:p>
    <w:p w14:paraId="23F916F9" w14:textId="5FD40391" w:rsidR="00CD4D85" w:rsidRDefault="00CD4D85" w:rsidP="003B2EF1">
      <w:r>
        <w:rPr>
          <w:noProof/>
        </w:rPr>
        <w:drawing>
          <wp:inline distT="0" distB="0" distL="0" distR="0" wp14:anchorId="3792CF76" wp14:editId="31EB0F19">
            <wp:extent cx="6381750" cy="3324225"/>
            <wp:effectExtent l="0" t="0" r="0" b="0"/>
            <wp:docPr id="421345764" name="Chart 3">
              <a:extLst xmlns:a="http://schemas.openxmlformats.org/drawingml/2006/main">
                <a:ext uri="{FF2B5EF4-FFF2-40B4-BE49-F238E27FC236}">
                  <a16:creationId xmlns:a16="http://schemas.microsoft.com/office/drawing/2014/main" id="{D03BA467-6153-F4D1-A5D5-A7B9A9B30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F3235A" w14:textId="3F18DF97" w:rsidR="00CD4D85" w:rsidRDefault="00CD4D85" w:rsidP="003B2EF1">
      <w:pPr>
        <w:rPr>
          <w:iCs/>
          <w:color w:val="555674"/>
          <w:szCs w:val="18"/>
        </w:rPr>
      </w:pPr>
      <w:r>
        <w:rPr>
          <w:iCs/>
          <w:color w:val="555674"/>
          <w:szCs w:val="18"/>
        </w:rPr>
        <w:t xml:space="preserve">Source: </w:t>
      </w:r>
      <w:r w:rsidR="00A10525">
        <w:rPr>
          <w:iCs/>
          <w:color w:val="555674"/>
          <w:szCs w:val="18"/>
        </w:rPr>
        <w:t>BBB</w:t>
      </w:r>
      <w:r>
        <w:rPr>
          <w:iCs/>
          <w:color w:val="555674"/>
          <w:szCs w:val="18"/>
        </w:rPr>
        <w:t xml:space="preserve"> Management Information, </w:t>
      </w:r>
      <w:r w:rsidR="00973EB3">
        <w:rPr>
          <w:iCs/>
          <w:color w:val="555674"/>
          <w:szCs w:val="18"/>
        </w:rPr>
        <w:t xml:space="preserve">January </w:t>
      </w:r>
      <w:r>
        <w:rPr>
          <w:iCs/>
          <w:color w:val="555674"/>
          <w:szCs w:val="18"/>
        </w:rPr>
        <w:t>202</w:t>
      </w:r>
      <w:r w:rsidR="00973EB3">
        <w:rPr>
          <w:iCs/>
          <w:color w:val="555674"/>
          <w:szCs w:val="18"/>
        </w:rPr>
        <w:t>2</w:t>
      </w:r>
      <w:r>
        <w:rPr>
          <w:iCs/>
          <w:color w:val="555674"/>
          <w:szCs w:val="18"/>
        </w:rPr>
        <w:t xml:space="preserve">. </w:t>
      </w:r>
    </w:p>
    <w:p w14:paraId="7BA005D0" w14:textId="77777777" w:rsidR="00CD4D85" w:rsidRDefault="00CD4D85" w:rsidP="003B2EF1">
      <w:pPr>
        <w:pStyle w:val="Heading4"/>
      </w:pPr>
      <w:r>
        <w:t xml:space="preserve">Interest rates </w:t>
      </w:r>
    </w:p>
    <w:p w14:paraId="450BFFC3" w14:textId="77034333" w:rsidR="00CD4D85" w:rsidRDefault="3160242B" w:rsidP="003B2EF1">
      <w:r>
        <w:t xml:space="preserve">Interest rates offered are presented in Figure </w:t>
      </w:r>
      <w:r w:rsidR="00CC4BC9">
        <w:t>7</w:t>
      </w:r>
      <w:r>
        <w:t xml:space="preserve"> and Figure </w:t>
      </w:r>
      <w:r w:rsidR="00CC4BC9">
        <w:t>8</w:t>
      </w:r>
      <w:r w:rsidR="69AD54D7">
        <w:t>.</w:t>
      </w:r>
      <w:r>
        <w:t xml:space="preserve"> Lenders were permitted to vary interest rates for RLS 1.0 depending on their pricing matrix submitted as part of the accreditation process. This shows that through RLS 1.0 the majority of facilities were provided at an interest rate in excess of 6% (over 80% of facilities). Average commercial lending rates throughout 2021, as collected by the Bank of England, were between 2% and 3%. Although these commercial lending rates do not account for some additional costs which apply to non-bank lenders, it also </w:t>
      </w:r>
      <w:r w:rsidR="009D761B">
        <w:t>suggests that the different types of borrowers for many RLS 1.0 loans relative to commercial lending (as well as the design of the scheme)</w:t>
      </w:r>
      <w:r>
        <w:t xml:space="preserve"> </w:t>
      </w:r>
      <w:r w:rsidR="009D761B">
        <w:t xml:space="preserve">may be reflected in the rates. </w:t>
      </w:r>
    </w:p>
    <w:p w14:paraId="785FB7C6" w14:textId="237E2F61" w:rsidR="00CD4D85" w:rsidRDefault="3160242B" w:rsidP="003B2EF1">
      <w:r>
        <w:t xml:space="preserve">The indicative interest rates provided by different types of lenders is presented in Figure </w:t>
      </w:r>
      <w:r w:rsidR="00425AB2">
        <w:t>8</w:t>
      </w:r>
      <w:r>
        <w:t>. This shows that the average Annual Equivalent Rate (AER) by type of lender varies significantly.</w:t>
      </w:r>
      <w:r w:rsidR="00CD4D85">
        <w:rPr>
          <w:rStyle w:val="FootnoteReference"/>
        </w:rPr>
        <w:footnoteReference w:id="23"/>
      </w:r>
      <w:r>
        <w:t xml:space="preserve"> The average rate for banks is lower than for all other types of lenders – particularly social lenders which have the highest AER. This is as expected for the scheme, as alternative lenders would be sought if businesses cannot secure finance from their bank.</w:t>
      </w:r>
    </w:p>
    <w:p w14:paraId="0B1A2244" w14:textId="066AC7BC" w:rsidR="00CD4D85" w:rsidRDefault="00CD4D85" w:rsidP="003B2EF1">
      <w:r>
        <w:t xml:space="preserve">The higher interest rates provided by non-bank lenders compared to bank lenders should be expected. This is because of the customer base of non-bank lenders, particularly social lenders, which may not be able to access finance from bank lenders, and are potentially more at risk of default. This is discussed in more detail in the </w:t>
      </w:r>
      <w:r w:rsidR="24B37F9B">
        <w:t>‘</w:t>
      </w:r>
      <w:r>
        <w:t>Lender response to scheme parameter</w:t>
      </w:r>
      <w:r w:rsidR="0FE9392E">
        <w:t>s’</w:t>
      </w:r>
      <w:r>
        <w:t xml:space="preserve"> section.  </w:t>
      </w:r>
    </w:p>
    <w:p w14:paraId="04A13D95" w14:textId="2791FECF" w:rsidR="00CD4D85" w:rsidRDefault="3160242B" w:rsidP="003B2EF1">
      <w:pPr>
        <w:pStyle w:val="Heading5"/>
      </w:pPr>
      <w:r>
        <w:t xml:space="preserve">Figure </w:t>
      </w:r>
      <w:r w:rsidR="00CD4D85" w:rsidRPr="02AC3778">
        <w:fldChar w:fldCharType="begin"/>
      </w:r>
      <w:r w:rsidR="00CD4D85">
        <w:instrText xml:space="preserve"> SEQ Figure \* ARABIC </w:instrText>
      </w:r>
      <w:r w:rsidR="00CD4D85" w:rsidRPr="02AC3778">
        <w:fldChar w:fldCharType="separate"/>
      </w:r>
      <w:r w:rsidR="001525E9">
        <w:rPr>
          <w:noProof/>
        </w:rPr>
        <w:t>7</w:t>
      </w:r>
      <w:r w:rsidR="00CD4D85" w:rsidRPr="02AC3778">
        <w:rPr>
          <w:noProof/>
        </w:rPr>
        <w:fldChar w:fldCharType="end"/>
      </w:r>
      <w:r w:rsidR="0053637A">
        <w:rPr>
          <w:noProof/>
        </w:rPr>
        <w:t>:</w:t>
      </w:r>
      <w:r>
        <w:t xml:space="preserve"> Interest rates as a proportion of total facilities</w:t>
      </w:r>
    </w:p>
    <w:p w14:paraId="38C43D6B" w14:textId="644FE66F" w:rsidR="00CD4D85" w:rsidRDefault="00973EB3" w:rsidP="003B2EF1">
      <w:r w:rsidRPr="064C0780">
        <w:rPr>
          <w:noProof/>
        </w:rPr>
        <w:t xml:space="preserve"> </w:t>
      </w:r>
      <w:r w:rsidR="000975A4">
        <w:rPr>
          <w:noProof/>
        </w:rPr>
        <w:drawing>
          <wp:inline distT="0" distB="0" distL="0" distR="0" wp14:anchorId="68482164" wp14:editId="20EAB24A">
            <wp:extent cx="6324600" cy="3000375"/>
            <wp:effectExtent l="0" t="0" r="0" b="0"/>
            <wp:docPr id="1425297803" name="Chart 1">
              <a:extLst xmlns:a="http://schemas.openxmlformats.org/drawingml/2006/main">
                <a:ext uri="{FF2B5EF4-FFF2-40B4-BE49-F238E27FC236}">
                  <a16:creationId xmlns:a16="http://schemas.microsoft.com/office/drawing/2014/main" id="{3E313E58-E376-DA2C-CB79-D390F7F42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7505DD" w14:textId="26921FAC" w:rsidR="00CD4D85" w:rsidRDefault="00CD4D85" w:rsidP="003B2EF1">
      <w:pPr>
        <w:rPr>
          <w:iCs/>
          <w:color w:val="555674"/>
          <w:szCs w:val="18"/>
        </w:rPr>
      </w:pPr>
      <w:r>
        <w:rPr>
          <w:iCs/>
          <w:color w:val="555674"/>
          <w:szCs w:val="18"/>
        </w:rPr>
        <w:t xml:space="preserve">Source: </w:t>
      </w:r>
      <w:r w:rsidR="00A10525">
        <w:rPr>
          <w:iCs/>
          <w:color w:val="555674"/>
          <w:szCs w:val="18"/>
        </w:rPr>
        <w:t>BBB</w:t>
      </w:r>
      <w:r>
        <w:rPr>
          <w:iCs/>
          <w:color w:val="555674"/>
          <w:szCs w:val="18"/>
        </w:rPr>
        <w:t xml:space="preserve"> Management Information, </w:t>
      </w:r>
      <w:r w:rsidR="00973EB3">
        <w:rPr>
          <w:iCs/>
          <w:color w:val="555674"/>
          <w:szCs w:val="18"/>
        </w:rPr>
        <w:t>January 2022</w:t>
      </w:r>
      <w:r>
        <w:rPr>
          <w:iCs/>
          <w:color w:val="555674"/>
          <w:szCs w:val="18"/>
        </w:rPr>
        <w:t xml:space="preserve">. </w:t>
      </w:r>
    </w:p>
    <w:p w14:paraId="336EE0E1" w14:textId="7C8C0FA2" w:rsidR="00CD4D85" w:rsidRDefault="00CD4D85" w:rsidP="003B2EF1">
      <w:pPr>
        <w:pStyle w:val="Heading5"/>
      </w:pPr>
      <w:bookmarkStart w:id="25" w:name="_Ref158300771"/>
      <w:bookmarkStart w:id="26" w:name="_Ref158300764"/>
      <w:r>
        <w:t xml:space="preserve">Figure </w:t>
      </w:r>
      <w:r>
        <w:fldChar w:fldCharType="begin"/>
      </w:r>
      <w:r>
        <w:instrText xml:space="preserve"> SEQ Figure \* ARABIC </w:instrText>
      </w:r>
      <w:r>
        <w:fldChar w:fldCharType="separate"/>
      </w:r>
      <w:r w:rsidR="001525E9">
        <w:rPr>
          <w:noProof/>
        </w:rPr>
        <w:t>8</w:t>
      </w:r>
      <w:r>
        <w:rPr>
          <w:noProof/>
        </w:rPr>
        <w:fldChar w:fldCharType="end"/>
      </w:r>
      <w:bookmarkEnd w:id="25"/>
      <w:r w:rsidR="00BB4FF1">
        <w:rPr>
          <w:noProof/>
        </w:rPr>
        <w:t>:</w:t>
      </w:r>
      <w:r>
        <w:t xml:space="preserve"> Average AER by type of lender</w:t>
      </w:r>
      <w:bookmarkEnd w:id="26"/>
    </w:p>
    <w:p w14:paraId="3FB5D94D" w14:textId="77777777" w:rsidR="00CD4D85" w:rsidRDefault="00CD4D85" w:rsidP="003B2EF1">
      <w:pPr>
        <w:spacing w:after="0"/>
      </w:pPr>
      <w:r>
        <w:rPr>
          <w:noProof/>
        </w:rPr>
        <w:drawing>
          <wp:inline distT="0" distB="0" distL="0" distR="0" wp14:anchorId="3F178F06" wp14:editId="3B91E229">
            <wp:extent cx="6038850" cy="4076700"/>
            <wp:effectExtent l="0" t="0" r="0" b="0"/>
            <wp:docPr id="561192203" name="Chart 1">
              <a:extLst xmlns:a="http://schemas.openxmlformats.org/drawingml/2006/main">
                <a:ext uri="{FF2B5EF4-FFF2-40B4-BE49-F238E27FC236}">
                  <a16:creationId xmlns:a16="http://schemas.microsoft.com/office/drawing/2014/main" id="{806EC50F-DD62-CCDB-96ED-B84005949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5E3657" w14:textId="1D6D861F" w:rsidR="00CD4D85" w:rsidRDefault="00CD4D85" w:rsidP="003B2EF1">
      <w:pPr>
        <w:rPr>
          <w:iCs/>
          <w:color w:val="555674"/>
          <w:szCs w:val="18"/>
        </w:rPr>
      </w:pPr>
      <w:r>
        <w:rPr>
          <w:iCs/>
          <w:color w:val="555674"/>
          <w:szCs w:val="18"/>
        </w:rPr>
        <w:t xml:space="preserve">Source: </w:t>
      </w:r>
      <w:r w:rsidR="00A10525">
        <w:rPr>
          <w:iCs/>
          <w:color w:val="555674"/>
          <w:szCs w:val="18"/>
        </w:rPr>
        <w:t>BBB</w:t>
      </w:r>
      <w:r>
        <w:rPr>
          <w:iCs/>
          <w:color w:val="555674"/>
          <w:szCs w:val="18"/>
        </w:rPr>
        <w:t xml:space="preserve"> Management Information, </w:t>
      </w:r>
      <w:r w:rsidR="00973EB3">
        <w:rPr>
          <w:iCs/>
          <w:color w:val="555674"/>
          <w:szCs w:val="18"/>
        </w:rPr>
        <w:t>January 2022</w:t>
      </w:r>
      <w:r>
        <w:rPr>
          <w:iCs/>
          <w:color w:val="555674"/>
          <w:szCs w:val="18"/>
        </w:rPr>
        <w:t xml:space="preserve">. </w:t>
      </w:r>
    </w:p>
    <w:p w14:paraId="3F577981" w14:textId="77777777" w:rsidR="00CD4D85" w:rsidRDefault="00CD4D85"/>
    <w:p w14:paraId="138ACEF4" w14:textId="77777777" w:rsidR="003B2EF1" w:rsidRDefault="003B2EF1" w:rsidP="003B2EF1">
      <w:pPr>
        <w:pStyle w:val="Heading2"/>
      </w:pPr>
      <w:bookmarkStart w:id="27" w:name="_Toc161327582"/>
      <w:r>
        <w:t>Data sharing</w:t>
      </w:r>
      <w:bookmarkEnd w:id="24"/>
      <w:bookmarkEnd w:id="27"/>
    </w:p>
    <w:p w14:paraId="13D8CBC1" w14:textId="13D9196F" w:rsidR="00CD238D" w:rsidRDefault="00CD238D" w:rsidP="003B2EF1">
      <w:r>
        <w:t xml:space="preserve">Accredited lenders were required to share data with BBB about their lending portfolio for monitoring to ensure that accredited lenders were providing facilities in line with the lender agreements. The data </w:t>
      </w:r>
      <w:r w:rsidR="002E562D">
        <w:t xml:space="preserve">sharing </w:t>
      </w:r>
      <w:r w:rsidR="00676989">
        <w:t xml:space="preserve">agreements </w:t>
      </w:r>
      <w:r w:rsidR="002E562D">
        <w:t xml:space="preserve">required </w:t>
      </w:r>
      <w:r>
        <w:t xml:space="preserve">lenders to report the number of facilities offered and drawn down, the value of these facilities, characteristics of the businesses offered facilities and the terms of the facilities, value of repayments made, whether repayments were on schedule, the number and value of facilities in arrears, and any cases of default. </w:t>
      </w:r>
    </w:p>
    <w:p w14:paraId="7F0D6687" w14:textId="083FE110" w:rsidR="00CD238D" w:rsidRDefault="00CD238D" w:rsidP="003B2EF1">
      <w:r>
        <w:t xml:space="preserve">The findings from the research indicate that the data collected has served its intended purposes. The data collected by BBB has been useful in ensuring lenders complied with their lender agreement and has been shared within BBB and across steering and governance groups, keeping individuals involved in the governance informed of the cost to the public </w:t>
      </w:r>
      <w:r w:rsidR="002E562D">
        <w:t>purse</w:t>
      </w:r>
      <w:r w:rsidR="00676989">
        <w:t xml:space="preserve"> and</w:t>
      </w:r>
      <w:r w:rsidR="002E562D">
        <w:t xml:space="preserve"> the </w:t>
      </w:r>
      <w:r>
        <w:t>likely future cost. The information was reported by stakeholders to be useful in supporting the management of the scheme. Stakeholders did not raise any data fields that they would have liked to be included in the shared data that was not already present.</w:t>
      </w:r>
    </w:p>
    <w:p w14:paraId="40234AD2" w14:textId="7453BD95" w:rsidR="00CD238D" w:rsidRDefault="67ACDDD3" w:rsidP="003B2EF1">
      <w:r>
        <w:t xml:space="preserve">Although no data was available to independently verify the completeness, accuracy, or timeliness of data provided, stakeholders did not report any significant concerns with the quality of information provided. Accredited lenders also reported that some lessons had been learned from the </w:t>
      </w:r>
      <w:r w:rsidR="3C580A7C">
        <w:t>Covid</w:t>
      </w:r>
      <w:r>
        <w:t xml:space="preserve">-19 </w:t>
      </w:r>
      <w:r w:rsidR="1ACDD46D">
        <w:t xml:space="preserve">Loan Guarantee </w:t>
      </w:r>
      <w:r w:rsidR="007B725F">
        <w:t>S</w:t>
      </w:r>
      <w:r>
        <w:t>chemes around data collection. This related to the clarity of data fields being asked for and a lack of duplicate requests from different Government stakeholders. Accredited lenders also reported that Application Programming Interfaces (APIs)</w:t>
      </w:r>
      <w:r w:rsidR="00CD238D">
        <w:rPr>
          <w:rStyle w:val="FootnoteReference"/>
        </w:rPr>
        <w:footnoteReference w:id="24"/>
      </w:r>
      <w:r>
        <w:t xml:space="preserve"> were available for RLS 1.0, however the accredited lenders consulted used more manual means of submission (submitting data onto the portal). This was due to the size of the scheme and the number of facilities being provided being relatively small for most lenders, meaning that use of APIs was not appropriate. The size of the scheme was also highlighted as a reason </w:t>
      </w:r>
      <w:r w:rsidR="002E562D">
        <w:t>why</w:t>
      </w:r>
      <w:r>
        <w:t xml:space="preserve"> data sharing has been more straightforward for RLS 1.0 compared to CBILS, as there are fewer facilities to compile information for and these are easier to quality assure.</w:t>
      </w:r>
    </w:p>
    <w:p w14:paraId="24FA24D8" w14:textId="77777777" w:rsidR="00CD238D" w:rsidRDefault="00CD238D" w:rsidP="003B2EF1">
      <w:pPr>
        <w:pStyle w:val="Heading3"/>
      </w:pPr>
      <w:r>
        <w:t>Audit</w:t>
      </w:r>
    </w:p>
    <w:p w14:paraId="2B64420B" w14:textId="67E659C3" w:rsidR="00CD238D" w:rsidRDefault="00CD238D" w:rsidP="003B2EF1">
      <w:r>
        <w:t xml:space="preserve">BBB commissioned an audit assurance programme covering all accredited lenders, </w:t>
      </w:r>
      <w:r w:rsidR="002E562D">
        <w:t>that</w:t>
      </w:r>
      <w:r>
        <w:t xml:space="preserve"> is delivered by three independent professional risk services firms (as there were potential conflicts of interest between the primary providers and some of the lenders). These audits follow the same approach as those described for the </w:t>
      </w:r>
      <w:r w:rsidR="00A10525">
        <w:t>Covid</w:t>
      </w:r>
      <w:r>
        <w:t xml:space="preserve">-19 </w:t>
      </w:r>
      <w:r w:rsidR="00B37DA9">
        <w:t>Loan Guarantee</w:t>
      </w:r>
      <w:r>
        <w:t xml:space="preserve"> </w:t>
      </w:r>
      <w:r w:rsidR="000961EA">
        <w:t>S</w:t>
      </w:r>
      <w:r>
        <w:t xml:space="preserve">chemes. To date, the audits have taken place every year since the inception of RLS 1.0 and involve an examination of a sample of lenders each year covering a lender’s practices for administration of the </w:t>
      </w:r>
      <w:r w:rsidR="002E562D">
        <w:t>schemes</w:t>
      </w:r>
      <w:r w:rsidR="00072048">
        <w:t>,</w:t>
      </w:r>
      <w:r w:rsidR="002E562D">
        <w:t xml:space="preserve"> and sample scheme-supported </w:t>
      </w:r>
      <w:r>
        <w:t xml:space="preserve">facilities throughout their lifecycle to check the lender is appropriately following the scheme rules. The topics which the audit has </w:t>
      </w:r>
      <w:r w:rsidR="002E562D">
        <w:t>covered ha</w:t>
      </w:r>
      <w:r w:rsidR="00676989">
        <w:t>ve</w:t>
      </w:r>
      <w:r w:rsidR="002E562D">
        <w:t xml:space="preserve"> altered </w:t>
      </w:r>
      <w:r>
        <w:t>between years, and these topics are proposed and agreed by the programme boards in the audit plans. There were no issues or challenges raised by the lenders interviewed about the audit process, reporting that the topics and scale of the audit were appropriate.</w:t>
      </w:r>
    </w:p>
    <w:p w14:paraId="40467617" w14:textId="68BC6997" w:rsidR="00CD238D" w:rsidRDefault="00CD238D" w:rsidP="003B2EF1">
      <w:r>
        <w:t xml:space="preserve">As with the approach used in the </w:t>
      </w:r>
      <w:r w:rsidR="00A10525">
        <w:t>Covid</w:t>
      </w:r>
      <w:r>
        <w:t xml:space="preserve">-19 </w:t>
      </w:r>
      <w:r w:rsidR="00B37DA9">
        <w:t>Loan Guarantee</w:t>
      </w:r>
      <w:r>
        <w:t xml:space="preserve"> </w:t>
      </w:r>
      <w:r w:rsidR="00001C0E">
        <w:t>S</w:t>
      </w:r>
      <w:r>
        <w:t xml:space="preserve">chemes, if the audit highlighted areas of concern with a lender, the auditors provided feedback and the lenders were required to provide additional </w:t>
      </w:r>
      <w:r w:rsidR="002E562D">
        <w:t xml:space="preserve">information </w:t>
      </w:r>
      <w:r w:rsidR="00676989">
        <w:t>or</w:t>
      </w:r>
      <w:r w:rsidR="03227CC2">
        <w:t xml:space="preserve"> </w:t>
      </w:r>
      <w:r w:rsidR="002E562D">
        <w:t xml:space="preserve">alter </w:t>
      </w:r>
      <w:r>
        <w:t>their processes within a period set by the auditors. These findings were presented at a lender collaboration meeting between the auditor and the accredited lender, and if there were any further differences of opinion or challenges at this point the relationship manager would become involved in the discussions to seek a resolution.</w:t>
      </w:r>
    </w:p>
    <w:p w14:paraId="6A2D1EE1" w14:textId="77777777" w:rsidR="00CD238D" w:rsidRDefault="00CD238D" w:rsidP="003B2EF1">
      <w:r>
        <w:t>Some stakeholders did raise one concern with the lender audit process, which was obtaining an appropriate level of engagement from accredited lenders. This was around ensuring the lenders had capacity to support the initial audit and then fully engaged with the feedback meetings and undertook the required actions which came out of the audit.</w:t>
      </w:r>
    </w:p>
    <w:p w14:paraId="6006855D" w14:textId="77777777" w:rsidR="00CD238D" w:rsidRDefault="00CD238D" w:rsidP="003B2EF1">
      <w:r>
        <w:t xml:space="preserve">It has not been possible to access more detailed data about the audit outcomes due to the commercial sensitivity of the audit information. </w:t>
      </w:r>
    </w:p>
    <w:p w14:paraId="753722A3" w14:textId="77777777" w:rsidR="00CD238D" w:rsidRDefault="00CD238D"/>
    <w:p w14:paraId="3BE39E4B" w14:textId="77777777" w:rsidR="003B2EF1" w:rsidRDefault="003B2EF1" w:rsidP="003B2EF1">
      <w:pPr>
        <w:pStyle w:val="Heading2"/>
      </w:pPr>
      <w:bookmarkStart w:id="28" w:name="_Toc161327583"/>
      <w:r>
        <w:t>Key conclusions</w:t>
      </w:r>
      <w:bookmarkEnd w:id="28"/>
      <w:r>
        <w:t xml:space="preserve"> </w:t>
      </w:r>
    </w:p>
    <w:p w14:paraId="41D99F0D" w14:textId="60BF7867" w:rsidR="00CD238D" w:rsidRDefault="00CD238D" w:rsidP="003B2EF1">
      <w:r>
        <w:t>The key conclusions from the assessment of the processes used to design and implement RLS 1.0 and monitor lenders, are summarised below.</w:t>
      </w:r>
    </w:p>
    <w:p w14:paraId="54B78E36" w14:textId="0781B669" w:rsidR="00CD238D" w:rsidRDefault="67ACDDD3" w:rsidP="003B2EF1">
      <w:r>
        <w:t xml:space="preserve">The activities used to deliver RLS 1.0 evolved from the delivery of CBILS. The broad framework for delivery was the same as for CBILS, however, the objectives and design of the scheme were altered in light of feedback from lenders, policy stakeholder reviews and key lessons learned from the delivery of CBILS. The key changes were around the introduction of an additionality test, changes to the </w:t>
      </w:r>
      <w:r w:rsidR="00F8069D" w:rsidRPr="00E65F70">
        <w:t>Scheme Lender Fee</w:t>
      </w:r>
      <w:r>
        <w:t xml:space="preserve">, the removal of the BIP and changes made to the Undertaking in Difficulty test in Great Britain. However, there were also learnings taken from the delivery of CBILS around data collection and sharing which have supported the implementation of RLS 1.0, such as the clarity of data fields being asked for and a lack of duplicate requests from different Government stakeholders.  </w:t>
      </w:r>
    </w:p>
    <w:p w14:paraId="20D79B50" w14:textId="7196FDF5" w:rsidR="00CD238D" w:rsidRDefault="67ACDDD3" w:rsidP="003B2EF1">
      <w:r>
        <w:t xml:space="preserve">The changes made to the scheme design appear </w:t>
      </w:r>
      <w:r w:rsidR="002E562D">
        <w:t>to have</w:t>
      </w:r>
      <w:r w:rsidR="00676989">
        <w:t xml:space="preserve"> had</w:t>
      </w:r>
      <w:r w:rsidR="002E562D">
        <w:t xml:space="preserve"> a positive </w:t>
      </w:r>
      <w:r>
        <w:t>impact on lenders</w:t>
      </w:r>
      <w:r w:rsidR="41D8D7F8">
        <w:t>’</w:t>
      </w:r>
      <w:r>
        <w:t xml:space="preserve"> ability to deliver the scheme alongside commercial lending. One lender reported that the changes in admissible </w:t>
      </w:r>
      <w:r w:rsidR="78E822B7">
        <w:t xml:space="preserve">sources of funding </w:t>
      </w:r>
      <w:r>
        <w:t>had made it easier for them to deliver the scheme as they could use their usual sources of funding, instead of having to set up new credit lines to deliver the scheme (as they had to do for CBILS). The changes to the BIP, lender fees and additionality test mean that the lenders have only offered facilities through the scheme to businesses described as being “on the cusp” of being able to access commercial finance (those that nearly met their criteria for commercial lending but would have been rejected in the absence of RLS</w:t>
      </w:r>
      <w:r w:rsidR="15B654E0">
        <w:t xml:space="preserve"> 1.0</w:t>
      </w:r>
      <w:r>
        <w:t>)</w:t>
      </w:r>
      <w:r w:rsidR="00295413">
        <w:t>.</w:t>
      </w:r>
      <w:r>
        <w:t xml:space="preserve"> </w:t>
      </w:r>
      <w:r w:rsidR="00295413">
        <w:t xml:space="preserve">This suggests that the lending has been additional. </w:t>
      </w:r>
      <w:r w:rsidR="00BC2A86">
        <w:t>C</w:t>
      </w:r>
      <w:r>
        <w:t>hanges to the scheme parameters appear to have had an impact in terms of the scale of lending provided (ensuring the scheme provides additional finance and does not replace commercial finance). The changes in parameters, and economic conditions, have meant that the scale of the scheme (at around £2</w:t>
      </w:r>
      <w:r w:rsidR="1B452E9D">
        <w:t>.8</w:t>
      </w:r>
      <w:r>
        <w:t xml:space="preserve">bn in lending) was significantly lower than CBILS. </w:t>
      </w:r>
    </w:p>
    <w:p w14:paraId="0A6E22E8" w14:textId="1A43826C" w:rsidR="00CD238D" w:rsidRDefault="00CD238D" w:rsidP="003B2EF1">
      <w:r>
        <w:t>The risks of fraud were considered to be low during the scheme design phase, especially when compared to the risks associated with the Bounce Back Loan Scheme. The research did not find any evidence that this assessment was inaccurate, as lenders were able to undertake BAU checks on borrowers, and no fraud risks that were not in the original business case were highlighted by lenders or stakeholders.</w:t>
      </w:r>
    </w:p>
    <w:p w14:paraId="34AD1D24" w14:textId="761FBB94" w:rsidR="00700EB8" w:rsidRDefault="00700EB8" w:rsidP="00700EB8">
      <w:r>
        <w:t>The accreditation process for RLS 1.0 was much quicker than was the case for CBILS. Anecdotal evidence from the interviews with accredited lenders suggested the process could be completed in under a month</w:t>
      </w:r>
      <w:r w:rsidR="00E820D7">
        <w:t xml:space="preserve">, which was a shorter period than experienced for most lenders for CBILS, CLBILS and BBLS. </w:t>
      </w:r>
      <w:r>
        <w:t xml:space="preserve">This was because of the reduced time required to collect information for the lenders, the existing knowledge of CBILS accredited lenders about what information was required to become an accredited lender, and the skills and capacity </w:t>
      </w:r>
      <w:r w:rsidR="002E562D">
        <w:t>of</w:t>
      </w:r>
      <w:r>
        <w:t xml:space="preserve"> BBB staff meaning they could address the volume of applications received. A total of </w:t>
      </w:r>
      <w:r w:rsidR="2447BBBF">
        <w:t>84</w:t>
      </w:r>
      <w:r>
        <w:t xml:space="preserve"> lenders were accredited for RLS 1.0, which covered a variety of types of lenders.</w:t>
      </w:r>
    </w:p>
    <w:p w14:paraId="7043CB83" w14:textId="3ED580A0" w:rsidR="00700EB8" w:rsidRDefault="2B3303AD" w:rsidP="00700EB8">
      <w:r>
        <w:t xml:space="preserve">RLS 1.0 provided </w:t>
      </w:r>
      <w:r w:rsidR="45584460">
        <w:t>just under £2.8bn</w:t>
      </w:r>
      <w:r>
        <w:t xml:space="preserve"> in guaranteed lending facilities to </w:t>
      </w:r>
      <w:r w:rsidR="6E5DF57E">
        <w:t>c.</w:t>
      </w:r>
      <w:r w:rsidR="33FD0C35">
        <w:t>10,000</w:t>
      </w:r>
      <w:r>
        <w:t xml:space="preserve"> businesses. The scheme</w:t>
      </w:r>
      <w:r w:rsidR="009D761B">
        <w:t>, as was originally intended, has not provided facilities to a large proportion of</w:t>
      </w:r>
      <w:r>
        <w:t xml:space="preserve"> the UK economy, with 0.2% of businesses in the UK using RLS 1.0. There was a relatively even distribution of businesses supported across the UK, with between 0.1% and 0.2% of businesses supported in all areas of the UK. Some of the sectors which were more impacted by restrictions remaining in place and the aftereffects of restrictions in 2020, for example retail and accommodation and food, had slightly higher proportions of businesses being supported. This indicates that RLS 1.0 did help to fill a finance gap for businesses in those affected sectors that could not access commercial finance.</w:t>
      </w:r>
    </w:p>
    <w:p w14:paraId="3E3DE5C3" w14:textId="651BE069" w:rsidR="00CD238D" w:rsidRDefault="67ACDDD3" w:rsidP="003B2EF1">
      <w:r>
        <w:t>The data collection processes were informed by lessons learnt from the delivery of CBILS, with no significant issues being reported in the provision and assessment of data. The scale of lending has contributed to lenders being able to provide data without significant challenges, but BBB have also learned lessons from the previous lending schemes around how data is requested and transferred to their portal, meaning the process now appears to be</w:t>
      </w:r>
      <w:r w:rsidR="1C3F2B4A">
        <w:t xml:space="preserve"> more</w:t>
      </w:r>
      <w:r>
        <w:t xml:space="preserve"> efficient for RLS 1.0.</w:t>
      </w:r>
    </w:p>
    <w:p w14:paraId="67A44E9E" w14:textId="77777777" w:rsidR="00CD238D" w:rsidRDefault="00CD238D"/>
    <w:p w14:paraId="7620E40E" w14:textId="11144C32" w:rsidR="003B2EF1" w:rsidRDefault="003B2EF1" w:rsidP="003B2EF1">
      <w:pPr>
        <w:spacing w:after="160" w:line="256" w:lineRule="auto"/>
      </w:pPr>
    </w:p>
    <w:p w14:paraId="23A5E7A9" w14:textId="77777777" w:rsidR="000056E7" w:rsidRDefault="000056E7">
      <w:pPr>
        <w:spacing w:after="160" w:line="259" w:lineRule="auto"/>
        <w:rPr>
          <w:rFonts w:asciiTheme="majorHAnsi" w:eastAsiaTheme="majorEastAsia" w:hAnsiTheme="majorHAnsi" w:cstheme="majorBidi"/>
          <w:b/>
          <w:color w:val="142855" w:themeColor="text2"/>
          <w:sz w:val="44"/>
          <w:szCs w:val="32"/>
        </w:rPr>
      </w:pPr>
      <w:r>
        <w:br w:type="page"/>
      </w:r>
    </w:p>
    <w:p w14:paraId="788C98CE" w14:textId="797D0724" w:rsidR="00D802B3" w:rsidRPr="00214367" w:rsidRDefault="00D83E07" w:rsidP="00917A98">
      <w:pPr>
        <w:pStyle w:val="Heading1"/>
      </w:pPr>
      <w:bookmarkStart w:id="29" w:name="_Toc161327584"/>
      <w:r>
        <w:t>Impact</w:t>
      </w:r>
      <w:r w:rsidR="004E52F1" w:rsidRPr="00214367">
        <w:t xml:space="preserve"> evaluation</w:t>
      </w:r>
      <w:bookmarkEnd w:id="29"/>
    </w:p>
    <w:p w14:paraId="6717D9B6" w14:textId="0BA6F6D5" w:rsidR="006D41E6" w:rsidRPr="00214367" w:rsidRDefault="004E52F1" w:rsidP="006D41E6">
      <w:pPr>
        <w:pStyle w:val="Heading2"/>
      </w:pPr>
      <w:bookmarkStart w:id="30" w:name="_Toc161327585"/>
      <w:r w:rsidRPr="00214367">
        <w:t>Introduction</w:t>
      </w:r>
      <w:bookmarkEnd w:id="30"/>
    </w:p>
    <w:p w14:paraId="1F57F956" w14:textId="226C11EC" w:rsidR="004E52F1" w:rsidRPr="00937873" w:rsidRDefault="00C3087D" w:rsidP="00C3087D">
      <w:r w:rsidRPr="00937873">
        <w:t xml:space="preserve">The aim of the early impact evaluation </w:t>
      </w:r>
      <w:r w:rsidR="009D2571" w:rsidRPr="00937873">
        <w:t>wa</w:t>
      </w:r>
      <w:r w:rsidRPr="00937873">
        <w:t xml:space="preserve">s to </w:t>
      </w:r>
      <w:r w:rsidR="009D2571" w:rsidRPr="00937873">
        <w:t xml:space="preserve">quantify the </w:t>
      </w:r>
      <w:r w:rsidR="3339A122">
        <w:t xml:space="preserve">short-term </w:t>
      </w:r>
      <w:r w:rsidR="00214367">
        <w:t xml:space="preserve">effects </w:t>
      </w:r>
      <w:r w:rsidR="009D2571" w:rsidRPr="00937873">
        <w:t xml:space="preserve">of </w:t>
      </w:r>
      <w:r w:rsidR="00214367">
        <w:t>RLS</w:t>
      </w:r>
      <w:r w:rsidR="00937873" w:rsidRPr="00937873">
        <w:t xml:space="preserve"> 1.0</w:t>
      </w:r>
      <w:r w:rsidR="00214367">
        <w:t>.</w:t>
      </w:r>
      <w:r w:rsidR="009D2571" w:rsidRPr="00937873">
        <w:t xml:space="preserve"> </w:t>
      </w:r>
      <w:r w:rsidR="00214367">
        <w:t>Within this, the evaluation explores the following key areas</w:t>
      </w:r>
      <w:r w:rsidR="009D2571" w:rsidRPr="00937873">
        <w:t>:</w:t>
      </w:r>
      <w:r w:rsidRPr="00937873">
        <w:t xml:space="preserve"> </w:t>
      </w:r>
    </w:p>
    <w:p w14:paraId="663B319A" w14:textId="14C54B57" w:rsidR="00C3087D" w:rsidRPr="00937873" w:rsidRDefault="009D2571" w:rsidP="006E0879">
      <w:pPr>
        <w:pStyle w:val="ListNumber"/>
        <w:numPr>
          <w:ilvl w:val="0"/>
          <w:numId w:val="25"/>
        </w:numPr>
      </w:pPr>
      <w:r w:rsidRPr="00937873">
        <w:t>W</w:t>
      </w:r>
      <w:r w:rsidR="00C3087D" w:rsidRPr="00937873">
        <w:t xml:space="preserve">as lending under </w:t>
      </w:r>
      <w:r w:rsidR="00937873" w:rsidRPr="00937873">
        <w:t>RLS 1.0</w:t>
      </w:r>
      <w:r w:rsidR="00622A84" w:rsidRPr="00937873">
        <w:t xml:space="preserve"> </w:t>
      </w:r>
      <w:r w:rsidR="00C3087D" w:rsidRPr="00937873">
        <w:t>'additional'</w:t>
      </w:r>
      <w:r w:rsidR="00C236F3">
        <w:t xml:space="preserve"> from an economic perspective</w:t>
      </w:r>
      <w:r w:rsidRPr="00937873">
        <w:t>? In other words,</w:t>
      </w:r>
      <w:r w:rsidR="00C3087D" w:rsidRPr="00937873">
        <w:t xml:space="preserve"> did loans accessed </w:t>
      </w:r>
      <w:r w:rsidR="00937873" w:rsidRPr="00937873">
        <w:t>through RLS 1.0</w:t>
      </w:r>
      <w:r w:rsidR="00622A84" w:rsidRPr="00937873">
        <w:t xml:space="preserve"> </w:t>
      </w:r>
      <w:r w:rsidR="00C3087D" w:rsidRPr="00937873">
        <w:t xml:space="preserve">provide </w:t>
      </w:r>
      <w:bookmarkStart w:id="31" w:name="_Hlk69147869"/>
      <w:r w:rsidR="00C3087D" w:rsidRPr="00937873">
        <w:t>f</w:t>
      </w:r>
      <w:r w:rsidR="00937873" w:rsidRPr="00937873">
        <w:t>inance</w:t>
      </w:r>
      <w:r w:rsidR="00C3087D" w:rsidRPr="00937873">
        <w:t xml:space="preserve"> </w:t>
      </w:r>
      <w:r w:rsidRPr="00937873">
        <w:t xml:space="preserve">that </w:t>
      </w:r>
      <w:r w:rsidR="00C3087D" w:rsidRPr="00937873">
        <w:t xml:space="preserve">businesses could not access through </w:t>
      </w:r>
      <w:r w:rsidR="00937873" w:rsidRPr="00937873">
        <w:t xml:space="preserve">any </w:t>
      </w:r>
      <w:r w:rsidR="00C3087D" w:rsidRPr="00937873">
        <w:t>other sources</w:t>
      </w:r>
      <w:bookmarkEnd w:id="31"/>
      <w:r w:rsidR="00937873" w:rsidRPr="00937873">
        <w:t xml:space="preserve">, </w:t>
      </w:r>
      <w:r w:rsidR="00214367">
        <w:t xml:space="preserve">or </w:t>
      </w:r>
      <w:r w:rsidR="00937873" w:rsidRPr="00937873">
        <w:t xml:space="preserve">at improved terms </w:t>
      </w:r>
      <w:r w:rsidR="00214367">
        <w:t>and</w:t>
      </w:r>
      <w:r w:rsidR="00937873" w:rsidRPr="00937873">
        <w:t xml:space="preserve"> increased quantity</w:t>
      </w:r>
      <w:r w:rsidR="00214367">
        <w:t>, and does this vary for different kinds of lenders</w:t>
      </w:r>
      <w:r w:rsidR="005E69DD" w:rsidRPr="00937873">
        <w:t>?</w:t>
      </w:r>
      <w:r w:rsidR="00214367">
        <w:t xml:space="preserve"> </w:t>
      </w:r>
      <w:r w:rsidR="005E69DD" w:rsidRPr="00937873">
        <w:t>Furthermore,</w:t>
      </w:r>
      <w:r w:rsidR="00C3087D" w:rsidRPr="00937873">
        <w:t xml:space="preserve"> did </w:t>
      </w:r>
      <w:r w:rsidR="00A47B6D" w:rsidRPr="00937873">
        <w:t>borrowing</w:t>
      </w:r>
      <w:r w:rsidR="00C3087D" w:rsidRPr="00937873">
        <w:t xml:space="preserve"> </w:t>
      </w:r>
      <w:r w:rsidR="0022055A" w:rsidRPr="00937873">
        <w:t xml:space="preserve">businesses </w:t>
      </w:r>
      <w:r w:rsidR="00C3087D" w:rsidRPr="00937873">
        <w:t xml:space="preserve">carry out economic activity that would not have been undertaken by competing </w:t>
      </w:r>
      <w:r w:rsidR="0022055A" w:rsidRPr="00937873">
        <w:t xml:space="preserve">businesses </w:t>
      </w:r>
      <w:r w:rsidR="00C3087D" w:rsidRPr="00937873">
        <w:t>in the absence of the</w:t>
      </w:r>
      <w:r w:rsidR="00937873" w:rsidRPr="00937873">
        <w:t xml:space="preserve"> s</w:t>
      </w:r>
      <w:r w:rsidR="00622A84" w:rsidRPr="00937873">
        <w:t>cheme</w:t>
      </w:r>
      <w:r w:rsidR="00C3087D" w:rsidRPr="00937873">
        <w:t xml:space="preserve">? </w:t>
      </w:r>
    </w:p>
    <w:p w14:paraId="3AB8961F" w14:textId="4C2325E0" w:rsidR="00C3087D" w:rsidRDefault="009D2571" w:rsidP="006E0879">
      <w:pPr>
        <w:pStyle w:val="ListNumber"/>
        <w:numPr>
          <w:ilvl w:val="0"/>
          <w:numId w:val="25"/>
        </w:numPr>
      </w:pPr>
      <w:r w:rsidRPr="00937873">
        <w:t>D</w:t>
      </w:r>
      <w:r w:rsidR="00C3087D" w:rsidRPr="00937873">
        <w:t xml:space="preserve">id </w:t>
      </w:r>
      <w:r w:rsidR="00937873" w:rsidRPr="00937873">
        <w:t>RLS 1.0</w:t>
      </w:r>
      <w:r w:rsidR="00622A84" w:rsidRPr="00937873">
        <w:t xml:space="preserve"> </w:t>
      </w:r>
      <w:r w:rsidR="00C3087D" w:rsidRPr="00937873">
        <w:t xml:space="preserve">have an impact on </w:t>
      </w:r>
      <w:r w:rsidR="0022055A" w:rsidRPr="00937873">
        <w:t>businesses</w:t>
      </w:r>
      <w:r w:rsidR="00C3087D" w:rsidRPr="00937873">
        <w:t xml:space="preserve">' survival prospects, employment, and </w:t>
      </w:r>
      <w:r w:rsidR="002C1B15" w:rsidRPr="00937873">
        <w:t>turnover</w:t>
      </w:r>
      <w:r w:rsidR="00C3087D" w:rsidRPr="00937873">
        <w:t>?</w:t>
      </w:r>
      <w:r w:rsidR="00214367">
        <w:t xml:space="preserve"> </w:t>
      </w:r>
      <w:r w:rsidR="00AF5A5F">
        <w:t xml:space="preserve">Do these impacts vary across regions and sectors? </w:t>
      </w:r>
      <w:r w:rsidR="00214367">
        <w:t>Can these impacts be distinguished from other forms of business support provided sin</w:t>
      </w:r>
      <w:r w:rsidR="2493292E">
        <w:t>c</w:t>
      </w:r>
      <w:r w:rsidR="00214367">
        <w:t>e the onset of the pandemic, such as the Coronavirus Job Retention Scheme (CJRS) and the Covid-19 Loan Guarantee Schemes?</w:t>
      </w:r>
    </w:p>
    <w:p w14:paraId="778BC5F7" w14:textId="0B3D25B0" w:rsidR="00214367" w:rsidRPr="00937873" w:rsidRDefault="00AF5A5F" w:rsidP="006E0879">
      <w:pPr>
        <w:pStyle w:val="ListNumber"/>
        <w:numPr>
          <w:ilvl w:val="0"/>
          <w:numId w:val="25"/>
        </w:numPr>
      </w:pPr>
      <w:r>
        <w:t xml:space="preserve">What is the relationship between key scheme parameters and the willingness of lenders to provide finance? What affects these relationships, and </w:t>
      </w:r>
      <w:r w:rsidR="00D83E07">
        <w:t>to what extent do these relationships affect the finance terms offered to businesses?</w:t>
      </w:r>
    </w:p>
    <w:p w14:paraId="4EACABE0" w14:textId="78DAB058" w:rsidR="008D779D" w:rsidRPr="002E562D" w:rsidRDefault="009D2571" w:rsidP="00A658AB">
      <w:r w:rsidRPr="00937873">
        <w:t>To address</w:t>
      </w:r>
      <w:r w:rsidR="008A6F77" w:rsidRPr="00937873">
        <w:t xml:space="preserve"> these research </w:t>
      </w:r>
      <w:r w:rsidR="002E3EB4" w:rsidRPr="00937873">
        <w:t>questions</w:t>
      </w:r>
      <w:r w:rsidR="008A6F77" w:rsidRPr="00937873">
        <w:t xml:space="preserve">, </w:t>
      </w:r>
      <w:r w:rsidR="00BE4C3E" w:rsidRPr="00937873">
        <w:rPr>
          <w:rFonts w:ascii="Arial" w:eastAsia="Arial" w:hAnsi="Arial" w:cs="Times New Roman"/>
        </w:rPr>
        <w:t>Ipsos</w:t>
      </w:r>
      <w:r w:rsidR="00A658AB" w:rsidRPr="00937873">
        <w:rPr>
          <w:rFonts w:ascii="Arial" w:eastAsia="Arial" w:hAnsi="Arial" w:cs="Times New Roman"/>
        </w:rPr>
        <w:t xml:space="preserve"> undertook a survey of </w:t>
      </w:r>
      <w:r w:rsidR="002E562D" w:rsidRPr="00937873">
        <w:rPr>
          <w:rFonts w:ascii="Arial" w:eastAsia="Arial" w:hAnsi="Arial" w:cs="Times New Roman"/>
        </w:rPr>
        <w:t>businesses wh</w:t>
      </w:r>
      <w:r w:rsidR="00C236F3">
        <w:rPr>
          <w:rFonts w:ascii="Arial" w:eastAsia="Arial" w:hAnsi="Arial" w:cs="Times New Roman"/>
        </w:rPr>
        <w:t>ich</w:t>
      </w:r>
      <w:r w:rsidR="002E562D" w:rsidRPr="00937873">
        <w:rPr>
          <w:rFonts w:ascii="Arial" w:eastAsia="Arial" w:hAnsi="Arial" w:cs="Times New Roman"/>
        </w:rPr>
        <w:t xml:space="preserve"> received </w:t>
      </w:r>
      <w:r w:rsidR="00A658AB" w:rsidRPr="00937873">
        <w:rPr>
          <w:rFonts w:ascii="Arial" w:eastAsia="Arial" w:hAnsi="Arial" w:cs="Times New Roman"/>
        </w:rPr>
        <w:t xml:space="preserve">funding through </w:t>
      </w:r>
      <w:r w:rsidR="00937873" w:rsidRPr="00937873">
        <w:rPr>
          <w:rFonts w:ascii="Arial" w:eastAsia="Arial" w:hAnsi="Arial" w:cs="Times New Roman"/>
        </w:rPr>
        <w:t>RLS 1.0</w:t>
      </w:r>
      <w:r w:rsidR="00A658AB" w:rsidRPr="00937873">
        <w:rPr>
          <w:rFonts w:ascii="Arial" w:eastAsia="Arial" w:hAnsi="Arial" w:cs="Times New Roman"/>
        </w:rPr>
        <w:t xml:space="preserve"> as well as a set of businesses </w:t>
      </w:r>
      <w:r w:rsidR="00E66871" w:rsidRPr="00937873">
        <w:rPr>
          <w:rFonts w:ascii="Arial" w:eastAsia="Arial" w:hAnsi="Arial" w:cs="Times New Roman"/>
        </w:rPr>
        <w:t>which</w:t>
      </w:r>
      <w:r w:rsidR="00A658AB" w:rsidRPr="00937873">
        <w:rPr>
          <w:rFonts w:ascii="Arial" w:eastAsia="Arial" w:hAnsi="Arial" w:cs="Times New Roman"/>
        </w:rPr>
        <w:t xml:space="preserve"> faced </w:t>
      </w:r>
      <w:r w:rsidR="00E66871" w:rsidRPr="00937873">
        <w:rPr>
          <w:rFonts w:ascii="Arial" w:eastAsia="Arial" w:hAnsi="Arial" w:cs="Times New Roman"/>
        </w:rPr>
        <w:t xml:space="preserve">challenges or opportunities as a result of the </w:t>
      </w:r>
      <w:r w:rsidR="00B1180F" w:rsidRPr="00937873">
        <w:rPr>
          <w:rFonts w:ascii="Arial" w:eastAsia="Arial" w:hAnsi="Arial" w:cs="Times New Roman"/>
        </w:rPr>
        <w:t>Covid-19</w:t>
      </w:r>
      <w:r w:rsidR="00E66871" w:rsidRPr="00937873">
        <w:rPr>
          <w:rFonts w:ascii="Arial" w:eastAsia="Arial" w:hAnsi="Arial" w:cs="Times New Roman"/>
        </w:rPr>
        <w:t xml:space="preserve"> </w:t>
      </w:r>
      <w:r w:rsidR="00A658AB" w:rsidRPr="00937873">
        <w:rPr>
          <w:rFonts w:ascii="Arial" w:eastAsia="Arial" w:hAnsi="Arial" w:cs="Times New Roman"/>
        </w:rPr>
        <w:t>pandemic</w:t>
      </w:r>
      <w:r w:rsidR="009D150F" w:rsidRPr="00937873">
        <w:rPr>
          <w:rFonts w:ascii="Arial" w:eastAsia="Arial" w:hAnsi="Arial" w:cs="Times New Roman"/>
        </w:rPr>
        <w:t xml:space="preserve"> and</w:t>
      </w:r>
      <w:r w:rsidR="00A658AB" w:rsidRPr="00937873">
        <w:rPr>
          <w:rFonts w:ascii="Arial" w:eastAsia="Arial" w:hAnsi="Arial" w:cs="Times New Roman"/>
        </w:rPr>
        <w:t xml:space="preserve"> were eligible for </w:t>
      </w:r>
      <w:r w:rsidR="00937873" w:rsidRPr="00937873">
        <w:rPr>
          <w:rFonts w:ascii="Arial" w:eastAsia="Arial" w:hAnsi="Arial" w:cs="Times New Roman"/>
        </w:rPr>
        <w:t>RLS 1.0</w:t>
      </w:r>
      <w:r w:rsidR="00A41BEB" w:rsidRPr="00937873">
        <w:t xml:space="preserve"> </w:t>
      </w:r>
      <w:r w:rsidR="00A658AB" w:rsidRPr="00937873">
        <w:rPr>
          <w:rFonts w:ascii="Arial" w:eastAsia="Arial" w:hAnsi="Arial" w:cs="Times New Roman"/>
        </w:rPr>
        <w:t xml:space="preserve">but did not </w:t>
      </w:r>
      <w:r w:rsidR="009314C4" w:rsidRPr="00937873">
        <w:rPr>
          <w:rFonts w:ascii="Arial" w:eastAsia="Arial" w:hAnsi="Arial" w:cs="Times New Roman"/>
        </w:rPr>
        <w:t>receive a</w:t>
      </w:r>
      <w:r w:rsidR="00560EEE" w:rsidRPr="00937873">
        <w:rPr>
          <w:rFonts w:ascii="Arial" w:eastAsia="Arial" w:hAnsi="Arial" w:cs="Times New Roman"/>
        </w:rPr>
        <w:t xml:space="preserve"> facility under </w:t>
      </w:r>
      <w:r w:rsidR="00937873" w:rsidRPr="00937873">
        <w:rPr>
          <w:rFonts w:ascii="Arial" w:eastAsia="Arial" w:hAnsi="Arial" w:cs="Times New Roman"/>
        </w:rPr>
        <w:t>the scheme</w:t>
      </w:r>
      <w:r w:rsidR="00A658AB" w:rsidRPr="00937873">
        <w:rPr>
          <w:rFonts w:ascii="Arial" w:eastAsia="Arial" w:hAnsi="Arial" w:cs="Times New Roman"/>
        </w:rPr>
        <w:t>.</w:t>
      </w:r>
    </w:p>
    <w:p w14:paraId="611EC56C" w14:textId="20146899" w:rsidR="008A2A7F" w:rsidRPr="008D779D" w:rsidRDefault="424F5CE0" w:rsidP="00A658AB">
      <w:pPr>
        <w:rPr>
          <w:lang w:val="en-US"/>
        </w:rPr>
      </w:pPr>
      <w:r w:rsidRPr="008D779D">
        <w:rPr>
          <w:rFonts w:ascii="Arial" w:eastAsia="Arial" w:hAnsi="Arial" w:cs="Times New Roman"/>
        </w:rPr>
        <w:t xml:space="preserve">In total, </w:t>
      </w:r>
      <w:r w:rsidR="5914E137">
        <w:rPr>
          <w:rFonts w:ascii="Arial" w:eastAsia="Arial" w:hAnsi="Arial" w:cs="Times New Roman"/>
        </w:rPr>
        <w:t>478</w:t>
      </w:r>
      <w:r w:rsidRPr="008D779D">
        <w:rPr>
          <w:rFonts w:ascii="Arial" w:eastAsia="Arial" w:hAnsi="Arial" w:cs="Times New Roman"/>
        </w:rPr>
        <w:t xml:space="preserve"> businesses completed a mixed mode survey (online and telephone) between </w:t>
      </w:r>
      <w:r w:rsidR="5652F47D">
        <w:rPr>
          <w:rFonts w:ascii="Arial" w:eastAsia="Arial" w:hAnsi="Arial" w:cs="Times New Roman"/>
        </w:rPr>
        <w:t>31</w:t>
      </w:r>
      <w:r w:rsidR="5652F47D" w:rsidRPr="00C31D26">
        <w:rPr>
          <w:rFonts w:ascii="Arial" w:eastAsia="Arial" w:hAnsi="Arial" w:cs="Times New Roman"/>
          <w:vertAlign w:val="superscript"/>
        </w:rPr>
        <w:t>st</w:t>
      </w:r>
      <w:r w:rsidR="5652F47D">
        <w:rPr>
          <w:rFonts w:ascii="Arial" w:eastAsia="Arial" w:hAnsi="Arial" w:cs="Times New Roman"/>
        </w:rPr>
        <w:t xml:space="preserve"> July 2023 and 3</w:t>
      </w:r>
      <w:r w:rsidR="5652F47D" w:rsidRPr="00C31D26">
        <w:rPr>
          <w:rFonts w:ascii="Arial" w:eastAsia="Arial" w:hAnsi="Arial" w:cs="Times New Roman"/>
          <w:vertAlign w:val="superscript"/>
        </w:rPr>
        <w:t>rd</w:t>
      </w:r>
      <w:r w:rsidR="5652F47D">
        <w:rPr>
          <w:rFonts w:ascii="Arial" w:eastAsia="Arial" w:hAnsi="Arial" w:cs="Times New Roman"/>
        </w:rPr>
        <w:t xml:space="preserve"> October 2023</w:t>
      </w:r>
      <w:r w:rsidRPr="008D779D">
        <w:rPr>
          <w:rFonts w:ascii="Arial" w:eastAsia="Arial" w:hAnsi="Arial" w:cs="Times New Roman"/>
        </w:rPr>
        <w:t xml:space="preserve">, of which </w:t>
      </w:r>
      <w:r w:rsidR="5914E137">
        <w:rPr>
          <w:rFonts w:ascii="Arial" w:eastAsia="Arial" w:hAnsi="Arial" w:cs="Times New Roman"/>
        </w:rPr>
        <w:t>242</w:t>
      </w:r>
      <w:r w:rsidRPr="008D779D">
        <w:rPr>
          <w:rFonts w:ascii="Arial" w:eastAsia="Arial" w:hAnsi="Arial" w:cs="Times New Roman"/>
        </w:rPr>
        <w:t xml:space="preserve"> interviews were with </w:t>
      </w:r>
      <w:r w:rsidR="3287D399" w:rsidRPr="008D779D">
        <w:rPr>
          <w:rFonts w:ascii="Arial" w:eastAsia="Arial" w:hAnsi="Arial" w:cs="Times New Roman"/>
        </w:rPr>
        <w:t>RLS 1.0</w:t>
      </w:r>
      <w:r w:rsidRPr="008D779D">
        <w:rPr>
          <w:rFonts w:ascii="Arial" w:eastAsia="Arial" w:hAnsi="Arial" w:cs="Times New Roman"/>
        </w:rPr>
        <w:t xml:space="preserve"> </w:t>
      </w:r>
      <w:r w:rsidR="06AFE2E3" w:rsidRPr="008D779D">
        <w:rPr>
          <w:rFonts w:ascii="Arial" w:eastAsia="Arial" w:hAnsi="Arial" w:cs="Times New Roman"/>
        </w:rPr>
        <w:t>borrowers</w:t>
      </w:r>
      <w:r w:rsidRPr="008D779D">
        <w:rPr>
          <w:rFonts w:ascii="Arial" w:eastAsia="Arial" w:hAnsi="Arial" w:cs="Times New Roman"/>
        </w:rPr>
        <w:t xml:space="preserve"> and </w:t>
      </w:r>
      <w:r w:rsidR="5914E137">
        <w:rPr>
          <w:rFonts w:ascii="Arial" w:eastAsia="Arial" w:hAnsi="Arial" w:cs="Times New Roman"/>
        </w:rPr>
        <w:t>236</w:t>
      </w:r>
      <w:r w:rsidRPr="008D779D">
        <w:rPr>
          <w:rFonts w:ascii="Arial" w:eastAsia="Arial" w:hAnsi="Arial" w:cs="Times New Roman"/>
        </w:rPr>
        <w:t xml:space="preserve"> interviews </w:t>
      </w:r>
      <w:r w:rsidR="3287D399" w:rsidRPr="008D779D">
        <w:rPr>
          <w:rFonts w:ascii="Arial" w:eastAsia="Arial" w:hAnsi="Arial" w:cs="Times New Roman"/>
        </w:rPr>
        <w:t xml:space="preserve">were </w:t>
      </w:r>
      <w:r w:rsidRPr="008D779D">
        <w:rPr>
          <w:rFonts w:ascii="Arial" w:eastAsia="Arial" w:hAnsi="Arial" w:cs="Times New Roman"/>
        </w:rPr>
        <w:t xml:space="preserve">with </w:t>
      </w:r>
      <w:r w:rsidR="48286E14" w:rsidRPr="008D779D">
        <w:rPr>
          <w:rFonts w:ascii="Arial" w:eastAsia="Arial" w:hAnsi="Arial" w:cs="Times New Roman"/>
        </w:rPr>
        <w:t>non-</w:t>
      </w:r>
      <w:r w:rsidR="451EFBC5" w:rsidRPr="008D779D">
        <w:rPr>
          <w:rFonts w:ascii="Arial" w:eastAsia="Arial" w:hAnsi="Arial" w:cs="Times New Roman"/>
        </w:rPr>
        <w:t>borrow</w:t>
      </w:r>
      <w:r w:rsidR="0D238341" w:rsidRPr="008D779D">
        <w:rPr>
          <w:rFonts w:ascii="Arial" w:eastAsia="Arial" w:hAnsi="Arial" w:cs="Times New Roman"/>
        </w:rPr>
        <w:t>ers</w:t>
      </w:r>
      <w:r w:rsidR="3287D399" w:rsidRPr="008D779D">
        <w:rPr>
          <w:rFonts w:ascii="Arial" w:eastAsia="Arial" w:hAnsi="Arial" w:cs="Times New Roman"/>
        </w:rPr>
        <w:t xml:space="preserve"> (i.e. the </w:t>
      </w:r>
      <w:r w:rsidRPr="008D779D">
        <w:rPr>
          <w:rFonts w:ascii="Arial" w:eastAsia="Arial" w:hAnsi="Arial" w:cs="Times New Roman"/>
        </w:rPr>
        <w:t>control group</w:t>
      </w:r>
      <w:r w:rsidR="3287D399" w:rsidRPr="008D779D">
        <w:rPr>
          <w:rFonts w:ascii="Arial" w:eastAsia="Arial" w:hAnsi="Arial" w:cs="Times New Roman"/>
        </w:rPr>
        <w:t>)</w:t>
      </w:r>
      <w:r w:rsidRPr="008D779D">
        <w:rPr>
          <w:rFonts w:ascii="Arial" w:eastAsia="Arial" w:hAnsi="Arial" w:cs="Times New Roman"/>
        </w:rPr>
        <w:t>.</w:t>
      </w:r>
      <w:r w:rsidR="00114BD3" w:rsidRPr="008D779D">
        <w:rPr>
          <w:rStyle w:val="FootnoteReference"/>
          <w:lang w:val="en-US"/>
        </w:rPr>
        <w:footnoteReference w:id="25"/>
      </w:r>
      <w:r w:rsidR="117CAE69" w:rsidRPr="008D779D">
        <w:rPr>
          <w:lang w:val="en-US"/>
        </w:rPr>
        <w:t xml:space="preserve"> </w:t>
      </w:r>
    </w:p>
    <w:p w14:paraId="25699FCB" w14:textId="176E83AB" w:rsidR="00522FF4" w:rsidRPr="002E562D" w:rsidRDefault="00AF5A5F" w:rsidP="00A658AB">
      <w:r>
        <w:rPr>
          <w:rFonts w:ascii="Arial" w:eastAsia="Arial" w:hAnsi="Arial" w:cs="Times New Roman"/>
        </w:rPr>
        <w:t>To increase</w:t>
      </w:r>
      <w:r w:rsidR="00D762F2" w:rsidRPr="00937873">
        <w:rPr>
          <w:rFonts w:ascii="Arial" w:eastAsia="Arial" w:hAnsi="Arial" w:cs="Times New Roman"/>
        </w:rPr>
        <w:t xml:space="preserve"> comparability between the </w:t>
      </w:r>
      <w:r w:rsidR="00A47B6D" w:rsidRPr="00937873">
        <w:rPr>
          <w:rFonts w:ascii="Arial" w:eastAsia="Arial" w:hAnsi="Arial" w:cs="Times New Roman"/>
        </w:rPr>
        <w:t xml:space="preserve">treatment </w:t>
      </w:r>
      <w:r w:rsidR="00D762F2" w:rsidRPr="00937873">
        <w:rPr>
          <w:rFonts w:ascii="Arial" w:eastAsia="Arial" w:hAnsi="Arial" w:cs="Times New Roman"/>
        </w:rPr>
        <w:t>and control groups, non-</w:t>
      </w:r>
      <w:r w:rsidR="00B4158C" w:rsidRPr="00937873">
        <w:rPr>
          <w:rFonts w:ascii="Arial" w:eastAsia="Arial" w:hAnsi="Arial" w:cs="Times New Roman"/>
        </w:rPr>
        <w:t>borrowers</w:t>
      </w:r>
      <w:r w:rsidR="00D762F2" w:rsidRPr="00937873">
        <w:rPr>
          <w:rFonts w:ascii="Arial" w:eastAsia="Arial" w:hAnsi="Arial" w:cs="Times New Roman"/>
        </w:rPr>
        <w:t xml:space="preserve"> </w:t>
      </w:r>
      <w:r w:rsidR="00D762F2" w:rsidRPr="00937873">
        <w:t>were screened during fieldwork based on whether they faced challenge</w:t>
      </w:r>
      <w:r>
        <w:t>s</w:t>
      </w:r>
      <w:r w:rsidR="00D762F2" w:rsidRPr="00937873">
        <w:t xml:space="preserve"> or opportunities because of the </w:t>
      </w:r>
      <w:r w:rsidR="00B1180F" w:rsidRPr="00937873">
        <w:t>Covid-19</w:t>
      </w:r>
      <w:r w:rsidR="00D762F2" w:rsidRPr="00937873">
        <w:t xml:space="preserve"> pandemic. </w:t>
      </w:r>
      <w:r w:rsidR="0048232B" w:rsidRPr="008D779D">
        <w:rPr>
          <w:rFonts w:ascii="Arial" w:eastAsia="Arial" w:hAnsi="Arial" w:cs="Times New Roman"/>
        </w:rPr>
        <w:t xml:space="preserve">As the impact evaluation </w:t>
      </w:r>
      <w:r w:rsidR="002E562D" w:rsidRPr="008D779D">
        <w:rPr>
          <w:rFonts w:ascii="Arial" w:eastAsia="Arial" w:hAnsi="Arial" w:cs="Times New Roman"/>
        </w:rPr>
        <w:t>analysis t</w:t>
      </w:r>
      <w:r w:rsidR="00C236F3">
        <w:rPr>
          <w:rFonts w:ascii="Arial" w:eastAsia="Arial" w:hAnsi="Arial" w:cs="Times New Roman"/>
        </w:rPr>
        <w:t>ook</w:t>
      </w:r>
      <w:r w:rsidR="002E562D" w:rsidRPr="008D779D">
        <w:rPr>
          <w:rFonts w:ascii="Arial" w:eastAsia="Arial" w:hAnsi="Arial" w:cs="Times New Roman"/>
        </w:rPr>
        <w:t xml:space="preserve"> place </w:t>
      </w:r>
      <w:r w:rsidR="0048232B" w:rsidRPr="008D779D">
        <w:rPr>
          <w:rFonts w:ascii="Arial" w:eastAsia="Arial" w:hAnsi="Arial" w:cs="Times New Roman"/>
        </w:rPr>
        <w:t xml:space="preserve">so soon after the events that it </w:t>
      </w:r>
      <w:r w:rsidR="002E562D">
        <w:rPr>
          <w:rFonts w:ascii="Arial" w:eastAsia="Arial" w:hAnsi="Arial" w:cs="Times New Roman"/>
        </w:rPr>
        <w:t>was</w:t>
      </w:r>
      <w:r w:rsidR="0048232B" w:rsidRPr="008D779D">
        <w:rPr>
          <w:rFonts w:ascii="Arial" w:eastAsia="Arial" w:hAnsi="Arial" w:cs="Times New Roman"/>
        </w:rPr>
        <w:t xml:space="preserve"> concerned with, the research questions to evaluate the impact of </w:t>
      </w:r>
      <w:r w:rsidR="008D779D" w:rsidRPr="008D779D">
        <w:rPr>
          <w:rFonts w:ascii="Arial" w:eastAsia="Arial" w:hAnsi="Arial" w:cs="Times New Roman"/>
        </w:rPr>
        <w:t>RLS 1.0</w:t>
      </w:r>
      <w:r w:rsidR="002E562D">
        <w:rPr>
          <w:rFonts w:ascii="Arial" w:eastAsia="Arial" w:hAnsi="Arial" w:cs="Times New Roman"/>
        </w:rPr>
        <w:t xml:space="preserve"> were</w:t>
      </w:r>
      <w:r w:rsidR="0048232B" w:rsidRPr="008D779D">
        <w:rPr>
          <w:rFonts w:ascii="Arial" w:eastAsia="Arial" w:hAnsi="Arial" w:cs="Times New Roman"/>
        </w:rPr>
        <w:t xml:space="preserve"> </w:t>
      </w:r>
      <w:r w:rsidR="008627B9">
        <w:rPr>
          <w:rFonts w:ascii="Arial" w:eastAsia="Arial" w:hAnsi="Arial" w:cs="Times New Roman"/>
        </w:rPr>
        <w:t>a</w:t>
      </w:r>
      <w:r w:rsidR="001A773E" w:rsidRPr="008D779D">
        <w:rPr>
          <w:rFonts w:ascii="Arial" w:eastAsia="Arial" w:hAnsi="Arial" w:cs="Times New Roman"/>
        </w:rPr>
        <w:t>ssessed</w:t>
      </w:r>
      <w:r w:rsidR="0048232B" w:rsidRPr="008D779D">
        <w:rPr>
          <w:rFonts w:ascii="Arial" w:eastAsia="Arial" w:hAnsi="Arial" w:cs="Times New Roman"/>
        </w:rPr>
        <w:t xml:space="preserve"> using th</w:t>
      </w:r>
      <w:r w:rsidR="004836CB" w:rsidRPr="008D779D">
        <w:rPr>
          <w:rFonts w:ascii="Arial" w:eastAsia="Arial" w:hAnsi="Arial" w:cs="Times New Roman"/>
        </w:rPr>
        <w:t>e</w:t>
      </w:r>
      <w:r w:rsidR="0048232B" w:rsidRPr="008D779D">
        <w:rPr>
          <w:rFonts w:ascii="Arial" w:eastAsia="Arial" w:hAnsi="Arial" w:cs="Times New Roman"/>
        </w:rPr>
        <w:t xml:space="preserve"> survey data</w:t>
      </w:r>
      <w:r w:rsidR="00C120E3" w:rsidRPr="008D779D">
        <w:rPr>
          <w:rFonts w:ascii="Arial" w:eastAsia="Arial" w:hAnsi="Arial" w:cs="Times New Roman"/>
        </w:rPr>
        <w:t xml:space="preserve"> given lags in secondary data</w:t>
      </w:r>
      <w:r w:rsidR="0048232B" w:rsidRPr="008D779D">
        <w:rPr>
          <w:rFonts w:ascii="Arial" w:eastAsia="Arial" w:hAnsi="Arial" w:cs="Times New Roman"/>
        </w:rPr>
        <w:t>.</w:t>
      </w:r>
      <w:r w:rsidR="004836CB" w:rsidRPr="008D779D">
        <w:rPr>
          <w:rFonts w:ascii="Arial" w:eastAsia="Arial" w:hAnsi="Arial" w:cs="Times New Roman"/>
        </w:rPr>
        <w:t xml:space="preserve"> </w:t>
      </w:r>
    </w:p>
    <w:p w14:paraId="7F7B2DA4" w14:textId="5CD98216" w:rsidR="00A658AB" w:rsidRPr="008D779D" w:rsidRDefault="00522FF4" w:rsidP="00A658AB">
      <w:pPr>
        <w:rPr>
          <w:rFonts w:ascii="Arial" w:eastAsia="Arial" w:hAnsi="Arial" w:cs="Times New Roman"/>
        </w:rPr>
      </w:pPr>
      <w:r w:rsidRPr="008D779D">
        <w:rPr>
          <w:rFonts w:ascii="Arial" w:eastAsia="Arial" w:hAnsi="Arial" w:cs="Times New Roman"/>
        </w:rPr>
        <w:t xml:space="preserve">The first </w:t>
      </w:r>
      <w:r w:rsidR="00AF5A5F">
        <w:rPr>
          <w:rFonts w:ascii="Arial" w:eastAsia="Arial" w:hAnsi="Arial" w:cs="Times New Roman"/>
        </w:rPr>
        <w:t>area</w:t>
      </w:r>
      <w:r w:rsidRPr="008D779D">
        <w:rPr>
          <w:rFonts w:ascii="Arial" w:eastAsia="Arial" w:hAnsi="Arial" w:cs="Times New Roman"/>
        </w:rPr>
        <w:t xml:space="preserve"> listed above – investigating additionality and product market displacement – relies on </w:t>
      </w:r>
      <w:r w:rsidR="00B4158C" w:rsidRPr="008D779D">
        <w:rPr>
          <w:rFonts w:ascii="Arial" w:eastAsia="Arial" w:hAnsi="Arial" w:cs="Times New Roman"/>
        </w:rPr>
        <w:t>borrowers</w:t>
      </w:r>
      <w:r w:rsidRPr="008D779D">
        <w:rPr>
          <w:rFonts w:ascii="Arial" w:eastAsia="Arial" w:hAnsi="Arial" w:cs="Times New Roman"/>
        </w:rPr>
        <w:t xml:space="preserve">’ self-reported assessments of a counterfactual scenario in the absence of </w:t>
      </w:r>
      <w:r w:rsidR="008D779D" w:rsidRPr="008D779D">
        <w:rPr>
          <w:rFonts w:ascii="Arial" w:eastAsia="Arial" w:hAnsi="Arial" w:cs="Times New Roman"/>
        </w:rPr>
        <w:t>RLS 1.0</w:t>
      </w:r>
      <w:r w:rsidR="00A41BEB" w:rsidRPr="008D779D">
        <w:t xml:space="preserve"> </w:t>
      </w:r>
      <w:r w:rsidR="00F70966" w:rsidRPr="008D779D">
        <w:rPr>
          <w:rFonts w:ascii="Arial" w:eastAsia="Arial" w:hAnsi="Arial" w:cs="Times New Roman"/>
        </w:rPr>
        <w:t>(additionality of lending)</w:t>
      </w:r>
      <w:r w:rsidRPr="008D779D">
        <w:rPr>
          <w:rFonts w:ascii="Arial" w:eastAsia="Arial" w:hAnsi="Arial" w:cs="Times New Roman"/>
        </w:rPr>
        <w:t>, as well as their assessment of competition in their market</w:t>
      </w:r>
      <w:r w:rsidR="00F70966" w:rsidRPr="008D779D">
        <w:rPr>
          <w:rFonts w:ascii="Arial" w:eastAsia="Arial" w:hAnsi="Arial" w:cs="Times New Roman"/>
        </w:rPr>
        <w:t xml:space="preserve"> (product market displacement)</w:t>
      </w:r>
      <w:r w:rsidRPr="008D779D">
        <w:rPr>
          <w:rFonts w:ascii="Arial" w:eastAsia="Arial" w:hAnsi="Arial" w:cs="Times New Roman"/>
        </w:rPr>
        <w:t xml:space="preserve">. The second </w:t>
      </w:r>
      <w:r w:rsidR="00AF5A5F">
        <w:rPr>
          <w:rFonts w:ascii="Arial" w:eastAsia="Arial" w:hAnsi="Arial" w:cs="Times New Roman"/>
        </w:rPr>
        <w:t>is assessed through</w:t>
      </w:r>
      <w:r w:rsidR="005446A9" w:rsidRPr="008D779D">
        <w:rPr>
          <w:rFonts w:ascii="Arial" w:eastAsia="Arial" w:hAnsi="Arial" w:cs="Times New Roman"/>
        </w:rPr>
        <w:t xml:space="preserve"> a combination of </w:t>
      </w:r>
      <w:r w:rsidRPr="008D779D">
        <w:rPr>
          <w:rFonts w:ascii="Arial" w:eastAsia="Arial" w:hAnsi="Arial" w:cs="Times New Roman"/>
        </w:rPr>
        <w:t>self-reported impacts</w:t>
      </w:r>
      <w:r w:rsidR="0007165B" w:rsidRPr="008D779D">
        <w:rPr>
          <w:rFonts w:ascii="Arial" w:eastAsia="Arial" w:hAnsi="Arial" w:cs="Times New Roman"/>
        </w:rPr>
        <w:t>,</w:t>
      </w:r>
      <w:r w:rsidRPr="008D779D">
        <w:rPr>
          <w:rFonts w:ascii="Arial" w:eastAsia="Arial" w:hAnsi="Arial" w:cs="Times New Roman"/>
        </w:rPr>
        <w:t xml:space="preserve"> and </w:t>
      </w:r>
      <w:r w:rsidR="005446A9" w:rsidRPr="008D779D">
        <w:rPr>
          <w:rFonts w:ascii="Arial" w:eastAsia="Arial" w:hAnsi="Arial" w:cs="Times New Roman"/>
        </w:rPr>
        <w:t>econometric analysis of survey data</w:t>
      </w:r>
      <w:r w:rsidR="003F1562" w:rsidRPr="008D779D">
        <w:rPr>
          <w:rFonts w:ascii="Arial" w:eastAsia="Arial" w:hAnsi="Arial" w:cs="Times New Roman"/>
        </w:rPr>
        <w:t>.</w:t>
      </w:r>
      <w:r w:rsidR="005446A9" w:rsidRPr="008D779D">
        <w:rPr>
          <w:rFonts w:ascii="Arial" w:eastAsia="Arial" w:hAnsi="Arial" w:cs="Times New Roman"/>
        </w:rPr>
        <w:t xml:space="preserve"> </w:t>
      </w:r>
      <w:r w:rsidR="003F1562" w:rsidRPr="008D779D">
        <w:rPr>
          <w:rFonts w:ascii="Arial" w:eastAsia="Arial" w:hAnsi="Arial" w:cs="Times New Roman"/>
        </w:rPr>
        <w:t>T</w:t>
      </w:r>
      <w:r w:rsidR="005446A9" w:rsidRPr="008D779D">
        <w:rPr>
          <w:rFonts w:ascii="Arial" w:eastAsia="Arial" w:hAnsi="Arial" w:cs="Times New Roman"/>
        </w:rPr>
        <w:t xml:space="preserve">he impact of </w:t>
      </w:r>
      <w:r w:rsidR="002E562D">
        <w:rPr>
          <w:rFonts w:ascii="Arial" w:eastAsia="Arial" w:hAnsi="Arial" w:cs="Times New Roman"/>
        </w:rPr>
        <w:t>RLS</w:t>
      </w:r>
      <w:r w:rsidR="008D779D" w:rsidRPr="008D779D">
        <w:rPr>
          <w:rFonts w:ascii="Arial" w:eastAsia="Arial" w:hAnsi="Arial" w:cs="Times New Roman"/>
        </w:rPr>
        <w:t xml:space="preserve"> 1.0</w:t>
      </w:r>
      <w:r w:rsidR="00A41BEB" w:rsidRPr="008D779D">
        <w:t xml:space="preserve"> </w:t>
      </w:r>
      <w:r w:rsidR="005446A9" w:rsidRPr="008D779D">
        <w:rPr>
          <w:rFonts w:ascii="Arial" w:eastAsia="Arial" w:hAnsi="Arial" w:cs="Times New Roman"/>
        </w:rPr>
        <w:t>on business survival is estimated based on businesses</w:t>
      </w:r>
      <w:r w:rsidR="00F70966" w:rsidRPr="008D779D">
        <w:rPr>
          <w:rFonts w:ascii="Arial" w:eastAsia="Arial" w:hAnsi="Arial" w:cs="Times New Roman"/>
        </w:rPr>
        <w:t>’</w:t>
      </w:r>
      <w:r w:rsidR="005446A9" w:rsidRPr="008D779D">
        <w:rPr>
          <w:rFonts w:ascii="Arial" w:eastAsia="Arial" w:hAnsi="Arial" w:cs="Times New Roman"/>
        </w:rPr>
        <w:t xml:space="preserve"> own assessment of whether they would have survived in the absence of the </w:t>
      </w:r>
      <w:r w:rsidR="008D779D" w:rsidRPr="008D779D">
        <w:t>scheme</w:t>
      </w:r>
      <w:r w:rsidR="005446A9" w:rsidRPr="008D779D">
        <w:rPr>
          <w:rFonts w:ascii="Arial" w:eastAsia="Arial" w:hAnsi="Arial" w:cs="Times New Roman"/>
        </w:rPr>
        <w:t xml:space="preserve">. The analysis of </w:t>
      </w:r>
      <w:r w:rsidR="008D779D" w:rsidRPr="008D779D">
        <w:rPr>
          <w:rFonts w:ascii="Arial" w:eastAsia="Arial" w:hAnsi="Arial" w:cs="Times New Roman"/>
        </w:rPr>
        <w:t>RLS 1.0’s</w:t>
      </w:r>
      <w:r w:rsidR="005446A9" w:rsidRPr="008D779D">
        <w:rPr>
          <w:rFonts w:ascii="Arial" w:eastAsia="Arial" w:hAnsi="Arial" w:cs="Times New Roman"/>
        </w:rPr>
        <w:t xml:space="preserve"> impacts on turnover and employment is based on econometric analysis, which incorporates a number of business characteristics (e.g. turnover, employment, sector), as well as </w:t>
      </w:r>
      <w:r w:rsidR="00F70966" w:rsidRPr="008D779D">
        <w:rPr>
          <w:rFonts w:ascii="Arial" w:eastAsia="Arial" w:hAnsi="Arial" w:cs="Times New Roman"/>
        </w:rPr>
        <w:t>businesses’</w:t>
      </w:r>
      <w:r w:rsidR="005446A9" w:rsidRPr="008D779D">
        <w:rPr>
          <w:rFonts w:ascii="Arial" w:eastAsia="Arial" w:hAnsi="Arial" w:cs="Times New Roman"/>
        </w:rPr>
        <w:t xml:space="preserve"> self-assessment of business obstacles (see below). The third </w:t>
      </w:r>
      <w:r w:rsidR="00AF5A5F">
        <w:rPr>
          <w:rFonts w:ascii="Arial" w:eastAsia="Arial" w:hAnsi="Arial" w:cs="Times New Roman"/>
        </w:rPr>
        <w:t>area is explored</w:t>
      </w:r>
      <w:r w:rsidR="005446A9" w:rsidRPr="008D779D">
        <w:rPr>
          <w:rFonts w:ascii="Arial" w:eastAsia="Arial" w:hAnsi="Arial" w:cs="Times New Roman"/>
        </w:rPr>
        <w:t xml:space="preserve"> via </w:t>
      </w:r>
      <w:r w:rsidR="00AF5A5F">
        <w:rPr>
          <w:rFonts w:ascii="Arial" w:eastAsia="Arial" w:hAnsi="Arial" w:cs="Times New Roman"/>
        </w:rPr>
        <w:t>interviews with lenders</w:t>
      </w:r>
      <w:r w:rsidR="005446A9" w:rsidRPr="008D779D">
        <w:rPr>
          <w:rFonts w:ascii="Arial" w:eastAsia="Arial" w:hAnsi="Arial" w:cs="Times New Roman"/>
        </w:rPr>
        <w:t xml:space="preserve">. </w:t>
      </w:r>
      <w:r w:rsidR="00137658" w:rsidRPr="008D779D">
        <w:rPr>
          <w:rFonts w:ascii="Arial" w:eastAsia="Arial" w:hAnsi="Arial" w:cs="Times New Roman"/>
        </w:rPr>
        <w:t xml:space="preserve">Throughout this </w:t>
      </w:r>
      <w:r w:rsidR="0007165B" w:rsidRPr="008D779D">
        <w:rPr>
          <w:rFonts w:ascii="Arial" w:eastAsia="Arial" w:hAnsi="Arial" w:cs="Times New Roman"/>
        </w:rPr>
        <w:t>chapter</w:t>
      </w:r>
      <w:r w:rsidR="00137658" w:rsidRPr="008D779D">
        <w:rPr>
          <w:rFonts w:ascii="Arial" w:eastAsia="Arial" w:hAnsi="Arial" w:cs="Times New Roman"/>
        </w:rPr>
        <w:t>, descriptive analysis of the quantitative survey (e.g.</w:t>
      </w:r>
      <w:r w:rsidR="0007165B" w:rsidRPr="008D779D">
        <w:rPr>
          <w:rFonts w:ascii="Arial" w:eastAsia="Arial" w:hAnsi="Arial" w:cs="Times New Roman"/>
        </w:rPr>
        <w:t>,</w:t>
      </w:r>
      <w:r w:rsidR="00137658" w:rsidRPr="008D779D">
        <w:rPr>
          <w:rFonts w:ascii="Arial" w:eastAsia="Arial" w:hAnsi="Arial" w:cs="Times New Roman"/>
        </w:rPr>
        <w:t xml:space="preserve"> self-reported uses of the funds obtained through </w:t>
      </w:r>
      <w:r w:rsidR="008D779D" w:rsidRPr="008D779D">
        <w:rPr>
          <w:rFonts w:ascii="Arial" w:eastAsia="Arial" w:hAnsi="Arial" w:cs="Times New Roman"/>
        </w:rPr>
        <w:t>RLS 1.0</w:t>
      </w:r>
      <w:r w:rsidR="00137658" w:rsidRPr="008D779D">
        <w:rPr>
          <w:rFonts w:ascii="Arial" w:eastAsia="Arial" w:hAnsi="Arial" w:cs="Times New Roman"/>
        </w:rPr>
        <w:t>, business obstacles faced) is used to provide further context to the findings.</w:t>
      </w:r>
      <w:r w:rsidR="009E6009" w:rsidRPr="008D779D">
        <w:rPr>
          <w:rFonts w:ascii="Arial" w:eastAsia="Arial" w:hAnsi="Arial" w:cs="Times New Roman"/>
        </w:rPr>
        <w:t xml:space="preserve"> </w:t>
      </w:r>
    </w:p>
    <w:p w14:paraId="460595E0" w14:textId="262C6446" w:rsidR="00AB00B9" w:rsidRPr="008D779D" w:rsidRDefault="004836CB" w:rsidP="004E52F1">
      <w:r w:rsidRPr="008D779D">
        <w:t xml:space="preserve">Before addressing each </w:t>
      </w:r>
      <w:r w:rsidR="001A773E" w:rsidRPr="008D779D">
        <w:t>research question, the following section presents</w:t>
      </w:r>
      <w:r w:rsidR="00176F8B" w:rsidRPr="008D779D">
        <w:t xml:space="preserve"> an overview of the impact of the </w:t>
      </w:r>
      <w:r w:rsidR="00B1180F" w:rsidRPr="008D779D">
        <w:t>Covid-19</w:t>
      </w:r>
      <w:r w:rsidR="00176F8B" w:rsidRPr="008D779D">
        <w:t xml:space="preserve"> pandemic on businesses</w:t>
      </w:r>
      <w:r w:rsidR="001A773E" w:rsidRPr="008D779D">
        <w:t xml:space="preserve"> that received a loan under </w:t>
      </w:r>
      <w:r w:rsidR="008D779D" w:rsidRPr="008D779D">
        <w:t>RLS 1.0</w:t>
      </w:r>
      <w:r w:rsidR="00A41BEB" w:rsidRPr="008D779D">
        <w:t xml:space="preserve"> </w:t>
      </w:r>
      <w:r w:rsidR="001A773E" w:rsidRPr="008D779D">
        <w:t>as well as those that did not</w:t>
      </w:r>
      <w:r w:rsidR="00176F8B" w:rsidRPr="008D779D">
        <w:t xml:space="preserve">. </w:t>
      </w:r>
      <w:r w:rsidR="001A773E" w:rsidRPr="008D779D">
        <w:t xml:space="preserve">The subsequent sections, in turn, focus on each research question. </w:t>
      </w:r>
    </w:p>
    <w:p w14:paraId="0BF4C98C" w14:textId="37874511" w:rsidR="002E562D" w:rsidRDefault="00C236F3" w:rsidP="002E562D">
      <w:pPr>
        <w:pStyle w:val="Heading2"/>
      </w:pPr>
      <w:bookmarkStart w:id="32" w:name="_Toc161327586"/>
      <w:r>
        <w:t>Characteristics of</w:t>
      </w:r>
      <w:r w:rsidRPr="00C76A48">
        <w:t xml:space="preserve"> </w:t>
      </w:r>
      <w:r w:rsidR="002E562D">
        <w:t>surveyed businesses</w:t>
      </w:r>
      <w:bookmarkEnd w:id="32"/>
    </w:p>
    <w:p w14:paraId="332FC080" w14:textId="3C6E666D" w:rsidR="00E62A2B" w:rsidRDefault="00E62A2B" w:rsidP="005C267D">
      <w:r w:rsidRPr="00397DAB">
        <w:t xml:space="preserve">This section describes the characteristics of the </w:t>
      </w:r>
      <w:r w:rsidR="00397DAB" w:rsidRPr="00397DAB">
        <w:t>businesses</w:t>
      </w:r>
      <w:r w:rsidRPr="00397DAB">
        <w:t xml:space="preserve"> in the sampl</w:t>
      </w:r>
      <w:r w:rsidR="00C3004F" w:rsidRPr="00397DAB">
        <w:t>e</w:t>
      </w:r>
      <w:r w:rsidR="00397DAB" w:rsidRPr="00397DAB">
        <w:t>. This covers firmographic information, as well as the kinds of challenges faced and the types of other support accessed during the pandemic.</w:t>
      </w:r>
      <w:r w:rsidR="00C3004F" w:rsidRPr="00397DAB">
        <w:t xml:space="preserve"> </w:t>
      </w:r>
      <w:r w:rsidR="0007165B" w:rsidRPr="00397DAB">
        <w:t xml:space="preserve">These descriptive statistics </w:t>
      </w:r>
      <w:r w:rsidR="00397DAB" w:rsidRPr="00397DAB">
        <w:t xml:space="preserve">are intended to </w:t>
      </w:r>
      <w:r w:rsidR="0007165B" w:rsidRPr="00397DAB">
        <w:t xml:space="preserve">provide context for the results presented in subsequent sections. </w:t>
      </w:r>
    </w:p>
    <w:p w14:paraId="470F0D27" w14:textId="398CC997" w:rsidR="00AB00B9" w:rsidRPr="00397DAB" w:rsidRDefault="008B2965" w:rsidP="00373904">
      <w:pPr>
        <w:pStyle w:val="Heading3"/>
      </w:pPr>
      <w:r w:rsidRPr="00397DAB">
        <w:t>B</w:t>
      </w:r>
      <w:r w:rsidR="00AB00B9" w:rsidRPr="00397DAB">
        <w:t>usiness characteristics</w:t>
      </w:r>
      <w:r w:rsidRPr="00397DAB">
        <w:t xml:space="preserve"> of</w:t>
      </w:r>
      <w:r w:rsidR="00E34F48">
        <w:t xml:space="preserve"> borrowers in</w:t>
      </w:r>
      <w:r w:rsidRPr="00397DAB">
        <w:t xml:space="preserve"> the sample</w:t>
      </w:r>
    </w:p>
    <w:p w14:paraId="2618382A" w14:textId="498D2131" w:rsidR="00211470" w:rsidRDefault="00211470" w:rsidP="00AB3D40">
      <w:pPr>
        <w:pStyle w:val="ListBullet"/>
      </w:pPr>
      <w:r>
        <w:t>The majority (53%) of borrowers</w:t>
      </w:r>
      <w:r w:rsidR="002E562D">
        <w:t xml:space="preserve"> in the sample</w:t>
      </w:r>
      <w:r>
        <w:t xml:space="preserve"> had an annual turnover of between £100,000 and £1 million</w:t>
      </w:r>
      <w:r w:rsidR="00B217EC">
        <w:t xml:space="preserve"> in the latest financial year</w:t>
      </w:r>
      <w:r>
        <w:t xml:space="preserve">, which was split between £100,000-£250,000 (16%), £250,000-£500,000 (17%) and £500,000-£1 million (19%). A further 40% of borrowers reported turnover of £1 million or more, whilst only 4% of borrowers reported turnover of less than £100,000 </w:t>
      </w:r>
      <w:r w:rsidR="00EE33AE">
        <w:t>(</w:t>
      </w:r>
      <w:r w:rsidR="00EE33AE">
        <w:fldChar w:fldCharType="begin"/>
      </w:r>
      <w:r w:rsidR="00EE33AE">
        <w:instrText xml:space="preserve"> REF _Ref151988068 \h </w:instrText>
      </w:r>
      <w:r w:rsidR="00EE33AE">
        <w:fldChar w:fldCharType="separate"/>
      </w:r>
      <w:r w:rsidR="001525E9" w:rsidRPr="00D0457A">
        <w:t xml:space="preserve">Table </w:t>
      </w:r>
      <w:r w:rsidR="001525E9">
        <w:rPr>
          <w:noProof/>
        </w:rPr>
        <w:t>17</w:t>
      </w:r>
      <w:r w:rsidR="00EE33AE">
        <w:fldChar w:fldCharType="end"/>
      </w:r>
      <w:r w:rsidR="00EE33AE">
        <w:t xml:space="preserve"> in </w:t>
      </w:r>
      <w:r w:rsidR="00EE33AE">
        <w:fldChar w:fldCharType="begin"/>
      </w:r>
      <w:r w:rsidR="00EE33AE">
        <w:instrText xml:space="preserve"> REF _Ref149920057 \h </w:instrText>
      </w:r>
      <w:r w:rsidR="00EE33AE">
        <w:fldChar w:fldCharType="separate"/>
      </w:r>
      <w:r w:rsidR="001525E9" w:rsidRPr="00B217EC">
        <w:t>Annex 3</w:t>
      </w:r>
      <w:r w:rsidR="00EE33AE">
        <w:fldChar w:fldCharType="end"/>
      </w:r>
      <w:r w:rsidR="00EE33AE">
        <w:t>)</w:t>
      </w:r>
      <w:r>
        <w:t>.</w:t>
      </w:r>
    </w:p>
    <w:p w14:paraId="2818DFB3" w14:textId="3645EB56" w:rsidR="00B21B8A" w:rsidRDefault="00B21B8A" w:rsidP="00AB3D40">
      <w:pPr>
        <w:pStyle w:val="ListBullet"/>
      </w:pPr>
      <w:r>
        <w:t xml:space="preserve">The majority of borrowers (59%) </w:t>
      </w:r>
      <w:r w:rsidR="00211470">
        <w:t>ha</w:t>
      </w:r>
      <w:r w:rsidR="00097B64">
        <w:t>d</w:t>
      </w:r>
      <w:r w:rsidR="00211470">
        <w:t xml:space="preserve"> between 1-9 employees, </w:t>
      </w:r>
      <w:r w:rsidR="009829B9">
        <w:t>a</w:t>
      </w:r>
      <w:r>
        <w:t>round a third (</w:t>
      </w:r>
      <w:r w:rsidR="00B217EC">
        <w:t>37</w:t>
      </w:r>
      <w:r>
        <w:t xml:space="preserve">%) </w:t>
      </w:r>
      <w:r w:rsidR="00211470">
        <w:t>had between 10-49 employees</w:t>
      </w:r>
      <w:r>
        <w:t xml:space="preserve">, and a further </w:t>
      </w:r>
      <w:r w:rsidR="005230B0">
        <w:t>4</w:t>
      </w:r>
      <w:r>
        <w:t xml:space="preserve">% </w:t>
      </w:r>
      <w:r w:rsidR="00211470">
        <w:t>had between 50-249 employees</w:t>
      </w:r>
      <w:r w:rsidR="00B217EC">
        <w:t xml:space="preserve"> in the latest financial year </w:t>
      </w:r>
      <w:r>
        <w:t>(</w:t>
      </w:r>
      <w:r w:rsidR="00EE33AE">
        <w:fldChar w:fldCharType="begin"/>
      </w:r>
      <w:r w:rsidR="00EE33AE">
        <w:instrText xml:space="preserve"> REF _Ref90981830 \h </w:instrText>
      </w:r>
      <w:r w:rsidR="00EE33AE">
        <w:fldChar w:fldCharType="separate"/>
      </w:r>
      <w:r w:rsidR="001525E9" w:rsidRPr="00D0457A">
        <w:t xml:space="preserve">Table </w:t>
      </w:r>
      <w:r w:rsidR="001525E9">
        <w:rPr>
          <w:noProof/>
        </w:rPr>
        <w:t>19</w:t>
      </w:r>
      <w:r w:rsidR="00EE33AE">
        <w:fldChar w:fldCharType="end"/>
      </w:r>
      <w:r w:rsidR="00EE33AE">
        <w:t xml:space="preserve"> and </w:t>
      </w:r>
      <w:r w:rsidR="00EE33AE">
        <w:fldChar w:fldCharType="begin"/>
      </w:r>
      <w:r w:rsidR="00EE33AE">
        <w:instrText xml:space="preserve"> REF _Ref151988211 \h </w:instrText>
      </w:r>
      <w:r w:rsidR="00EE33AE">
        <w:fldChar w:fldCharType="separate"/>
      </w:r>
      <w:r w:rsidR="001525E9" w:rsidRPr="00D0457A">
        <w:t xml:space="preserve">Table </w:t>
      </w:r>
      <w:r w:rsidR="001525E9">
        <w:rPr>
          <w:noProof/>
        </w:rPr>
        <w:t>20</w:t>
      </w:r>
      <w:r w:rsidR="00EE33AE">
        <w:fldChar w:fldCharType="end"/>
      </w:r>
      <w:r w:rsidR="00EE33AE">
        <w:t xml:space="preserve"> in </w:t>
      </w:r>
      <w:r w:rsidR="00EE33AE">
        <w:fldChar w:fldCharType="begin"/>
      </w:r>
      <w:r w:rsidR="00EE33AE">
        <w:instrText xml:space="preserve"> REF _Ref149920057 \h </w:instrText>
      </w:r>
      <w:r w:rsidR="00EE33AE">
        <w:fldChar w:fldCharType="separate"/>
      </w:r>
      <w:r w:rsidR="001525E9" w:rsidRPr="00B217EC">
        <w:t>Annex 3</w:t>
      </w:r>
      <w:r w:rsidR="00EE33AE">
        <w:fldChar w:fldCharType="end"/>
      </w:r>
      <w:r>
        <w:t>).</w:t>
      </w:r>
    </w:p>
    <w:p w14:paraId="6636B93C" w14:textId="70CA569A" w:rsidR="00B21B8A" w:rsidRDefault="00B21B8A" w:rsidP="00AB3D40">
      <w:pPr>
        <w:pStyle w:val="ListBullet"/>
      </w:pPr>
      <w:r>
        <w:t>27% of borrowers were</w:t>
      </w:r>
      <w:r w:rsidR="002E562D">
        <w:t xml:space="preserve"> businesses that were</w:t>
      </w:r>
      <w:r>
        <w:t xml:space="preserve"> less than 10 years old. A further </w:t>
      </w:r>
      <w:r w:rsidR="00B217EC">
        <w:t>39</w:t>
      </w:r>
      <w:r>
        <w:t xml:space="preserve">% were between ten and twenty years old. </w:t>
      </w:r>
      <w:r w:rsidR="00E34F48">
        <w:t>The final</w:t>
      </w:r>
      <w:r>
        <w:t xml:space="preserve"> 34% of borrowers were more than </w:t>
      </w:r>
      <w:r w:rsidR="009829B9">
        <w:t>twenty</w:t>
      </w:r>
      <w:r>
        <w:t xml:space="preserve"> years old</w:t>
      </w:r>
      <w:r w:rsidR="00E34F48">
        <w:t xml:space="preserve"> </w:t>
      </w:r>
      <w:r>
        <w:t>(</w:t>
      </w:r>
      <w:r w:rsidR="00EE33AE">
        <w:fldChar w:fldCharType="begin"/>
      </w:r>
      <w:r w:rsidR="00EE33AE">
        <w:instrText xml:space="preserve"> REF _Ref151988222 \h </w:instrText>
      </w:r>
      <w:r w:rsidR="00EE33AE">
        <w:fldChar w:fldCharType="separate"/>
      </w:r>
      <w:r w:rsidR="001525E9" w:rsidRPr="00D0457A">
        <w:t xml:space="preserve">Table </w:t>
      </w:r>
      <w:r w:rsidR="001525E9">
        <w:rPr>
          <w:noProof/>
        </w:rPr>
        <w:t>21</w:t>
      </w:r>
      <w:r w:rsidR="00EE33AE">
        <w:fldChar w:fldCharType="end"/>
      </w:r>
      <w:r w:rsidR="00EE33AE">
        <w:t xml:space="preserve"> in </w:t>
      </w:r>
      <w:r w:rsidR="00EE33AE">
        <w:fldChar w:fldCharType="begin"/>
      </w:r>
      <w:r w:rsidR="00EE33AE">
        <w:instrText xml:space="preserve"> REF _Ref149920057 \h </w:instrText>
      </w:r>
      <w:r w:rsidR="00EE33AE">
        <w:fldChar w:fldCharType="separate"/>
      </w:r>
      <w:r w:rsidR="001525E9" w:rsidRPr="00B217EC">
        <w:t>Annex 3</w:t>
      </w:r>
      <w:r w:rsidR="00EE33AE">
        <w:fldChar w:fldCharType="end"/>
      </w:r>
      <w:r>
        <w:t>).</w:t>
      </w:r>
    </w:p>
    <w:p w14:paraId="39F3EAD9" w14:textId="03DF2CFB" w:rsidR="00B21B8A" w:rsidRDefault="00B21B8A" w:rsidP="00AB3D40">
      <w:pPr>
        <w:pStyle w:val="ListBullet"/>
      </w:pPr>
      <w:r>
        <w:t xml:space="preserve">The most </w:t>
      </w:r>
      <w:r w:rsidR="00B217EC">
        <w:t xml:space="preserve">common </w:t>
      </w:r>
      <w:r w:rsidR="00E34F48">
        <w:t>regions</w:t>
      </w:r>
      <w:r w:rsidR="009829B9">
        <w:t xml:space="preserve"> </w:t>
      </w:r>
      <w:r w:rsidR="002E562D">
        <w:t>where</w:t>
      </w:r>
      <w:r w:rsidR="00B217EC">
        <w:t xml:space="preserve"> RLS 1.0 borrowers </w:t>
      </w:r>
      <w:r w:rsidR="002E562D">
        <w:t>were</w:t>
      </w:r>
      <w:r w:rsidR="00B217EC">
        <w:t xml:space="preserve"> based </w:t>
      </w:r>
      <w:r w:rsidR="009829B9">
        <w:t>were</w:t>
      </w:r>
      <w:r>
        <w:t xml:space="preserve"> London (18%) and the South East (1</w:t>
      </w:r>
      <w:r w:rsidR="00B217EC">
        <w:t>5</w:t>
      </w:r>
      <w:r>
        <w:t>%). A</w:t>
      </w:r>
      <w:r w:rsidR="00B217EC">
        <w:t>pproximately</w:t>
      </w:r>
      <w:r>
        <w:t xml:space="preserve"> 10% of borrowers </w:t>
      </w:r>
      <w:r w:rsidR="009829B9">
        <w:t>were</w:t>
      </w:r>
      <w:r>
        <w:t xml:space="preserve"> based in </w:t>
      </w:r>
      <w:r w:rsidR="009829B9">
        <w:t xml:space="preserve">each of </w:t>
      </w:r>
      <w:r>
        <w:t>the East of England, the West Midlands and the North West</w:t>
      </w:r>
      <w:r w:rsidR="00211470">
        <w:t xml:space="preserve"> </w:t>
      </w:r>
      <w:r>
        <w:t>(</w:t>
      </w:r>
      <w:r w:rsidR="00EE33AE">
        <w:fldChar w:fldCharType="begin"/>
      </w:r>
      <w:r w:rsidR="00EE33AE">
        <w:instrText xml:space="preserve"> REF _Ref151391167 \h </w:instrText>
      </w:r>
      <w:r w:rsidR="00EE33AE">
        <w:fldChar w:fldCharType="separate"/>
      </w:r>
      <w:r w:rsidR="001525E9" w:rsidRPr="00D0457A">
        <w:t xml:space="preserve">Table </w:t>
      </w:r>
      <w:r w:rsidR="001525E9">
        <w:rPr>
          <w:noProof/>
        </w:rPr>
        <w:t>22</w:t>
      </w:r>
      <w:r w:rsidR="00EE33AE">
        <w:fldChar w:fldCharType="end"/>
      </w:r>
      <w:r w:rsidR="00EE33AE">
        <w:t xml:space="preserve"> in </w:t>
      </w:r>
      <w:r w:rsidR="00EE33AE">
        <w:fldChar w:fldCharType="begin"/>
      </w:r>
      <w:r w:rsidR="00EE33AE">
        <w:instrText xml:space="preserve"> REF _Ref149920057 \h </w:instrText>
      </w:r>
      <w:r w:rsidR="00EE33AE">
        <w:fldChar w:fldCharType="separate"/>
      </w:r>
      <w:r w:rsidR="001525E9" w:rsidRPr="00B217EC">
        <w:t>Annex 3</w:t>
      </w:r>
      <w:r w:rsidR="00EE33AE">
        <w:fldChar w:fldCharType="end"/>
      </w:r>
      <w:r>
        <w:t>).</w:t>
      </w:r>
    </w:p>
    <w:p w14:paraId="641B94BB" w14:textId="413E16D7" w:rsidR="00B21B8A" w:rsidRDefault="379C4385" w:rsidP="00AB3D40">
      <w:pPr>
        <w:pStyle w:val="ListBullet"/>
      </w:pPr>
      <w:r>
        <w:t>Approximately 60% of borrowers operate</w:t>
      </w:r>
      <w:r w:rsidR="002E562D">
        <w:t>d</w:t>
      </w:r>
      <w:r>
        <w:t xml:space="preserve"> in either the Business Services (30%) or Distribution (29%) sectors. The Production and Construction sectors both account</w:t>
      </w:r>
      <w:r w:rsidR="002E562D">
        <w:t>ed</w:t>
      </w:r>
      <w:r>
        <w:t xml:space="preserve"> for 15% of borrowers, and a further 11% of borrowers operate</w:t>
      </w:r>
      <w:r w:rsidR="002E562D">
        <w:t>d</w:t>
      </w:r>
      <w:r>
        <w:t xml:space="preserve"> in the Other Services sector</w:t>
      </w:r>
      <w:r w:rsidR="1455D786">
        <w:t xml:space="preserve"> </w:t>
      </w:r>
      <w:r>
        <w:t>(</w:t>
      </w:r>
      <w:r w:rsidR="00EE33AE">
        <w:fldChar w:fldCharType="begin"/>
      </w:r>
      <w:r w:rsidR="00EE33AE">
        <w:instrText xml:space="preserve"> REF _Ref151391176 \h </w:instrText>
      </w:r>
      <w:r w:rsidR="00EE33AE">
        <w:fldChar w:fldCharType="separate"/>
      </w:r>
      <w:r w:rsidR="001525E9" w:rsidRPr="00D0457A">
        <w:t xml:space="preserve">Table </w:t>
      </w:r>
      <w:r w:rsidR="001525E9">
        <w:rPr>
          <w:noProof/>
        </w:rPr>
        <w:t>23</w:t>
      </w:r>
      <w:r w:rsidR="00EE33AE">
        <w:fldChar w:fldCharType="end"/>
      </w:r>
      <w:r w:rsidR="6DA71CDE">
        <w:t xml:space="preserve"> in </w:t>
      </w:r>
      <w:r w:rsidR="00EE33AE">
        <w:fldChar w:fldCharType="begin"/>
      </w:r>
      <w:r w:rsidR="00EE33AE">
        <w:instrText xml:space="preserve"> REF _Ref149920057 \h </w:instrText>
      </w:r>
      <w:r w:rsidR="00EE33AE">
        <w:fldChar w:fldCharType="separate"/>
      </w:r>
      <w:r w:rsidR="001525E9" w:rsidRPr="00B217EC">
        <w:t>Annex 3</w:t>
      </w:r>
      <w:r w:rsidR="00EE33AE">
        <w:fldChar w:fldCharType="end"/>
      </w:r>
      <w:r w:rsidR="6DA71CDE">
        <w:t>)</w:t>
      </w:r>
      <w:r w:rsidR="4DBF8CCD">
        <w:t>.</w:t>
      </w:r>
      <w:r w:rsidR="008627B9">
        <w:rPr>
          <w:rStyle w:val="FootnoteReference"/>
        </w:rPr>
        <w:footnoteReference w:id="26"/>
      </w:r>
    </w:p>
    <w:p w14:paraId="7E362411" w14:textId="041E7872" w:rsidR="00231F49" w:rsidRDefault="00231F49" w:rsidP="00231F49">
      <w:pPr>
        <w:pStyle w:val="Heading3"/>
      </w:pPr>
      <w:r>
        <w:t xml:space="preserve">Comparison of the business characteristics of borrowers </w:t>
      </w:r>
      <w:r w:rsidR="00C902FF">
        <w:t>to</w:t>
      </w:r>
      <w:r>
        <w:t xml:space="preserve"> non-borrowers in the sample and the wider business population</w:t>
      </w:r>
    </w:p>
    <w:p w14:paraId="23940F71" w14:textId="7FA6A37C" w:rsidR="0054497B" w:rsidRPr="002E562D" w:rsidRDefault="0054497B" w:rsidP="002E562D">
      <w:pPr>
        <w:pStyle w:val="ListBullet"/>
      </w:pPr>
      <w:r w:rsidRPr="002E562D">
        <w:t xml:space="preserve">The borrower and non-borrower </w:t>
      </w:r>
      <w:r>
        <w:t>samples</w:t>
      </w:r>
      <w:r w:rsidRPr="002E562D">
        <w:t xml:space="preserve"> are very similar</w:t>
      </w:r>
      <w:r>
        <w:t xml:space="preserve"> </w:t>
      </w:r>
      <w:r w:rsidR="00C902FF">
        <w:t xml:space="preserve">in size, sector and region as both groups were constructed to match as closely as possible to the borrower population, as shown in </w:t>
      </w:r>
      <w:r w:rsidR="00C902FF">
        <w:fldChar w:fldCharType="begin"/>
      </w:r>
      <w:r w:rsidR="00C902FF">
        <w:instrText xml:space="preserve"> REF _Ref149920057 \h </w:instrText>
      </w:r>
      <w:r w:rsidR="00C902FF">
        <w:fldChar w:fldCharType="separate"/>
      </w:r>
      <w:r w:rsidR="001525E9" w:rsidRPr="00B217EC">
        <w:t>Annex 3</w:t>
      </w:r>
      <w:r w:rsidR="00C902FF">
        <w:fldChar w:fldCharType="end"/>
      </w:r>
      <w:r w:rsidR="00C902FF">
        <w:t xml:space="preserve">. </w:t>
      </w:r>
    </w:p>
    <w:p w14:paraId="3DF9E29B" w14:textId="54DB234A" w:rsidR="00CB6E34" w:rsidRDefault="00CB6E34" w:rsidP="00CB6E34">
      <w:pPr>
        <w:pStyle w:val="ListBullet"/>
      </w:pPr>
      <w:r>
        <w:t>The sample of n</w:t>
      </w:r>
      <w:r w:rsidRPr="00584243">
        <w:t xml:space="preserve">on-borrowers tended to be </w:t>
      </w:r>
      <w:r w:rsidR="00C902FF">
        <w:t>sligh</w:t>
      </w:r>
      <w:r w:rsidR="008627B9">
        <w:t>t</w:t>
      </w:r>
      <w:r w:rsidR="00C902FF">
        <w:t xml:space="preserve">ly </w:t>
      </w:r>
      <w:r w:rsidRPr="00584243">
        <w:t xml:space="preserve">older than </w:t>
      </w:r>
      <w:r>
        <w:t xml:space="preserve">the sample of RLS 1.0 </w:t>
      </w:r>
      <w:r w:rsidRPr="00584243">
        <w:t xml:space="preserve">borrowers. </w:t>
      </w:r>
      <w:r w:rsidR="00C902FF">
        <w:t>Slightly more than one</w:t>
      </w:r>
      <w:r w:rsidRPr="00584243">
        <w:t xml:space="preserve"> half (56%) of non-borrowers were </w:t>
      </w:r>
      <w:r w:rsidR="002E562D">
        <w:t xml:space="preserve">businesses that were </w:t>
      </w:r>
      <w:r w:rsidRPr="00584243">
        <w:t>more than 20 years old</w:t>
      </w:r>
      <w:r>
        <w:t>,</w:t>
      </w:r>
      <w:r w:rsidRPr="00584243">
        <w:t xml:space="preserve"> compared to roughly a third (34%) of RLS 1.0 borrowers</w:t>
      </w:r>
      <w:r>
        <w:t xml:space="preserve"> (</w:t>
      </w:r>
      <w:r>
        <w:fldChar w:fldCharType="begin"/>
      </w:r>
      <w:r>
        <w:instrText xml:space="preserve"> REF _Ref151988222 \h </w:instrText>
      </w:r>
      <w:r>
        <w:fldChar w:fldCharType="separate"/>
      </w:r>
      <w:r w:rsidR="001525E9" w:rsidRPr="00D0457A">
        <w:t xml:space="preserve">Table </w:t>
      </w:r>
      <w:r w:rsidR="001525E9">
        <w:rPr>
          <w:noProof/>
        </w:rPr>
        <w:t>21</w:t>
      </w:r>
      <w:r>
        <w:fldChar w:fldCharType="end"/>
      </w:r>
      <w:r>
        <w:t xml:space="preserve"> in </w:t>
      </w:r>
      <w:r>
        <w:fldChar w:fldCharType="begin"/>
      </w:r>
      <w:r>
        <w:instrText xml:space="preserve"> REF _Ref149920057 \h </w:instrText>
      </w:r>
      <w:r>
        <w:fldChar w:fldCharType="separate"/>
      </w:r>
      <w:r w:rsidR="001525E9" w:rsidRPr="00B217EC">
        <w:t>Annex 3</w:t>
      </w:r>
      <w:r>
        <w:fldChar w:fldCharType="end"/>
      </w:r>
      <w:r>
        <w:t>).</w:t>
      </w:r>
      <w:r w:rsidRPr="00584243">
        <w:t xml:space="preserve"> </w:t>
      </w:r>
    </w:p>
    <w:p w14:paraId="22B57976" w14:textId="45308E73" w:rsidR="0054497B" w:rsidRDefault="12D6CAAF">
      <w:pPr>
        <w:pStyle w:val="ListBullet"/>
      </w:pPr>
      <w:r>
        <w:t xml:space="preserve">Business Population Estimates </w:t>
      </w:r>
      <w:r w:rsidR="3C25F9E7">
        <w:t xml:space="preserve">(BPE) </w:t>
      </w:r>
      <w:r>
        <w:t xml:space="preserve">from the start of 2021 are used to compare the </w:t>
      </w:r>
      <w:r w:rsidR="3C25F9E7">
        <w:t>b</w:t>
      </w:r>
      <w:r>
        <w:t>orrower and non-borrower</w:t>
      </w:r>
      <w:r w:rsidR="3C25F9E7">
        <w:t xml:space="preserve"> samples</w:t>
      </w:r>
      <w:r>
        <w:t xml:space="preserve"> to the business population.</w:t>
      </w:r>
      <w:r w:rsidR="0054497B">
        <w:rPr>
          <w:rStyle w:val="FootnoteReference"/>
        </w:rPr>
        <w:footnoteReference w:id="27"/>
      </w:r>
      <w:r>
        <w:t xml:space="preserve"> </w:t>
      </w:r>
      <w:r w:rsidR="3C25F9E7">
        <w:t>The wider business population is very similar to both the borrower and non-borrower samples in terms of sectoral and regional breakdown.</w:t>
      </w:r>
      <w:r w:rsidR="00CB6E34">
        <w:rPr>
          <w:rStyle w:val="FootnoteReference"/>
        </w:rPr>
        <w:footnoteReference w:id="28"/>
      </w:r>
    </w:p>
    <w:p w14:paraId="65AFF840" w14:textId="490CB7B7" w:rsidR="00CB6E34" w:rsidRPr="002E562D" w:rsidRDefault="00CB6E34" w:rsidP="002E562D">
      <w:pPr>
        <w:pStyle w:val="ListBullet"/>
      </w:pPr>
      <w:r w:rsidRPr="00584243">
        <w:t>There was a slight differen</w:t>
      </w:r>
      <w:r>
        <w:t>ce</w:t>
      </w:r>
      <w:r w:rsidRPr="00584243">
        <w:t xml:space="preserve"> between </w:t>
      </w:r>
      <w:r w:rsidR="00C902FF">
        <w:t>borrowers and the general business population</w:t>
      </w:r>
      <w:r>
        <w:t xml:space="preserve"> in terms of business size</w:t>
      </w:r>
      <w:r w:rsidRPr="00584243">
        <w:t xml:space="preserve">, with a larger proportion of borrowers (59%) having fewer than 10 employees </w:t>
      </w:r>
      <w:r>
        <w:t xml:space="preserve">than </w:t>
      </w:r>
      <w:r w:rsidRPr="00584243">
        <w:t>non-borrowers (55%)</w:t>
      </w:r>
      <w:r>
        <w:t xml:space="preserve"> (</w:t>
      </w:r>
      <w:r>
        <w:fldChar w:fldCharType="begin"/>
      </w:r>
      <w:r>
        <w:instrText xml:space="preserve"> REF _Ref90981830 \h </w:instrText>
      </w:r>
      <w:r>
        <w:fldChar w:fldCharType="separate"/>
      </w:r>
      <w:r w:rsidR="001525E9" w:rsidRPr="00D0457A">
        <w:t xml:space="preserve">Table </w:t>
      </w:r>
      <w:r w:rsidR="001525E9">
        <w:rPr>
          <w:noProof/>
        </w:rPr>
        <w:t>19</w:t>
      </w:r>
      <w:r>
        <w:fldChar w:fldCharType="end"/>
      </w:r>
      <w:r>
        <w:t xml:space="preserve"> and </w:t>
      </w:r>
      <w:r>
        <w:fldChar w:fldCharType="begin"/>
      </w:r>
      <w:r>
        <w:instrText xml:space="preserve"> REF _Ref151988211 \h </w:instrText>
      </w:r>
      <w:r>
        <w:fldChar w:fldCharType="separate"/>
      </w:r>
      <w:r w:rsidR="001525E9" w:rsidRPr="00D0457A">
        <w:t xml:space="preserve">Table </w:t>
      </w:r>
      <w:r w:rsidR="001525E9">
        <w:rPr>
          <w:noProof/>
        </w:rPr>
        <w:t>20</w:t>
      </w:r>
      <w:r>
        <w:fldChar w:fldCharType="end"/>
      </w:r>
      <w:r>
        <w:t xml:space="preserve"> in </w:t>
      </w:r>
      <w:r>
        <w:fldChar w:fldCharType="begin"/>
      </w:r>
      <w:r>
        <w:instrText xml:space="preserve"> REF _Ref149920057 \h </w:instrText>
      </w:r>
      <w:r>
        <w:fldChar w:fldCharType="separate"/>
      </w:r>
      <w:r w:rsidR="001525E9" w:rsidRPr="00B217EC">
        <w:t>Annex 3</w:t>
      </w:r>
      <w:r>
        <w:fldChar w:fldCharType="end"/>
      </w:r>
      <w:r>
        <w:t xml:space="preserve">). </w:t>
      </w:r>
      <w:r w:rsidR="002E562D">
        <w:t>A</w:t>
      </w:r>
      <w:r>
        <w:t xml:space="preserve"> much larger proportion (83%) of the wider business population (with between 1 and 249 employees) had fewer than 10 employees.</w:t>
      </w:r>
    </w:p>
    <w:p w14:paraId="5D7BFE68" w14:textId="6761A61D" w:rsidR="0054497B" w:rsidRPr="002E562D" w:rsidRDefault="00CB6E34" w:rsidP="002E562D">
      <w:pPr>
        <w:pStyle w:val="ListBullet"/>
      </w:pPr>
      <w:r>
        <w:t>Similarly, 37% of both the borrower and non-borrower samples had between 10 and 49 employees, compared to 15% of the wider business population.</w:t>
      </w:r>
    </w:p>
    <w:p w14:paraId="7A1B07EA" w14:textId="5131C880" w:rsidR="009829B9" w:rsidRPr="009829B9" w:rsidRDefault="00F027A1" w:rsidP="009829B9">
      <w:pPr>
        <w:pStyle w:val="Heading3"/>
      </w:pPr>
      <w:r>
        <w:t>Obstacles</w:t>
      </w:r>
      <w:r w:rsidR="003107D8">
        <w:t xml:space="preserve"> faced by borrowers and non-borrowers</w:t>
      </w:r>
    </w:p>
    <w:p w14:paraId="1D5A6A07" w14:textId="0444D67B" w:rsidR="00E34F48" w:rsidRPr="00E34F48" w:rsidRDefault="00E34F48" w:rsidP="009829B9">
      <w:pPr>
        <w:pStyle w:val="ListBullet"/>
        <w:rPr>
          <w:szCs w:val="24"/>
        </w:rPr>
      </w:pPr>
      <w:r w:rsidRPr="00E34F48">
        <w:rPr>
          <w:szCs w:val="24"/>
        </w:rPr>
        <w:t>Borrowers were more likely to experience major obstacles than non-borrowers in the first year of the pandemic (</w:t>
      </w:r>
      <w:r w:rsidRPr="00E34F48">
        <w:rPr>
          <w:szCs w:val="24"/>
        </w:rPr>
        <w:fldChar w:fldCharType="begin"/>
      </w:r>
      <w:r w:rsidRPr="00E34F48">
        <w:rPr>
          <w:szCs w:val="24"/>
        </w:rPr>
        <w:instrText xml:space="preserve"> REF _Ref151468516 \h </w:instrText>
      </w:r>
      <w:r>
        <w:rPr>
          <w:szCs w:val="24"/>
        </w:rPr>
        <w:instrText xml:space="preserve"> \* MERGEFORMAT </w:instrText>
      </w:r>
      <w:r w:rsidRPr="00E34F48">
        <w:rPr>
          <w:szCs w:val="24"/>
        </w:rPr>
      </w:r>
      <w:r w:rsidRPr="00E34F48">
        <w:rPr>
          <w:szCs w:val="24"/>
        </w:rPr>
        <w:fldChar w:fldCharType="separate"/>
      </w:r>
      <w:r w:rsidR="001525E9" w:rsidRPr="001525E9">
        <w:rPr>
          <w:szCs w:val="24"/>
        </w:rPr>
        <w:t xml:space="preserve">Figure </w:t>
      </w:r>
      <w:r w:rsidR="001525E9" w:rsidRPr="001525E9">
        <w:rPr>
          <w:noProof/>
          <w:szCs w:val="24"/>
        </w:rPr>
        <w:t>9</w:t>
      </w:r>
      <w:r w:rsidRPr="00E34F48">
        <w:rPr>
          <w:szCs w:val="24"/>
        </w:rPr>
        <w:fldChar w:fldCharType="end"/>
      </w:r>
      <w:r w:rsidRPr="00E34F48">
        <w:rPr>
          <w:szCs w:val="24"/>
        </w:rPr>
        <w:t xml:space="preserve">). </w:t>
      </w:r>
    </w:p>
    <w:p w14:paraId="0463D42D" w14:textId="78D9C1B0" w:rsidR="009829B9" w:rsidRPr="009829B9" w:rsidRDefault="009829B9" w:rsidP="009829B9">
      <w:pPr>
        <w:pStyle w:val="ListBullet"/>
        <w:rPr>
          <w:sz w:val="22"/>
        </w:rPr>
      </w:pPr>
      <w:r>
        <w:t xml:space="preserve">The </w:t>
      </w:r>
      <w:r w:rsidR="00F027A1">
        <w:t>obstacle</w:t>
      </w:r>
      <w:r>
        <w:t xml:space="preserve"> faced most often (by both borrowers and non-borrowers) was related to changes in market demand, which was described as a major obstacle by 62% of RLS </w:t>
      </w:r>
      <w:r w:rsidR="002B18A5">
        <w:t xml:space="preserve">1.0 </w:t>
      </w:r>
      <w:r>
        <w:t>borrowers and 51% of non-borrowers</w:t>
      </w:r>
      <w:r w:rsidR="00E34F48">
        <w:t>.</w:t>
      </w:r>
    </w:p>
    <w:p w14:paraId="2826F4E7" w14:textId="10371BCA" w:rsidR="009829B9" w:rsidRDefault="009829B9" w:rsidP="009829B9">
      <w:pPr>
        <w:pStyle w:val="ListBullet"/>
        <w:rPr>
          <w:sz w:val="22"/>
        </w:rPr>
      </w:pPr>
      <w:r>
        <w:t xml:space="preserve">Other common major obstacles faced by both borrowers and non-borrowers included supply chain disruptions (affecting 49% of borrowers and 43% of non-borrowers) and changes </w:t>
      </w:r>
      <w:r w:rsidR="002E562D">
        <w:t>to</w:t>
      </w:r>
      <w:r>
        <w:t xml:space="preserve"> Covid-19 compliance (46% and 44% respectively).</w:t>
      </w:r>
    </w:p>
    <w:p w14:paraId="2FE840F4" w14:textId="7E015800" w:rsidR="009829B9" w:rsidRDefault="009829B9" w:rsidP="00AB3D40">
      <w:pPr>
        <w:pStyle w:val="ListBullet"/>
      </w:pPr>
      <w:r>
        <w:t>Increased debt levels were an important challenge faced by borrowers (49%), although a much smaller proportion of non-borrowers reported that increased debt levels were a major obstacle (25%).</w:t>
      </w:r>
    </w:p>
    <w:p w14:paraId="04808BD4" w14:textId="29A237D5" w:rsidR="009829B9" w:rsidRPr="009829B9" w:rsidRDefault="009829B9" w:rsidP="009829B9">
      <w:pPr>
        <w:pStyle w:val="Heading5"/>
      </w:pPr>
      <w:bookmarkStart w:id="33" w:name="_Ref151468516"/>
      <w:bookmarkStart w:id="34" w:name="_Ref151647739"/>
      <w:r w:rsidRPr="009829B9">
        <w:t xml:space="preserve">Figure </w:t>
      </w:r>
      <w:r>
        <w:fldChar w:fldCharType="begin"/>
      </w:r>
      <w:r>
        <w:instrText xml:space="preserve"> SEQ Figure \* ARABIC </w:instrText>
      </w:r>
      <w:r>
        <w:fldChar w:fldCharType="separate"/>
      </w:r>
      <w:r w:rsidR="001525E9">
        <w:rPr>
          <w:noProof/>
        </w:rPr>
        <w:t>9</w:t>
      </w:r>
      <w:r>
        <w:rPr>
          <w:noProof/>
        </w:rPr>
        <w:fldChar w:fldCharType="end"/>
      </w:r>
      <w:bookmarkEnd w:id="33"/>
      <w:r w:rsidRPr="009829B9">
        <w:t>: Major obstacles faced by borrowers and non-borrowers between March 2020 and March 2021</w:t>
      </w:r>
      <w:bookmarkEnd w:id="34"/>
    </w:p>
    <w:p w14:paraId="5280F684" w14:textId="43C842DB" w:rsidR="009829B9" w:rsidRPr="009829B9" w:rsidRDefault="00A83806" w:rsidP="00A91FD2">
      <w:pPr>
        <w:spacing w:after="0"/>
      </w:pPr>
      <w:r>
        <w:rPr>
          <w:noProof/>
        </w:rPr>
        <w:drawing>
          <wp:inline distT="0" distB="0" distL="0" distR="0" wp14:anchorId="675CC45C" wp14:editId="1272CE6F">
            <wp:extent cx="6441440" cy="4681220"/>
            <wp:effectExtent l="0" t="0" r="0" b="5080"/>
            <wp:docPr id="1818032800" name="Picture 3" descr="This figure shows the major obstacles faced by borrowers and non-borrowers between March 2020 and March 2021. 62% of RLS 1.0 borrowers surveyed described changes in market demand as a major obstacle, 49% described increased debt levels as a major obstacle, 49% described supply chain disruptions as a major obstacle, 46% described changes for Covid-19 compliance as a major obstacle, 29% described issues with late payment as a major obstacle, 20% described access to external finance as a major obstacle and 19% described availability of staff as a major obstacle. 51% of non-borrowers surveyed described changes in market demand as a major obstacle, 25% described increased debt levels as a major obstacle, 43% described supply chain disruptions as a major obstacle, 44% described changes for Covid-19 compliance as a major obstacle, 13% described issues with late payment as a major obstacle, 11% described access to external finance as a major obstacle and 16% described availability of staff as a major obsta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32800" name="Picture 3" descr="This figure shows the major obstacles faced by borrowers and non-borrowers between March 2020 and March 2021. 62% of RLS 1.0 borrowers surveyed described changes in market demand as a major obstacle, 49% described increased debt levels as a major obstacle, 49% described supply chain disruptions as a major obstacle, 46% described changes for Covid-19 compliance as a major obstacle, 29% described issues with late payment as a major obstacle, 20% described access to external finance as a major obstacle and 19% described availability of staff as a major obstacle. 51% of non-borrowers surveyed described changes in market demand as a major obstacle, 25% described increased debt levels as a major obstacle, 43% described supply chain disruptions as a major obstacle, 44% described changes for Covid-19 compliance as a major obstacle, 13% described issues with late payment as a major obstacle, 11% described access to external finance as a major obstacle and 16% described availability of staff as a major obstacl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41440" cy="4681220"/>
                    </a:xfrm>
                    <a:prstGeom prst="rect">
                      <a:avLst/>
                    </a:prstGeom>
                    <a:noFill/>
                    <a:ln>
                      <a:noFill/>
                    </a:ln>
                  </pic:spPr>
                </pic:pic>
              </a:graphicData>
            </a:graphic>
          </wp:inline>
        </w:drawing>
      </w:r>
    </w:p>
    <w:p w14:paraId="387E1021" w14:textId="38608346" w:rsidR="009829B9" w:rsidRPr="00AF7606" w:rsidRDefault="009829B9" w:rsidP="009829B9">
      <w:pPr>
        <w:pStyle w:val="Caption"/>
      </w:pPr>
      <w:r w:rsidRPr="009829B9">
        <w:t>Source: London Economics analysis of survey data</w:t>
      </w:r>
      <w:r w:rsidR="00B217EC">
        <w:t xml:space="preserve">. </w:t>
      </w:r>
      <w:r w:rsidR="00B217EC" w:rsidRPr="00D0457A">
        <w:t xml:space="preserve">Base: All RLS </w:t>
      </w:r>
      <w:r w:rsidR="002B18A5">
        <w:t xml:space="preserve">1.0 </w:t>
      </w:r>
      <w:r w:rsidR="00B217EC" w:rsidRPr="00D0457A">
        <w:t>borrowers (242) and non-borrowers (236).</w:t>
      </w:r>
    </w:p>
    <w:p w14:paraId="671B3FEA" w14:textId="70430D6B" w:rsidR="003107D8" w:rsidRPr="00C76A48" w:rsidRDefault="00E34F48" w:rsidP="003107D8">
      <w:pPr>
        <w:pStyle w:val="Heading3"/>
      </w:pPr>
      <w:r>
        <w:t>Other support accessed by</w:t>
      </w:r>
      <w:r w:rsidR="003107D8" w:rsidRPr="00C76A48">
        <w:t xml:space="preserve"> borrowers and non-borrowers</w:t>
      </w:r>
    </w:p>
    <w:p w14:paraId="3E1202F6" w14:textId="2A7D0785" w:rsidR="00AB4E15" w:rsidRDefault="00AB4E15" w:rsidP="006E0879">
      <w:pPr>
        <w:pStyle w:val="ListBullet"/>
        <w:numPr>
          <w:ilvl w:val="0"/>
          <w:numId w:val="27"/>
        </w:numPr>
      </w:pPr>
      <w:r>
        <w:t xml:space="preserve">A substantial majority of RLS </w:t>
      </w:r>
      <w:r w:rsidR="002B18A5">
        <w:t xml:space="preserve">1.0 </w:t>
      </w:r>
      <w:r>
        <w:t>borrowers (84%) had previously obtained a loan under the Covid-19 Loan Guarantee Schemes, whilst the corresponding figure for non-borrowers was 55% (</w:t>
      </w:r>
      <w:r>
        <w:fldChar w:fldCharType="begin"/>
      </w:r>
      <w:r>
        <w:instrText xml:space="preserve"> REF _Ref151468480 \h </w:instrText>
      </w:r>
      <w:r>
        <w:fldChar w:fldCharType="separate"/>
      </w:r>
      <w:r w:rsidR="001525E9" w:rsidRPr="009829B9">
        <w:t xml:space="preserve">Figure </w:t>
      </w:r>
      <w:r w:rsidR="001525E9">
        <w:rPr>
          <w:noProof/>
        </w:rPr>
        <w:t>10</w:t>
      </w:r>
      <w:r>
        <w:fldChar w:fldCharType="end"/>
      </w:r>
      <w:r>
        <w:t>).</w:t>
      </w:r>
    </w:p>
    <w:p w14:paraId="69AD3CA3" w14:textId="37347107" w:rsidR="00AB4E15" w:rsidRDefault="00E34F48" w:rsidP="006E0879">
      <w:pPr>
        <w:pStyle w:val="ListBullet"/>
        <w:numPr>
          <w:ilvl w:val="0"/>
          <w:numId w:val="27"/>
        </w:numPr>
      </w:pPr>
      <w:r>
        <w:t>Most borrowers and non-borrowers</w:t>
      </w:r>
      <w:r w:rsidR="00AB4E15">
        <w:t xml:space="preserve"> used the </w:t>
      </w:r>
      <w:r w:rsidR="00AB4E15" w:rsidRPr="00AB4E15">
        <w:t>Coronavirus Job Retention Schem</w:t>
      </w:r>
      <w:r w:rsidR="00AB4E15">
        <w:t xml:space="preserve">e, although non-borrowers (72%) were </w:t>
      </w:r>
      <w:r w:rsidR="00211470">
        <w:t xml:space="preserve">slightly </w:t>
      </w:r>
      <w:r w:rsidR="00AB4E15">
        <w:t>more likely to use the scheme than RLS</w:t>
      </w:r>
      <w:r w:rsidR="002B18A5">
        <w:t xml:space="preserve"> 1.0</w:t>
      </w:r>
      <w:r w:rsidR="00AB4E15">
        <w:t xml:space="preserve"> borrowers (69%).</w:t>
      </w:r>
    </w:p>
    <w:p w14:paraId="62E5ED32" w14:textId="4916DB90" w:rsidR="00AB4E15" w:rsidRDefault="00AB4E15" w:rsidP="006E0879">
      <w:pPr>
        <w:pStyle w:val="ListBullet"/>
        <w:numPr>
          <w:ilvl w:val="0"/>
          <w:numId w:val="27"/>
        </w:numPr>
      </w:pPr>
      <w:r>
        <w:t>Other common types of support used by both borrowers and non-borrowers include</w:t>
      </w:r>
      <w:r w:rsidR="002E562D">
        <w:t>d</w:t>
      </w:r>
      <w:r>
        <w:t xml:space="preserve"> pandemic-related grants (34% and 28%) and the deferral of VAT payments (31% and 26% respectively). Whilst a similar proportion of borrowers used HMRC Time to Pay (28%), only 11% of non-borrowers used this type of support.</w:t>
      </w:r>
    </w:p>
    <w:p w14:paraId="0243270D" w14:textId="446E39F3" w:rsidR="00AB4E15" w:rsidRDefault="00AB4E15" w:rsidP="006E0879">
      <w:pPr>
        <w:pStyle w:val="ListBullet"/>
        <w:numPr>
          <w:ilvl w:val="0"/>
          <w:numId w:val="27"/>
        </w:numPr>
      </w:pPr>
      <w:r>
        <w:t xml:space="preserve">When asked why they did not seek finance through RLS 1.0, 30% of </w:t>
      </w:r>
      <w:r w:rsidR="00211470">
        <w:t>non-</w:t>
      </w:r>
      <w:r>
        <w:t>borrowers said that they did not want to take on the debt. A further 11% reported that they were not aware of the scheme, and only 3% did not seek RLS</w:t>
      </w:r>
      <w:r w:rsidR="0039115D">
        <w:t xml:space="preserve"> 1.0</w:t>
      </w:r>
      <w:r>
        <w:t xml:space="preserve"> finance because they found the terms and conditions to be unattractive.</w:t>
      </w:r>
    </w:p>
    <w:p w14:paraId="5E65CA75" w14:textId="19065189" w:rsidR="00AB4E15" w:rsidRPr="009829B9" w:rsidRDefault="00AB4E15" w:rsidP="00AB4E15">
      <w:pPr>
        <w:pStyle w:val="Heading5"/>
      </w:pPr>
      <w:bookmarkStart w:id="35" w:name="_Ref151468480"/>
      <w:bookmarkStart w:id="36" w:name="_Ref151468477"/>
      <w:r w:rsidRPr="009829B9">
        <w:t xml:space="preserve">Figure </w:t>
      </w:r>
      <w:r>
        <w:fldChar w:fldCharType="begin"/>
      </w:r>
      <w:r>
        <w:instrText xml:space="preserve"> SEQ Figure \* ARABIC </w:instrText>
      </w:r>
      <w:r>
        <w:fldChar w:fldCharType="separate"/>
      </w:r>
      <w:r w:rsidR="001525E9">
        <w:rPr>
          <w:noProof/>
        </w:rPr>
        <w:t>10</w:t>
      </w:r>
      <w:r>
        <w:rPr>
          <w:noProof/>
        </w:rPr>
        <w:fldChar w:fldCharType="end"/>
      </w:r>
      <w:bookmarkEnd w:id="35"/>
      <w:r w:rsidRPr="009829B9">
        <w:t xml:space="preserve">: </w:t>
      </w:r>
      <w:r>
        <w:t>Use of other support</w:t>
      </w:r>
      <w:bookmarkEnd w:id="36"/>
    </w:p>
    <w:p w14:paraId="315B0AA7" w14:textId="61E471FA" w:rsidR="00AB4E15" w:rsidRPr="00AF7606" w:rsidRDefault="00A83806" w:rsidP="00AB4E15">
      <w:pPr>
        <w:pStyle w:val="Caption"/>
      </w:pPr>
      <w:r>
        <w:rPr>
          <w:noProof/>
        </w:rPr>
        <w:drawing>
          <wp:inline distT="0" distB="0" distL="0" distR="0" wp14:anchorId="4C62F483" wp14:editId="710747F5">
            <wp:extent cx="6441440" cy="4681220"/>
            <wp:effectExtent l="0" t="0" r="0" b="5080"/>
            <wp:docPr id="550301335" name="Picture 4" descr="This figure shows the use of other support. 84% of RLS 1.0 borrowers surveyed indicated that they used a Covid-19 Loan Guarantee Scheme, 69% indicated that they used CJRS, 34% indicated that they used pandemic-related grants, 31% indicated that they used deferral of VAT payments, 28% indicated that they used HMRC Time to Pay, 10% indicated that they used deferral of self-assessment payments, 10% indicated that they used business rates holidays, 3% indicated that they used grants unrelated to the pandemic, 3% indicated that they used the Self-Employment Income Support Scheme, 2% indicated that they used none of these and 0% indicated that they don't know. 55% of non-borrowers surveyed indicated that they used a Covid-19 Loan Guarantee Scheme, 72% indicated that they used CJRS, 28% indicated that they used pandemic-related grants, 26% indicated that they used deferral of VAT payments, 11% indicated that they used HMRC Time to Pay, 5% indicated that they used deferral of self-assessment payments, 11% indicated that they used business rates holidays, 3% indicated that they used grants unrelated to the pandemic, 2% indicated that they used the Self-Employment Income Support Scheme, 13% indicated that they used none of these and 1% indicated that they don't know what they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01335" name="Picture 4" descr="This figure shows the use of other support. 84% of RLS 1.0 borrowers surveyed indicated that they used a Covid-19 Loan Guarantee Scheme, 69% indicated that they used CJRS, 34% indicated that they used pandemic-related grants, 31% indicated that they used deferral of VAT payments, 28% indicated that they used HMRC Time to Pay, 10% indicated that they used deferral of self-assessment payments, 10% indicated that they used business rates holidays, 3% indicated that they used grants unrelated to the pandemic, 3% indicated that they used the Self-Employment Income Support Scheme, 2% indicated that they used none of these and 0% indicated that they don't know. 55% of non-borrowers surveyed indicated that they used a Covid-19 Loan Guarantee Scheme, 72% indicated that they used CJRS, 28% indicated that they used pandemic-related grants, 26% indicated that they used deferral of VAT payments, 11% indicated that they used HMRC Time to Pay, 5% indicated that they used deferral of self-assessment payments, 11% indicated that they used business rates holidays, 3% indicated that they used grants unrelated to the pandemic, 2% indicated that they used the Self-Employment Income Support Scheme, 13% indicated that they used none of these and 1% indicated that they don't know what they use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1440" cy="4681220"/>
                    </a:xfrm>
                    <a:prstGeom prst="rect">
                      <a:avLst/>
                    </a:prstGeom>
                    <a:noFill/>
                    <a:ln>
                      <a:noFill/>
                    </a:ln>
                  </pic:spPr>
                </pic:pic>
              </a:graphicData>
            </a:graphic>
          </wp:inline>
        </w:drawing>
      </w:r>
      <w:r w:rsidR="00AB4E15" w:rsidRPr="009829B9">
        <w:t>Source: London Economics analysis of survey data</w:t>
      </w:r>
      <w:r w:rsidR="00B217EC">
        <w:t xml:space="preserve">. </w:t>
      </w:r>
      <w:r w:rsidR="00B217EC" w:rsidRPr="00D0457A">
        <w:t xml:space="preserve">Base: All RLS </w:t>
      </w:r>
      <w:r w:rsidR="002B18A5">
        <w:t xml:space="preserve">1.0 </w:t>
      </w:r>
      <w:r w:rsidR="00B217EC" w:rsidRPr="00D0457A">
        <w:t>borrowers (242) and non-borrowers (236).</w:t>
      </w:r>
    </w:p>
    <w:p w14:paraId="0DE33D65" w14:textId="77777777" w:rsidR="00AB4E15" w:rsidRDefault="00AB4E15" w:rsidP="00AB4E15">
      <w:pPr>
        <w:pStyle w:val="ListBullet"/>
        <w:numPr>
          <w:ilvl w:val="0"/>
          <w:numId w:val="0"/>
        </w:numPr>
        <w:ind w:left="227" w:hanging="227"/>
      </w:pPr>
    </w:p>
    <w:p w14:paraId="48DFA1B7" w14:textId="301752E2" w:rsidR="004E52F1" w:rsidRPr="00B10CC3" w:rsidRDefault="004E52F1" w:rsidP="004E52F1">
      <w:pPr>
        <w:pStyle w:val="Heading2"/>
      </w:pPr>
      <w:bookmarkStart w:id="37" w:name="_Toc161327587"/>
      <w:r w:rsidRPr="00B10CC3">
        <w:t>Additionality of lending</w:t>
      </w:r>
      <w:bookmarkEnd w:id="37"/>
    </w:p>
    <w:p w14:paraId="3083BE76" w14:textId="6F937168" w:rsidR="00F63D83" w:rsidRPr="008831C8" w:rsidRDefault="00F63D83" w:rsidP="00F63D83">
      <w:r w:rsidRPr="008831C8">
        <w:t xml:space="preserve">‘Additionality’ refers to </w:t>
      </w:r>
      <w:r w:rsidR="008831C8" w:rsidRPr="008831C8">
        <w:t xml:space="preserve">the </w:t>
      </w:r>
      <w:r w:rsidRPr="008831C8">
        <w:t xml:space="preserve">benefits </w:t>
      </w:r>
      <w:r w:rsidR="006233B5" w:rsidRPr="008831C8">
        <w:t>generated</w:t>
      </w:r>
      <w:r w:rsidRPr="008831C8">
        <w:t xml:space="preserve"> by a policy or intervention which would not have occurred if the policy or intervention had not been introduced. In the context of </w:t>
      </w:r>
      <w:r w:rsidR="008831C8" w:rsidRPr="008831C8">
        <w:t>RLS 1.0</w:t>
      </w:r>
      <w:r w:rsidRPr="008831C8">
        <w:t xml:space="preserve">, additionality of lending denotes the extent to which businesses experienced benefits from </w:t>
      </w:r>
      <w:r w:rsidR="004A14A8" w:rsidRPr="008831C8">
        <w:t>borrowing</w:t>
      </w:r>
      <w:r w:rsidRPr="008831C8">
        <w:t xml:space="preserve"> under the </w:t>
      </w:r>
      <w:r w:rsidR="008831C8" w:rsidRPr="008831C8">
        <w:t>scheme</w:t>
      </w:r>
      <w:r w:rsidR="00A41BEB" w:rsidRPr="008831C8">
        <w:t xml:space="preserve"> </w:t>
      </w:r>
      <w:r w:rsidRPr="008831C8">
        <w:t xml:space="preserve">which they would not have experienced if </w:t>
      </w:r>
      <w:r w:rsidR="008831C8" w:rsidRPr="008831C8">
        <w:t>the scheme</w:t>
      </w:r>
      <w:r w:rsidRPr="008831C8">
        <w:t xml:space="preserve"> had not been in place.</w:t>
      </w:r>
      <w:r w:rsidR="00C236F3">
        <w:t xml:space="preserve"> It should be noted that discussion of additionality in the impact evaluation relates to economic additionality, and is completely unrelated to discussion of the legal requirement for finance under RLS 1.0 to be additional (discussed in the process evaluation).</w:t>
      </w:r>
    </w:p>
    <w:p w14:paraId="67516CDB" w14:textId="40884DFD" w:rsidR="001A3DD1" w:rsidRPr="002449D8" w:rsidRDefault="00F63D83" w:rsidP="00F63D83">
      <w:r w:rsidRPr="008831C8">
        <w:t xml:space="preserve">A narrow definition of additionality would consider the extent to which </w:t>
      </w:r>
      <w:r w:rsidR="00B4158C" w:rsidRPr="008831C8">
        <w:t>borrowers</w:t>
      </w:r>
      <w:r w:rsidRPr="008831C8">
        <w:t xml:space="preserve"> would not have been able to obtain the funds via other sources. However, this definition would not capture two </w:t>
      </w:r>
      <w:r w:rsidRPr="002449D8">
        <w:t xml:space="preserve">other important </w:t>
      </w:r>
      <w:r w:rsidR="008831C8" w:rsidRPr="002449D8">
        <w:t>aspects of additionality. Therefore, through the borrower survey, this evaluation considers the following aspects of additionality</w:t>
      </w:r>
      <w:r w:rsidR="001A3DD1" w:rsidRPr="002449D8">
        <w:t>:</w:t>
      </w:r>
      <w:r w:rsidRPr="002449D8">
        <w:t xml:space="preserve"> </w:t>
      </w:r>
    </w:p>
    <w:p w14:paraId="5D4CBDFC" w14:textId="3ED11AD7" w:rsidR="001A3DD1" w:rsidRPr="002449D8" w:rsidRDefault="51089E42" w:rsidP="006E0879">
      <w:pPr>
        <w:pStyle w:val="ListNumber"/>
        <w:numPr>
          <w:ilvl w:val="0"/>
          <w:numId w:val="12"/>
        </w:numPr>
      </w:pPr>
      <w:r>
        <w:t>Whether b</w:t>
      </w:r>
      <w:r w:rsidR="06AFE2E3" w:rsidRPr="002449D8">
        <w:t>orrowers</w:t>
      </w:r>
      <w:r w:rsidR="2DF47CCE" w:rsidRPr="002449D8">
        <w:t xml:space="preserve"> would have applied for other sources of external finance</w:t>
      </w:r>
      <w:r w:rsidR="1383F86C" w:rsidRPr="002449D8">
        <w:t>.</w:t>
      </w:r>
      <w:r w:rsidR="00FE5FD7" w:rsidRPr="002449D8">
        <w:rPr>
          <w:rStyle w:val="FootnoteReference"/>
        </w:rPr>
        <w:footnoteReference w:id="29"/>
      </w:r>
      <w:r w:rsidR="2DF47CCE" w:rsidRPr="002449D8">
        <w:t xml:space="preserve"> </w:t>
      </w:r>
    </w:p>
    <w:p w14:paraId="73FAE31F" w14:textId="76EEEEE0" w:rsidR="001A3DD1" w:rsidRPr="002449D8" w:rsidRDefault="12D78AAD" w:rsidP="006E0879">
      <w:pPr>
        <w:pStyle w:val="ListNumber"/>
        <w:numPr>
          <w:ilvl w:val="0"/>
          <w:numId w:val="12"/>
        </w:numPr>
      </w:pPr>
      <w:r w:rsidRPr="002449D8">
        <w:t>W</w:t>
      </w:r>
      <w:r w:rsidR="2DF47CCE" w:rsidRPr="002449D8">
        <w:t xml:space="preserve">hether </w:t>
      </w:r>
      <w:r w:rsidRPr="002449D8">
        <w:t xml:space="preserve">that application </w:t>
      </w:r>
      <w:r w:rsidR="2DF47CCE" w:rsidRPr="002449D8">
        <w:t>would have been successful</w:t>
      </w:r>
      <w:r w:rsidR="1383F86C" w:rsidRPr="002449D8">
        <w:t>.</w:t>
      </w:r>
      <w:r w:rsidR="00FE5FD7" w:rsidRPr="002449D8">
        <w:rPr>
          <w:rStyle w:val="FootnoteReference"/>
        </w:rPr>
        <w:footnoteReference w:id="30"/>
      </w:r>
      <w:r w:rsidR="2DF47CCE" w:rsidRPr="002449D8">
        <w:t xml:space="preserve"> </w:t>
      </w:r>
    </w:p>
    <w:p w14:paraId="7AC464B3" w14:textId="33820086" w:rsidR="001A3DD1" w:rsidRPr="00447F99" w:rsidRDefault="12D78AAD" w:rsidP="006E0879">
      <w:pPr>
        <w:pStyle w:val="ListNumber"/>
        <w:numPr>
          <w:ilvl w:val="0"/>
          <w:numId w:val="12"/>
        </w:numPr>
      </w:pPr>
      <w:r w:rsidRPr="00447F99">
        <w:t xml:space="preserve">Whether </w:t>
      </w:r>
      <w:r w:rsidR="188598E5" w:rsidRPr="00447F99">
        <w:t>these</w:t>
      </w:r>
      <w:r w:rsidRPr="00447F99">
        <w:t xml:space="preserve"> </w:t>
      </w:r>
      <w:r w:rsidR="188598E5" w:rsidRPr="00447F99">
        <w:t xml:space="preserve">other </w:t>
      </w:r>
      <w:r w:rsidR="2DF47CCE" w:rsidRPr="00447F99">
        <w:t xml:space="preserve">sources of external finance would have covered </w:t>
      </w:r>
      <w:r w:rsidR="32AEE3A4">
        <w:t>the borrower’s cash flow needs</w:t>
      </w:r>
      <w:r w:rsidR="1383F86C" w:rsidRPr="00447F99">
        <w:t>.</w:t>
      </w:r>
      <w:r w:rsidR="00FE5FD7" w:rsidRPr="00447F99">
        <w:rPr>
          <w:rStyle w:val="FootnoteReference"/>
        </w:rPr>
        <w:footnoteReference w:id="31"/>
      </w:r>
      <w:r w:rsidR="39BF519B" w:rsidRPr="00447F99">
        <w:t xml:space="preserve"> </w:t>
      </w:r>
    </w:p>
    <w:p w14:paraId="2709DD3B" w14:textId="42885CA8" w:rsidR="008A70E5" w:rsidRPr="00447F99" w:rsidRDefault="12D78AAD" w:rsidP="006E0879">
      <w:pPr>
        <w:pStyle w:val="ListNumber"/>
        <w:numPr>
          <w:ilvl w:val="0"/>
          <w:numId w:val="12"/>
        </w:numPr>
      </w:pPr>
      <w:r w:rsidRPr="00447F99">
        <w:t xml:space="preserve">Whether </w:t>
      </w:r>
      <w:r w:rsidR="188598E5" w:rsidRPr="00447F99">
        <w:t>the</w:t>
      </w:r>
      <w:r w:rsidR="32AEE3A4" w:rsidRPr="00447F99">
        <w:t xml:space="preserve"> </w:t>
      </w:r>
      <w:r w:rsidR="11C6D7A9">
        <w:t>other source of finance would have been obtained at worse terms</w:t>
      </w:r>
      <w:r w:rsidR="3A10360F">
        <w:t xml:space="preserve"> </w:t>
      </w:r>
      <w:r w:rsidR="00C236F3">
        <w:t xml:space="preserve">therefore </w:t>
      </w:r>
      <w:r w:rsidR="3A10360F">
        <w:t>resul</w:t>
      </w:r>
      <w:r w:rsidR="00C236F3">
        <w:t>ting</w:t>
      </w:r>
      <w:r w:rsidR="3A10360F">
        <w:t xml:space="preserve"> in </w:t>
      </w:r>
      <w:r w:rsidR="11C6D7A9">
        <w:t>reduced quantity</w:t>
      </w:r>
      <w:r w:rsidR="32AEE3A4" w:rsidRPr="00447F99">
        <w:t>.</w:t>
      </w:r>
      <w:r w:rsidR="007B1F86" w:rsidRPr="00447F99">
        <w:rPr>
          <w:rStyle w:val="FootnoteReference"/>
        </w:rPr>
        <w:footnoteReference w:id="32"/>
      </w:r>
      <w:r w:rsidR="2DF47CCE" w:rsidRPr="00447F99">
        <w:t xml:space="preserve"> </w:t>
      </w:r>
    </w:p>
    <w:p w14:paraId="6A2D1E1A" w14:textId="09771485" w:rsidR="00F63D83" w:rsidRPr="00AD290C" w:rsidRDefault="2DF47CCE" w:rsidP="00F63D83">
      <w:r>
        <w:t xml:space="preserve">The additionality of lending is measured using survey-based indicators of </w:t>
      </w:r>
      <w:r w:rsidR="451EFBC5">
        <w:t xml:space="preserve">borrowing </w:t>
      </w:r>
      <w:r w:rsidR="1D2B314B">
        <w:t>businesses</w:t>
      </w:r>
      <w:r>
        <w:t xml:space="preserve">' actual and perceived difficulties in accessing funding through any other sources than </w:t>
      </w:r>
      <w:r w:rsidR="11C6D7A9">
        <w:t>RLS 1.0</w:t>
      </w:r>
      <w:r>
        <w:t xml:space="preserve">. If </w:t>
      </w:r>
      <w:r w:rsidR="1D2B314B">
        <w:t xml:space="preserve">businesses </w:t>
      </w:r>
      <w:r w:rsidR="765FA3C7">
        <w:t>expect that they</w:t>
      </w:r>
      <w:r>
        <w:t xml:space="preserve"> would not have applied for alternative funding, would not have been successful, would not have been offered </w:t>
      </w:r>
      <w:r w:rsidR="78D19E92">
        <w:t>an</w:t>
      </w:r>
      <w:r>
        <w:t xml:space="preserve"> amount</w:t>
      </w:r>
      <w:r w:rsidR="78D19E92">
        <w:t xml:space="preserve"> sufficient to meet their cash flow needs</w:t>
      </w:r>
      <w:r>
        <w:t xml:space="preserve">, or would not have obtained </w:t>
      </w:r>
      <w:r w:rsidR="11C6D7A9">
        <w:t>as much finance as under RLS 1.0 due to the finance being on worse terms</w:t>
      </w:r>
      <w:r>
        <w:t xml:space="preserve">, </w:t>
      </w:r>
      <w:r w:rsidR="11C6D7A9">
        <w:t>RLS 1.0</w:t>
      </w:r>
      <w:r w:rsidR="6B930F9C">
        <w:t xml:space="preserve"> </w:t>
      </w:r>
      <w:r w:rsidR="11C6D7A9">
        <w:t>finance</w:t>
      </w:r>
      <w:r>
        <w:t xml:space="preserve"> will be classed as ‘additional’. </w:t>
      </w:r>
    </w:p>
    <w:p w14:paraId="5FE8C7D3" w14:textId="21B9583C" w:rsidR="00F63D83" w:rsidRDefault="2DF47CCE" w:rsidP="00F63D83">
      <w:pPr>
        <w:rPr>
          <w:lang w:val="en-US"/>
        </w:rPr>
      </w:pPr>
      <w:r w:rsidRPr="002E2FEF">
        <w:rPr>
          <w:lang w:val="en-US"/>
        </w:rPr>
        <w:t xml:space="preserve">To translate the survey data into a measure of finance additionality, four </w:t>
      </w:r>
      <w:r w:rsidR="11C6D7A9" w:rsidRPr="002E2FEF">
        <w:rPr>
          <w:lang w:val="en-US"/>
        </w:rPr>
        <w:t xml:space="preserve">different </w:t>
      </w:r>
      <w:r w:rsidRPr="002E2FEF">
        <w:rPr>
          <w:lang w:val="en-US"/>
        </w:rPr>
        <w:t>aspects of additionality are considered – as mentioned above and illustrated in</w:t>
      </w:r>
      <w:r w:rsidR="00C236F3">
        <w:rPr>
          <w:lang w:val="en-US"/>
        </w:rPr>
        <w:t xml:space="preserve"> </w:t>
      </w:r>
      <w:r w:rsidR="00C236F3">
        <w:rPr>
          <w:lang w:val="en-US"/>
        </w:rPr>
        <w:fldChar w:fldCharType="begin"/>
      </w:r>
      <w:r w:rsidR="00C236F3">
        <w:rPr>
          <w:lang w:val="en-US"/>
        </w:rPr>
        <w:instrText xml:space="preserve"> REF _Ref160033148 \h </w:instrText>
      </w:r>
      <w:r w:rsidR="00C236F3">
        <w:rPr>
          <w:lang w:val="en-US"/>
        </w:rPr>
      </w:r>
      <w:r w:rsidR="00C236F3">
        <w:rPr>
          <w:lang w:val="en-US"/>
        </w:rPr>
        <w:fldChar w:fldCharType="separate"/>
      </w:r>
      <w:r w:rsidR="001525E9" w:rsidRPr="00AF7606">
        <w:t xml:space="preserve">Figure </w:t>
      </w:r>
      <w:r w:rsidR="001525E9">
        <w:rPr>
          <w:noProof/>
        </w:rPr>
        <w:t>11</w:t>
      </w:r>
      <w:r w:rsidR="00C236F3">
        <w:rPr>
          <w:lang w:val="en-US"/>
        </w:rPr>
        <w:fldChar w:fldCharType="end"/>
      </w:r>
      <w:r w:rsidRPr="002E2FEF">
        <w:rPr>
          <w:lang w:val="en-US"/>
        </w:rPr>
        <w:t xml:space="preserve">. Each row </w:t>
      </w:r>
      <w:r w:rsidR="11C6D7A9" w:rsidRPr="002E2FEF">
        <w:rPr>
          <w:lang w:val="en-US"/>
        </w:rPr>
        <w:t>of</w:t>
      </w:r>
      <w:r w:rsidRPr="002E2FEF">
        <w:rPr>
          <w:lang w:val="en-US"/>
        </w:rPr>
        <w:t xml:space="preserve"> the figure denotes a different dimension of additionality. </w:t>
      </w:r>
      <w:r w:rsidR="11C6D7A9" w:rsidRPr="002E2FEF">
        <w:rPr>
          <w:lang w:val="en-US"/>
        </w:rPr>
        <w:t>Overall, finance under RLS 1.0 was additional under one of the four dimensions of additionality for 83% of borrowers.</w:t>
      </w:r>
      <w:r w:rsidR="00AD290C" w:rsidRPr="002E2FEF">
        <w:rPr>
          <w:rStyle w:val="FootnoteReference"/>
          <w:lang w:val="en-US"/>
        </w:rPr>
        <w:footnoteReference w:id="33"/>
      </w:r>
    </w:p>
    <w:p w14:paraId="67C1BFFF" w14:textId="7BCCBA33" w:rsidR="001C49FD" w:rsidRDefault="001C49FD" w:rsidP="001C49FD">
      <w:pPr>
        <w:pStyle w:val="Heading5"/>
      </w:pPr>
      <w:bookmarkStart w:id="38" w:name="_Ref160033148"/>
      <w:r w:rsidRPr="00AF7606">
        <w:t xml:space="preserve">Figure </w:t>
      </w:r>
      <w:r>
        <w:fldChar w:fldCharType="begin"/>
      </w:r>
      <w:r>
        <w:instrText xml:space="preserve"> SEQ Figure \* ARABIC </w:instrText>
      </w:r>
      <w:r>
        <w:fldChar w:fldCharType="separate"/>
      </w:r>
      <w:r w:rsidR="001525E9">
        <w:rPr>
          <w:noProof/>
        </w:rPr>
        <w:t>11</w:t>
      </w:r>
      <w:r>
        <w:rPr>
          <w:noProof/>
        </w:rPr>
        <w:fldChar w:fldCharType="end"/>
      </w:r>
      <w:bookmarkEnd w:id="38"/>
      <w:r w:rsidRPr="00AF7606">
        <w:t xml:space="preserve">: </w:t>
      </w:r>
      <w:r>
        <w:t>Additionality of RLS 1.0 (overall 83%)</w:t>
      </w:r>
    </w:p>
    <w:p w14:paraId="5DB694D9" w14:textId="54E64844" w:rsidR="001C49FD" w:rsidRPr="001C49FD" w:rsidRDefault="001C49FD" w:rsidP="002E562D">
      <w:r>
        <w:rPr>
          <w:noProof/>
        </w:rPr>
        <w:drawing>
          <wp:inline distT="0" distB="0" distL="0" distR="0" wp14:anchorId="169A998D" wp14:editId="380F90DE">
            <wp:extent cx="6447790" cy="1852986"/>
            <wp:effectExtent l="0" t="0" r="0" b="0"/>
            <wp:docPr id="1460247547" name="Picture 1" descr="This figure shows the estimated additionality of RLS 1.0. It is estimated that 83% of RLS 1.0 loans were additional. This is based on four aspects of additionality. The estimate for the &quot;would not apply&quot; aspect is 17%, the estimate for the &quot;unsuccessful&quot; aspect is 17%, the estimate for the &quot;insufficient to cover cash flow needs&quot; aspect is 36% and the estimate for the &quot;worse terms and so decreased quantity&quot; aspect 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47547" name="Picture 1" descr="This figure shows the estimated additionality of RLS 1.0. It is estimated that 83% of RLS 1.0 loans were additional. This is based on four aspects of additionality. The estimate for the &quot;would not apply&quot; aspect is 17%, the estimate for the &quot;unsuccessful&quot; aspect is 17%, the estimate for the &quot;insufficient to cover cash flow needs&quot; aspect is 36% and the estimate for the &quot;worse terms and so decreased quantity&quot; aspect is 14%."/>
                    <pic:cNvPicPr/>
                  </pic:nvPicPr>
                  <pic:blipFill>
                    <a:blip r:embed="rId25">
                      <a:extLst>
                        <a:ext uri="{28A0092B-C50C-407E-A947-70E740481C1C}">
                          <a14:useLocalDpi xmlns:a14="http://schemas.microsoft.com/office/drawing/2010/main" val="0"/>
                        </a:ext>
                      </a:extLst>
                    </a:blip>
                    <a:stretch>
                      <a:fillRect/>
                    </a:stretch>
                  </pic:blipFill>
                  <pic:spPr>
                    <a:xfrm>
                      <a:off x="0" y="0"/>
                      <a:ext cx="6447790" cy="1852986"/>
                    </a:xfrm>
                    <a:prstGeom prst="rect">
                      <a:avLst/>
                    </a:prstGeom>
                  </pic:spPr>
                </pic:pic>
              </a:graphicData>
            </a:graphic>
          </wp:inline>
        </w:drawing>
      </w:r>
    </w:p>
    <w:p w14:paraId="5DF545E0" w14:textId="6E410D46" w:rsidR="005C1A49" w:rsidRPr="006C2444" w:rsidRDefault="005C1A49" w:rsidP="005C1A49">
      <w:pPr>
        <w:pStyle w:val="Heading3"/>
        <w:rPr>
          <w:lang w:val="en-US"/>
        </w:rPr>
      </w:pPr>
      <w:r w:rsidRPr="006C2444">
        <w:rPr>
          <w:lang w:val="en-US"/>
        </w:rPr>
        <w:t xml:space="preserve">In the absence of </w:t>
      </w:r>
      <w:r w:rsidR="00AF7606" w:rsidRPr="006C2444">
        <w:rPr>
          <w:lang w:val="en-US"/>
        </w:rPr>
        <w:t>RLS 1.0</w:t>
      </w:r>
      <w:r w:rsidR="00DC6D28" w:rsidRPr="006C2444">
        <w:rPr>
          <w:lang w:val="en-US"/>
        </w:rPr>
        <w:t>,</w:t>
      </w:r>
      <w:r w:rsidRPr="006C2444">
        <w:rPr>
          <w:lang w:val="en-US"/>
        </w:rPr>
        <w:t xml:space="preserve"> would </w:t>
      </w:r>
      <w:r w:rsidR="00B4158C" w:rsidRPr="006C2444">
        <w:rPr>
          <w:lang w:val="en-US"/>
        </w:rPr>
        <w:t>borrowers</w:t>
      </w:r>
      <w:r w:rsidRPr="006C2444">
        <w:rPr>
          <w:lang w:val="en-US"/>
        </w:rPr>
        <w:t xml:space="preserve"> have applied for other external finance?</w:t>
      </w:r>
    </w:p>
    <w:p w14:paraId="35C79FD3" w14:textId="77777777" w:rsidR="006C2444" w:rsidRPr="006C2444" w:rsidRDefault="005C1A49" w:rsidP="00E54091">
      <w:pPr>
        <w:rPr>
          <w:lang w:val="en-US"/>
        </w:rPr>
      </w:pPr>
      <w:r w:rsidRPr="006C2444">
        <w:rPr>
          <w:lang w:val="en-US"/>
        </w:rPr>
        <w:t xml:space="preserve">The first aspect of additionality considers whether a business has applied or would have applied for alternative external finance in lieu of the funds from </w:t>
      </w:r>
      <w:r w:rsidR="00AF7606" w:rsidRPr="006C2444">
        <w:rPr>
          <w:lang w:val="en-US"/>
        </w:rPr>
        <w:t>RLS 1.0 (after the launch of RLS 1.0)</w:t>
      </w:r>
      <w:r w:rsidRPr="006C2444">
        <w:rPr>
          <w:lang w:val="en-US"/>
        </w:rPr>
        <w:t xml:space="preserve">. It is estimated that </w:t>
      </w:r>
      <w:r w:rsidR="006C2444" w:rsidRPr="006C2444">
        <w:rPr>
          <w:lang w:val="en-US"/>
        </w:rPr>
        <w:t>17% of borrowers</w:t>
      </w:r>
      <w:r w:rsidRPr="006C2444">
        <w:rPr>
          <w:lang w:val="en-US"/>
        </w:rPr>
        <w:t xml:space="preserve"> would not have applied for external finance had they not received funding under </w:t>
      </w:r>
      <w:r w:rsidR="006C2444" w:rsidRPr="006C2444">
        <w:rPr>
          <w:lang w:val="en-US"/>
        </w:rPr>
        <w:t xml:space="preserve">RLS 1.0. As such, </w:t>
      </w:r>
      <w:r w:rsidRPr="006C2444">
        <w:rPr>
          <w:lang w:val="en-US"/>
        </w:rPr>
        <w:t xml:space="preserve">the loans were additional for these businesses as they did not replace funding that would have been received in the absence of the </w:t>
      </w:r>
      <w:r w:rsidR="006C2444" w:rsidRPr="006C2444">
        <w:t>scheme</w:t>
      </w:r>
      <w:r w:rsidRPr="006C2444">
        <w:rPr>
          <w:lang w:val="en-US"/>
        </w:rPr>
        <w:t xml:space="preserve">. </w:t>
      </w:r>
    </w:p>
    <w:p w14:paraId="68486B30" w14:textId="7E103F2E" w:rsidR="00237000" w:rsidRPr="00237000" w:rsidRDefault="00C74001" w:rsidP="00864EDA">
      <w:pPr>
        <w:rPr>
          <w:lang w:val="en-US"/>
        </w:rPr>
      </w:pPr>
      <w:r>
        <w:rPr>
          <w:lang w:val="en-US"/>
        </w:rPr>
        <w:t>The businesses</w:t>
      </w:r>
      <w:r w:rsidR="00D4271C" w:rsidRPr="00237000">
        <w:rPr>
          <w:lang w:val="en-US"/>
        </w:rPr>
        <w:t xml:space="preserve"> that would have sought other external finance if they had not received funds under </w:t>
      </w:r>
      <w:r>
        <w:rPr>
          <w:lang w:val="en-US"/>
        </w:rPr>
        <w:t>RLS 1.0</w:t>
      </w:r>
      <w:r w:rsidR="00237000" w:rsidRPr="00237000">
        <w:rPr>
          <w:lang w:val="en-US"/>
        </w:rPr>
        <w:t xml:space="preserve"> would have sought a wide range of different types of finance (see </w:t>
      </w:r>
      <w:r w:rsidR="00237000" w:rsidRPr="00237000">
        <w:rPr>
          <w:lang w:val="en-US"/>
        </w:rPr>
        <w:fldChar w:fldCharType="begin"/>
      </w:r>
      <w:r w:rsidR="00237000" w:rsidRPr="00237000">
        <w:rPr>
          <w:lang w:val="en-US"/>
        </w:rPr>
        <w:instrText xml:space="preserve"> REF _Ref150501857 \h </w:instrText>
      </w:r>
      <w:r w:rsidR="00237000">
        <w:rPr>
          <w:lang w:val="en-US"/>
        </w:rPr>
        <w:instrText xml:space="preserve"> \* MERGEFORMAT </w:instrText>
      </w:r>
      <w:r w:rsidR="00237000" w:rsidRPr="00237000">
        <w:rPr>
          <w:lang w:val="en-US"/>
        </w:rPr>
      </w:r>
      <w:r w:rsidR="00237000" w:rsidRPr="00237000">
        <w:rPr>
          <w:lang w:val="en-US"/>
        </w:rPr>
        <w:fldChar w:fldCharType="separate"/>
      </w:r>
      <w:r w:rsidR="001525E9" w:rsidRPr="00AF7606">
        <w:t xml:space="preserve">Figure </w:t>
      </w:r>
      <w:r w:rsidR="001525E9">
        <w:rPr>
          <w:noProof/>
        </w:rPr>
        <w:t>12</w:t>
      </w:r>
      <w:r w:rsidR="00237000" w:rsidRPr="00237000">
        <w:rPr>
          <w:lang w:val="en-US"/>
        </w:rPr>
        <w:fldChar w:fldCharType="end"/>
      </w:r>
      <w:r w:rsidR="00237000" w:rsidRPr="00237000">
        <w:rPr>
          <w:lang w:val="en-US"/>
        </w:rPr>
        <w:t xml:space="preserve"> below). The most common of these would have been loans from a bank or other organization (83%) and a revolving credit facility (70%). </w:t>
      </w:r>
    </w:p>
    <w:p w14:paraId="6406B2ED" w14:textId="64212765" w:rsidR="00237000" w:rsidRPr="00237000" w:rsidRDefault="00237000" w:rsidP="00237000">
      <w:pPr>
        <w:pStyle w:val="Heading5"/>
      </w:pPr>
      <w:bookmarkStart w:id="39" w:name="_Ref150501857"/>
      <w:bookmarkStart w:id="40" w:name="_Ref150501847"/>
      <w:r w:rsidRPr="00AF7606">
        <w:t xml:space="preserve">Figure </w:t>
      </w:r>
      <w:r>
        <w:fldChar w:fldCharType="begin"/>
      </w:r>
      <w:r>
        <w:instrText xml:space="preserve"> SEQ Figure \* ARABIC </w:instrText>
      </w:r>
      <w:r>
        <w:fldChar w:fldCharType="separate"/>
      </w:r>
      <w:r w:rsidR="001525E9">
        <w:rPr>
          <w:noProof/>
        </w:rPr>
        <w:t>12</w:t>
      </w:r>
      <w:r>
        <w:rPr>
          <w:noProof/>
        </w:rPr>
        <w:fldChar w:fldCharType="end"/>
      </w:r>
      <w:bookmarkEnd w:id="39"/>
      <w:r w:rsidRPr="00AF7606">
        <w:t xml:space="preserve">: </w:t>
      </w:r>
      <w:r>
        <w:t>Types of finance that would have been sought by borrowers had they not obtained finance through RLS 1.0</w:t>
      </w:r>
      <w:bookmarkEnd w:id="40"/>
    </w:p>
    <w:p w14:paraId="4D635979" w14:textId="48F2B896" w:rsidR="00237000" w:rsidRDefault="00A83806" w:rsidP="00864EDA">
      <w:pPr>
        <w:rPr>
          <w:highlight w:val="yellow"/>
          <w:lang w:val="en-US"/>
        </w:rPr>
      </w:pPr>
      <w:r>
        <w:rPr>
          <w:noProof/>
          <w:highlight w:val="yellow"/>
          <w:lang w:val="en-US"/>
        </w:rPr>
        <w:drawing>
          <wp:inline distT="0" distB="0" distL="0" distR="0" wp14:anchorId="44DBE124" wp14:editId="5683829F">
            <wp:extent cx="6276838" cy="4229100"/>
            <wp:effectExtent l="0" t="0" r="0" b="0"/>
            <wp:docPr id="1079570251" name="Picture 5" descr="This figure shows the types of finance that would have been sought by borrowers had they not obtained finance through RLS 1.0. 83% of RLS 1.0 borrowers surveyed that did not apply for external finance but would have if they did not receive finance through RLS 1.0 indicated that they would have sought a loan from a bank or other organisation if they had not obtained finance through RLS 1.0, 70% indicated that they would have sought a revolving credit facility, 48% indicated that they would have sought government or local government grants, 46% indicated that they would have sought loans from directors or other individuals, 39% indicated that they would have sought personal funds from owner/director, 38% indicated that they would have sought credit cards, 24% indicated that they would have sought leasing or hire purchase, 9% indicated that they would have sought equity finance, 3% indicated that they would have sought any other external finance and 2% indicated that they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70251" name="Picture 5" descr="This figure shows the types of finance that would have been sought by borrowers had they not obtained finance through RLS 1.0. 83% of RLS 1.0 borrowers surveyed that did not apply for external finance but would have if they did not receive finance through RLS 1.0 indicated that they would have sought a loan from a bank or other organisation if they had not obtained finance through RLS 1.0, 70% indicated that they would have sought a revolving credit facility, 48% indicated that they would have sought government or local government grants, 46% indicated that they would have sought loans from directors or other individuals, 39% indicated that they would have sought personal funds from owner/director, 38% indicated that they would have sought credit cards, 24% indicated that they would have sought leasing or hire purchase, 9% indicated that they would have sought equity finance, 3% indicated that they would have sought any other external finance and 2% indicated that they don't know."/>
                    <pic:cNvPicPr>
                      <a:picLocks noChangeAspect="1" noChangeArrowheads="1"/>
                    </pic:cNvPicPr>
                  </pic:nvPicPr>
                  <pic:blipFill rotWithShape="1">
                    <a:blip r:embed="rId38">
                      <a:extLst>
                        <a:ext uri="{28A0092B-C50C-407E-A947-70E740481C1C}">
                          <a14:useLocalDpi xmlns:a14="http://schemas.microsoft.com/office/drawing/2010/main" val="0"/>
                        </a:ext>
                      </a:extLst>
                    </a:blip>
                    <a:srcRect t="2992" b="2766"/>
                    <a:stretch/>
                  </pic:blipFill>
                  <pic:spPr bwMode="auto">
                    <a:xfrm>
                      <a:off x="0" y="0"/>
                      <a:ext cx="6280732" cy="4231724"/>
                    </a:xfrm>
                    <a:prstGeom prst="rect">
                      <a:avLst/>
                    </a:prstGeom>
                    <a:noFill/>
                    <a:ln>
                      <a:noFill/>
                    </a:ln>
                    <a:extLst>
                      <a:ext uri="{53640926-AAD7-44D8-BBD7-CCE9431645EC}">
                        <a14:shadowObscured xmlns:a14="http://schemas.microsoft.com/office/drawing/2010/main"/>
                      </a:ext>
                    </a:extLst>
                  </pic:spPr>
                </pic:pic>
              </a:graphicData>
            </a:graphic>
          </wp:inline>
        </w:drawing>
      </w:r>
    </w:p>
    <w:p w14:paraId="5030C330" w14:textId="6B73C133" w:rsidR="00237000" w:rsidRDefault="00237000" w:rsidP="00237000">
      <w:pPr>
        <w:pStyle w:val="Caption"/>
      </w:pPr>
      <w:r w:rsidRPr="00237000">
        <w:t>Source: London Economics’ analysis of survey data</w:t>
      </w:r>
      <w:r w:rsidR="00B217EC">
        <w:t xml:space="preserve">. </w:t>
      </w:r>
      <w:r w:rsidR="002B18A5">
        <w:t>Base: RLS 1.0 borrowers that did not apply for external finance but would have if they did not receive finance through RLS 1.0 (78).</w:t>
      </w:r>
    </w:p>
    <w:p w14:paraId="1C7DDF57" w14:textId="0DC53546" w:rsidR="005C1A49" w:rsidRPr="002A06EA" w:rsidRDefault="005C1A49" w:rsidP="005C1A49">
      <w:pPr>
        <w:pStyle w:val="Heading3"/>
        <w:rPr>
          <w:lang w:val="en-US"/>
        </w:rPr>
      </w:pPr>
      <w:r w:rsidRPr="002A06EA">
        <w:rPr>
          <w:lang w:val="en-US"/>
        </w:rPr>
        <w:t xml:space="preserve">In the absence of </w:t>
      </w:r>
      <w:r w:rsidR="00F447D9" w:rsidRPr="002A06EA">
        <w:rPr>
          <w:lang w:val="en-US"/>
        </w:rPr>
        <w:t>RLS 1.0</w:t>
      </w:r>
      <w:r w:rsidR="00DC6D28" w:rsidRPr="002A06EA">
        <w:rPr>
          <w:lang w:val="en-US"/>
        </w:rPr>
        <w:t>,</w:t>
      </w:r>
      <w:r w:rsidRPr="002A06EA">
        <w:rPr>
          <w:lang w:val="en-US"/>
        </w:rPr>
        <w:t xml:space="preserve"> would </w:t>
      </w:r>
      <w:r w:rsidR="00B4158C" w:rsidRPr="002A06EA">
        <w:rPr>
          <w:lang w:val="en-US"/>
        </w:rPr>
        <w:t>borrowers</w:t>
      </w:r>
      <w:r w:rsidRPr="002A06EA">
        <w:rPr>
          <w:lang w:val="en-US"/>
        </w:rPr>
        <w:t xml:space="preserve"> have been successful in their application for other external finance?</w:t>
      </w:r>
    </w:p>
    <w:p w14:paraId="60654B75" w14:textId="70D8EDE9" w:rsidR="00C26590" w:rsidRPr="002A06EA" w:rsidRDefault="005C1A49" w:rsidP="001E57EE">
      <w:pPr>
        <w:rPr>
          <w:lang w:val="en-US"/>
        </w:rPr>
      </w:pPr>
      <w:r w:rsidRPr="002A06EA">
        <w:rPr>
          <w:lang w:val="en-US"/>
        </w:rPr>
        <w:t xml:space="preserve">The second aspect of additionality considers whether, conditional on having applied, a business would have been successful in accessing alternative sources of external finance in lieu of the funds from </w:t>
      </w:r>
      <w:r w:rsidR="00F447D9" w:rsidRPr="002A06EA">
        <w:rPr>
          <w:lang w:val="en-US"/>
        </w:rPr>
        <w:t>RLS 1.0</w:t>
      </w:r>
      <w:r w:rsidRPr="002A06EA">
        <w:rPr>
          <w:lang w:val="en-US"/>
        </w:rPr>
        <w:t xml:space="preserve">. </w:t>
      </w:r>
      <w:r w:rsidR="00D270DE" w:rsidRPr="002A06EA">
        <w:rPr>
          <w:lang w:val="en-US"/>
        </w:rPr>
        <w:t xml:space="preserve">Among the borrowers that would have applied to other external finance, </w:t>
      </w:r>
      <w:r w:rsidR="00383726" w:rsidRPr="00383726">
        <w:rPr>
          <w:lang w:val="en-US"/>
        </w:rPr>
        <w:t>70</w:t>
      </w:r>
      <w:r w:rsidR="00D270DE" w:rsidRPr="00383726">
        <w:rPr>
          <w:lang w:val="en-US"/>
        </w:rPr>
        <w:t>%</w:t>
      </w:r>
      <w:r w:rsidR="00D270DE" w:rsidRPr="002A06EA">
        <w:rPr>
          <w:lang w:val="en-US"/>
        </w:rPr>
        <w:t xml:space="preserve"> expected that their application would have been successful.</w:t>
      </w:r>
    </w:p>
    <w:bookmarkStart w:id="41" w:name="_Hlk92821583"/>
    <w:p w14:paraId="5B7D81A3" w14:textId="6126DE8C" w:rsidR="002A06EA" w:rsidRPr="002A06EA" w:rsidRDefault="00385FFE" w:rsidP="00083877">
      <w:r>
        <w:rPr>
          <w:lang w:val="en-US"/>
        </w:rPr>
        <w:fldChar w:fldCharType="begin"/>
      </w:r>
      <w:r>
        <w:rPr>
          <w:lang w:val="en-US"/>
        </w:rPr>
        <w:instrText xml:space="preserve"> REF _Ref91068192 \h </w:instrText>
      </w:r>
      <w:r>
        <w:rPr>
          <w:lang w:val="en-US"/>
        </w:rPr>
      </w:r>
      <w:r>
        <w:rPr>
          <w:lang w:val="en-US"/>
        </w:rPr>
        <w:fldChar w:fldCharType="separate"/>
      </w:r>
      <w:r w:rsidR="001525E9" w:rsidRPr="00952A4E">
        <w:t xml:space="preserve">Table </w:t>
      </w:r>
      <w:r w:rsidR="001525E9">
        <w:rPr>
          <w:noProof/>
        </w:rPr>
        <w:t>24</w:t>
      </w:r>
      <w:r>
        <w:rPr>
          <w:lang w:val="en-US"/>
        </w:rPr>
        <w:fldChar w:fldCharType="end"/>
      </w:r>
      <w:r>
        <w:rPr>
          <w:lang w:val="en-US"/>
        </w:rPr>
        <w:t xml:space="preserve"> in </w:t>
      </w:r>
      <w:r>
        <w:rPr>
          <w:lang w:val="en-US"/>
        </w:rPr>
        <w:fldChar w:fldCharType="begin"/>
      </w:r>
      <w:r>
        <w:rPr>
          <w:lang w:val="en-US"/>
        </w:rPr>
        <w:instrText xml:space="preserve"> REF _Ref149920057 \h </w:instrText>
      </w:r>
      <w:r>
        <w:rPr>
          <w:lang w:val="en-US"/>
        </w:rPr>
      </w:r>
      <w:r>
        <w:rPr>
          <w:lang w:val="en-US"/>
        </w:rPr>
        <w:fldChar w:fldCharType="separate"/>
      </w:r>
      <w:r w:rsidR="001525E9" w:rsidRPr="00B217EC">
        <w:t>Annex 3</w:t>
      </w:r>
      <w:r>
        <w:rPr>
          <w:lang w:val="en-US"/>
        </w:rPr>
        <w:fldChar w:fldCharType="end"/>
      </w:r>
      <w:r>
        <w:rPr>
          <w:lang w:val="en-US"/>
        </w:rPr>
        <w:t xml:space="preserve"> </w:t>
      </w:r>
      <w:r w:rsidR="00083877" w:rsidRPr="002A06EA">
        <w:rPr>
          <w:lang w:val="en-US"/>
        </w:rPr>
        <w:t xml:space="preserve">illustrates the rate at which respondents estimated that they would have been successful in obtaining different types of external finance. </w:t>
      </w:r>
      <w:r w:rsidR="002A06EA" w:rsidRPr="00385FFE">
        <w:rPr>
          <w:lang w:val="en-US"/>
        </w:rPr>
        <w:t>The</w:t>
      </w:r>
      <w:r w:rsidR="00B217EC">
        <w:rPr>
          <w:lang w:val="en-US"/>
        </w:rPr>
        <w:t xml:space="preserve"> perceived success rate</w:t>
      </w:r>
      <w:r w:rsidR="002A06EA" w:rsidRPr="00385FFE">
        <w:rPr>
          <w:lang w:val="en-US"/>
        </w:rPr>
        <w:t xml:space="preserve"> ranged from</w:t>
      </w:r>
      <w:r>
        <w:rPr>
          <w:lang w:val="en-US"/>
        </w:rPr>
        <w:t xml:space="preserve"> 6</w:t>
      </w:r>
      <w:r w:rsidR="00B217EC">
        <w:rPr>
          <w:lang w:val="en-US"/>
        </w:rPr>
        <w:t>3</w:t>
      </w:r>
      <w:r>
        <w:rPr>
          <w:lang w:val="en-US"/>
        </w:rPr>
        <w:t>% in the case of government or local government grants</w:t>
      </w:r>
      <w:r w:rsidR="00B217EC">
        <w:rPr>
          <w:lang w:val="en-US"/>
        </w:rPr>
        <w:t xml:space="preserve"> to 82% in the case of personal funds from an owner or director</w:t>
      </w:r>
      <w:r>
        <w:rPr>
          <w:lang w:val="en-US"/>
        </w:rPr>
        <w:t>.</w:t>
      </w:r>
      <w:r w:rsidR="001C49FD">
        <w:rPr>
          <w:lang w:val="en-US"/>
        </w:rPr>
        <w:t xml:space="preserve"> </w:t>
      </w:r>
      <w:r w:rsidR="002A06EA">
        <w:rPr>
          <w:lang w:val="en-US"/>
        </w:rPr>
        <w:t>Finance is considered to be additional for those borrowers for which their applications were unsuccessful (17% of all borrowers).</w:t>
      </w:r>
      <w:r w:rsidR="001C49FD">
        <w:rPr>
          <w:lang w:val="en-US"/>
        </w:rPr>
        <w:t xml:space="preserve"> It should be noted that these estimates rely on borrowers being able to accurately predict their likelihood of success in their applications for alternative finance, and as such the estimates should be interpreted with appropriate caution.</w:t>
      </w:r>
    </w:p>
    <w:p w14:paraId="792A8605" w14:textId="7D0A8DFD" w:rsidR="00083877" w:rsidRPr="002A06EA" w:rsidRDefault="00083877" w:rsidP="005C267D">
      <w:pPr>
        <w:pStyle w:val="Heading3"/>
        <w:rPr>
          <w:lang w:val="en-US"/>
        </w:rPr>
      </w:pPr>
      <w:r w:rsidRPr="002A06EA">
        <w:rPr>
          <w:lang w:val="en-US"/>
        </w:rPr>
        <w:t xml:space="preserve">In the absence of </w:t>
      </w:r>
      <w:r w:rsidR="002A06EA">
        <w:rPr>
          <w:lang w:val="en-US"/>
        </w:rPr>
        <w:t>RLS 1.0</w:t>
      </w:r>
      <w:r w:rsidRPr="002A06EA">
        <w:rPr>
          <w:lang w:val="en-US"/>
        </w:rPr>
        <w:t>, would any funds from alternative sources of external finance have covered cash-flow needs?</w:t>
      </w:r>
    </w:p>
    <w:p w14:paraId="06E7FBD2" w14:textId="14084C42" w:rsidR="00C74001" w:rsidRPr="00421C8A" w:rsidRDefault="00083877" w:rsidP="00083877">
      <w:pPr>
        <w:rPr>
          <w:lang w:val="en-US"/>
        </w:rPr>
      </w:pPr>
      <w:r w:rsidRPr="00421C8A">
        <w:rPr>
          <w:lang w:val="en-US"/>
        </w:rPr>
        <w:t xml:space="preserve">The third aspect of additionality considers whether, conditional on access to other external finance, these funds would have </w:t>
      </w:r>
      <w:r w:rsidR="002A06EA" w:rsidRPr="00421C8A">
        <w:rPr>
          <w:lang w:val="en-US"/>
        </w:rPr>
        <w:t xml:space="preserve">sufficiently </w:t>
      </w:r>
      <w:r w:rsidRPr="00421C8A">
        <w:rPr>
          <w:lang w:val="en-US"/>
        </w:rPr>
        <w:t>covered all the business’s cash flow needs. For businesses which would not have been able to cover all their cash flow needs</w:t>
      </w:r>
      <w:r w:rsidR="00421C8A">
        <w:rPr>
          <w:lang w:val="en-US"/>
        </w:rPr>
        <w:t xml:space="preserve">, </w:t>
      </w:r>
      <w:r w:rsidRPr="00421C8A">
        <w:rPr>
          <w:lang w:val="en-US"/>
        </w:rPr>
        <w:t xml:space="preserve">the funds received under </w:t>
      </w:r>
      <w:r w:rsidR="00421C8A" w:rsidRPr="00421C8A">
        <w:rPr>
          <w:lang w:val="en-US"/>
        </w:rPr>
        <w:t>RLS 1.0</w:t>
      </w:r>
      <w:r w:rsidRPr="00421C8A">
        <w:rPr>
          <w:lang w:val="en-US"/>
        </w:rPr>
        <w:t xml:space="preserve"> would have been additional</w:t>
      </w:r>
      <w:r w:rsidR="00C74001">
        <w:rPr>
          <w:lang w:val="en-US"/>
        </w:rPr>
        <w:t>.</w:t>
      </w:r>
      <w:r w:rsidRPr="00421C8A">
        <w:rPr>
          <w:lang w:val="en-US"/>
        </w:rPr>
        <w:t xml:space="preserve"> </w:t>
      </w:r>
    </w:p>
    <w:p w14:paraId="7BD4BC70" w14:textId="3B760D5D" w:rsidR="00083877" w:rsidRPr="00421C8A" w:rsidRDefault="00083877" w:rsidP="00083877">
      <w:pPr>
        <w:rPr>
          <w:lang w:val="en-US"/>
        </w:rPr>
      </w:pPr>
      <w:r w:rsidRPr="00421C8A">
        <w:rPr>
          <w:lang w:val="en-US"/>
        </w:rPr>
        <w:t xml:space="preserve">For </w:t>
      </w:r>
      <w:r w:rsidR="00421C8A" w:rsidRPr="00421C8A">
        <w:rPr>
          <w:lang w:val="en-US"/>
        </w:rPr>
        <w:t>the majority (54%)</w:t>
      </w:r>
      <w:r w:rsidRPr="00421C8A">
        <w:rPr>
          <w:lang w:val="en-US"/>
        </w:rPr>
        <w:t xml:space="preserve"> </w:t>
      </w:r>
      <w:r w:rsidR="00421C8A" w:rsidRPr="00421C8A">
        <w:rPr>
          <w:lang w:val="en-US"/>
        </w:rPr>
        <w:t xml:space="preserve">of borrowers </w:t>
      </w:r>
      <w:r w:rsidRPr="00421C8A">
        <w:rPr>
          <w:lang w:val="en-US"/>
        </w:rPr>
        <w:t xml:space="preserve">who expect they would have been able to obtain other external finance in the absence of </w:t>
      </w:r>
      <w:r w:rsidR="00421C8A" w:rsidRPr="00421C8A">
        <w:rPr>
          <w:lang w:val="en-US"/>
        </w:rPr>
        <w:t>RLS 1.0</w:t>
      </w:r>
      <w:r w:rsidRPr="00421C8A">
        <w:rPr>
          <w:lang w:val="en-US"/>
        </w:rPr>
        <w:t>, this alternative funding would not have met their cash-flow needs</w:t>
      </w:r>
      <w:r w:rsidR="00421C8A" w:rsidRPr="00421C8A">
        <w:rPr>
          <w:lang w:val="en-US"/>
        </w:rPr>
        <w:t>.</w:t>
      </w:r>
      <w:r w:rsidRPr="00421C8A">
        <w:rPr>
          <w:lang w:val="en-US"/>
        </w:rPr>
        <w:t xml:space="preserve"> </w:t>
      </w:r>
      <w:r w:rsidR="00421C8A" w:rsidRPr="00421C8A">
        <w:rPr>
          <w:lang w:val="en-US"/>
        </w:rPr>
        <w:t xml:space="preserve">This represents 36% of borrowers, the most prevalent aspect of additionality of RLS 1.0.   </w:t>
      </w:r>
    </w:p>
    <w:p w14:paraId="2B4E1258" w14:textId="7EB7442C" w:rsidR="00083877" w:rsidRPr="00421C8A" w:rsidRDefault="13F4A33F" w:rsidP="005C267D">
      <w:pPr>
        <w:pStyle w:val="Heading3"/>
        <w:rPr>
          <w:lang w:val="en-US"/>
        </w:rPr>
      </w:pPr>
      <w:r w:rsidRPr="02AC3778">
        <w:rPr>
          <w:lang w:val="en-US"/>
        </w:rPr>
        <w:t xml:space="preserve">In the absence of </w:t>
      </w:r>
      <w:r w:rsidR="2D088C04" w:rsidRPr="02AC3778">
        <w:rPr>
          <w:lang w:val="en-US"/>
        </w:rPr>
        <w:t>RLS 1.0</w:t>
      </w:r>
      <w:r w:rsidRPr="02AC3778">
        <w:rPr>
          <w:lang w:val="en-US"/>
        </w:rPr>
        <w:t xml:space="preserve">, would any funds from alternative sources of external finance have been </w:t>
      </w:r>
      <w:r w:rsidR="2D088C04" w:rsidRPr="02AC3778">
        <w:rPr>
          <w:lang w:val="en-US"/>
        </w:rPr>
        <w:t>at worse terms and as a result smaller quantity</w:t>
      </w:r>
      <w:r w:rsidRPr="02AC3778">
        <w:rPr>
          <w:lang w:val="en-US"/>
        </w:rPr>
        <w:t>?</w:t>
      </w:r>
    </w:p>
    <w:p w14:paraId="758EB0F3" w14:textId="0F204C76" w:rsidR="00421C8A" w:rsidRDefault="00083877" w:rsidP="00083877">
      <w:pPr>
        <w:rPr>
          <w:lang w:val="en-US"/>
        </w:rPr>
      </w:pPr>
      <w:r w:rsidRPr="00421C8A">
        <w:rPr>
          <w:lang w:val="en-US"/>
        </w:rPr>
        <w:t>The fourth aspect of additionality covered in this study considers whether</w:t>
      </w:r>
      <w:r w:rsidR="00421C8A" w:rsidRPr="00421C8A">
        <w:rPr>
          <w:lang w:val="en-US"/>
        </w:rPr>
        <w:t xml:space="preserve"> borrowers could raise more</w:t>
      </w:r>
      <w:r w:rsidRPr="00421C8A">
        <w:rPr>
          <w:lang w:val="en-US"/>
        </w:rPr>
        <w:t xml:space="preserve"> </w:t>
      </w:r>
      <w:r w:rsidR="00421C8A" w:rsidRPr="00421C8A">
        <w:rPr>
          <w:lang w:val="en-US"/>
        </w:rPr>
        <w:t>through RLS 1.0 than any alternative finance, as a result of the finance being obtained on improved terms. In particular, borrowers were asked whether the finance under RLS 1.0 was obtained with a lower interest rate, with better terms and conditions (e.g. security required) or a more suitable repayment period.</w:t>
      </w:r>
      <w:r w:rsidR="00385FFE">
        <w:rPr>
          <w:lang w:val="en-US"/>
        </w:rPr>
        <w:t xml:space="preserve"> </w:t>
      </w:r>
      <w:r w:rsidR="00385FFE">
        <w:rPr>
          <w:lang w:val="en-US"/>
        </w:rPr>
        <w:fldChar w:fldCharType="begin"/>
      </w:r>
      <w:r w:rsidR="00385FFE">
        <w:rPr>
          <w:lang w:val="en-US"/>
        </w:rPr>
        <w:instrText xml:space="preserve"> REF _Ref151475509 \h </w:instrText>
      </w:r>
      <w:r w:rsidR="00385FFE">
        <w:rPr>
          <w:lang w:val="en-US"/>
        </w:rPr>
      </w:r>
      <w:r w:rsidR="00385FFE">
        <w:rPr>
          <w:lang w:val="en-US"/>
        </w:rPr>
        <w:fldChar w:fldCharType="separate"/>
      </w:r>
      <w:r w:rsidR="001525E9" w:rsidRPr="007F4C62">
        <w:t xml:space="preserve">Table </w:t>
      </w:r>
      <w:r w:rsidR="001525E9">
        <w:rPr>
          <w:noProof/>
        </w:rPr>
        <w:t>6</w:t>
      </w:r>
      <w:r w:rsidR="00385FFE">
        <w:rPr>
          <w:lang w:val="en-US"/>
        </w:rPr>
        <w:fldChar w:fldCharType="end"/>
      </w:r>
      <w:r w:rsidR="00421C8A">
        <w:rPr>
          <w:lang w:val="en-US"/>
        </w:rPr>
        <w:t xml:space="preserve"> below shows whether finance under RLS 1.0 compared favorably to the alternatives that borrowers would have sought:</w:t>
      </w:r>
    </w:p>
    <w:p w14:paraId="26A26B35" w14:textId="77777777" w:rsidR="00685D1E" w:rsidRPr="00421C8A" w:rsidRDefault="00685D1E" w:rsidP="00083877">
      <w:pPr>
        <w:rPr>
          <w:lang w:val="en-US"/>
        </w:rPr>
      </w:pPr>
    </w:p>
    <w:p w14:paraId="6690CF0B" w14:textId="0F9B5EC3" w:rsidR="00385FFE" w:rsidRDefault="00385FFE" w:rsidP="00385FFE">
      <w:pPr>
        <w:pStyle w:val="Heading5"/>
      </w:pPr>
      <w:bookmarkStart w:id="42" w:name="_Ref151475509"/>
      <w:r w:rsidRPr="007F4C62">
        <w:t xml:space="preserve">Table </w:t>
      </w:r>
      <w:r w:rsidRPr="007F4C62">
        <w:fldChar w:fldCharType="begin"/>
      </w:r>
      <w:r w:rsidRPr="007F4C62">
        <w:instrText>SEQ Table \* ARABIC</w:instrText>
      </w:r>
      <w:r w:rsidRPr="007F4C62">
        <w:fldChar w:fldCharType="separate"/>
      </w:r>
      <w:r w:rsidR="001525E9">
        <w:rPr>
          <w:noProof/>
        </w:rPr>
        <w:t>6</w:t>
      </w:r>
      <w:r w:rsidRPr="007F4C62">
        <w:fldChar w:fldCharType="end"/>
      </w:r>
      <w:bookmarkEnd w:id="42"/>
      <w:r w:rsidRPr="007F4C62">
        <w:t xml:space="preserve">: </w:t>
      </w:r>
      <w:r w:rsidR="002B256D">
        <w:t>RLS 1.0</w:t>
      </w:r>
      <w:r w:rsidR="00BB28AB">
        <w:t xml:space="preserve"> finance</w:t>
      </w:r>
      <w:r w:rsidR="009041C8">
        <w:t xml:space="preserve"> </w:t>
      </w:r>
      <w:r w:rsidR="00275992">
        <w:t>t</w:t>
      </w:r>
      <w:r w:rsidR="00E43FD2">
        <w:t>erms compared to finance that borrowers would have applied for if their RLS 1.0 application had been unsuccessful</w:t>
      </w:r>
    </w:p>
    <w:tbl>
      <w:tblPr>
        <w:tblStyle w:val="TableGrid"/>
        <w:tblW w:w="0" w:type="auto"/>
        <w:tblLook w:val="04A0" w:firstRow="1" w:lastRow="0" w:firstColumn="1" w:lastColumn="0" w:noHBand="0" w:noVBand="1"/>
      </w:tblPr>
      <w:tblGrid>
        <w:gridCol w:w="4958"/>
        <w:gridCol w:w="4958"/>
      </w:tblGrid>
      <w:tr w:rsidR="00385FFE" w14:paraId="1A0833F4" w14:textId="77777777" w:rsidTr="00385FFE">
        <w:trPr>
          <w:cnfStyle w:val="100000000000" w:firstRow="1" w:lastRow="0" w:firstColumn="0" w:lastColumn="0" w:oddVBand="0" w:evenVBand="0" w:oddHBand="0" w:evenHBand="0" w:firstRowFirstColumn="0" w:firstRowLastColumn="0" w:lastRowFirstColumn="0" w:lastRowLastColumn="0"/>
          <w:trHeight w:val="735"/>
        </w:trPr>
        <w:tc>
          <w:tcPr>
            <w:tcW w:w="4958" w:type="dxa"/>
            <w:vAlign w:val="top"/>
          </w:tcPr>
          <w:p w14:paraId="40069E4D" w14:textId="1C0145DC" w:rsidR="00385FFE" w:rsidRDefault="00E34F48" w:rsidP="00385FFE">
            <w:r>
              <w:t>Feature</w:t>
            </w:r>
          </w:p>
        </w:tc>
        <w:tc>
          <w:tcPr>
            <w:tcW w:w="4958" w:type="dxa"/>
            <w:vAlign w:val="center"/>
          </w:tcPr>
          <w:p w14:paraId="58F3BF8C" w14:textId="64290E5D" w:rsidR="00385FFE" w:rsidRDefault="00E34F48" w:rsidP="00385FFE">
            <w:pPr>
              <w:jc w:val="right"/>
            </w:pPr>
            <w:r>
              <w:t>Proportion of borrowers</w:t>
            </w:r>
          </w:p>
        </w:tc>
      </w:tr>
      <w:tr w:rsidR="00385FFE" w14:paraId="6B7B7FF5" w14:textId="77777777" w:rsidTr="00385FF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10"/>
        </w:trPr>
        <w:tc>
          <w:tcPr>
            <w:tcW w:w="4958" w:type="dxa"/>
            <w:vAlign w:val="top"/>
          </w:tcPr>
          <w:p w14:paraId="47BDE62A" w14:textId="5A03F9FA" w:rsidR="00385FFE" w:rsidRDefault="00385FFE" w:rsidP="00385FFE">
            <w:r w:rsidRPr="005226EE">
              <w:t>A lower interest rate</w:t>
            </w:r>
          </w:p>
        </w:tc>
        <w:tc>
          <w:tcPr>
            <w:tcW w:w="4958" w:type="dxa"/>
            <w:vAlign w:val="center"/>
          </w:tcPr>
          <w:p w14:paraId="5B33C0E2" w14:textId="6599E32E" w:rsidR="00385FFE" w:rsidRDefault="00385FFE" w:rsidP="00385FFE">
            <w:pPr>
              <w:jc w:val="right"/>
            </w:pPr>
            <w:r w:rsidRPr="005226EE">
              <w:t>55%</w:t>
            </w:r>
          </w:p>
        </w:tc>
      </w:tr>
      <w:tr w:rsidR="00385FFE" w14:paraId="6DD640F2" w14:textId="77777777" w:rsidTr="00385FFE">
        <w:tblPrEx>
          <w:tblCellMar>
            <w:left w:w="108" w:type="dxa"/>
            <w:right w:w="108" w:type="dxa"/>
          </w:tblCellMar>
        </w:tblPrEx>
        <w:trPr>
          <w:trHeight w:val="610"/>
        </w:trPr>
        <w:tc>
          <w:tcPr>
            <w:tcW w:w="4958" w:type="dxa"/>
            <w:vAlign w:val="top"/>
          </w:tcPr>
          <w:p w14:paraId="7BE8BC62" w14:textId="5BAD431C" w:rsidR="00385FFE" w:rsidRDefault="00385FFE" w:rsidP="00385FFE">
            <w:r w:rsidRPr="005226EE">
              <w:t>Better terms and conditions</w:t>
            </w:r>
          </w:p>
        </w:tc>
        <w:tc>
          <w:tcPr>
            <w:tcW w:w="4958" w:type="dxa"/>
            <w:vAlign w:val="center"/>
          </w:tcPr>
          <w:p w14:paraId="2A8FE879" w14:textId="20F47C7D" w:rsidR="00385FFE" w:rsidRDefault="00385FFE" w:rsidP="00385FFE">
            <w:pPr>
              <w:jc w:val="right"/>
            </w:pPr>
            <w:r w:rsidRPr="005226EE">
              <w:t>43%</w:t>
            </w:r>
          </w:p>
        </w:tc>
      </w:tr>
      <w:tr w:rsidR="00385FFE" w14:paraId="542406E1" w14:textId="77777777" w:rsidTr="00385FF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10"/>
        </w:trPr>
        <w:tc>
          <w:tcPr>
            <w:tcW w:w="4958" w:type="dxa"/>
            <w:vAlign w:val="top"/>
          </w:tcPr>
          <w:p w14:paraId="4F867FB2" w14:textId="5E588FCA" w:rsidR="00385FFE" w:rsidRDefault="00385FFE" w:rsidP="00385FFE">
            <w:r w:rsidRPr="005226EE">
              <w:t>A more suitable repayment period</w:t>
            </w:r>
          </w:p>
        </w:tc>
        <w:tc>
          <w:tcPr>
            <w:tcW w:w="4958" w:type="dxa"/>
            <w:vAlign w:val="center"/>
          </w:tcPr>
          <w:p w14:paraId="75DDAC33" w14:textId="0691240F" w:rsidR="00385FFE" w:rsidRDefault="00385FFE" w:rsidP="00385FFE">
            <w:pPr>
              <w:jc w:val="right"/>
            </w:pPr>
            <w:r w:rsidRPr="005226EE">
              <w:t>46%</w:t>
            </w:r>
          </w:p>
        </w:tc>
      </w:tr>
      <w:tr w:rsidR="00385FFE" w14:paraId="5D49B514" w14:textId="77777777" w:rsidTr="00385FFE">
        <w:tblPrEx>
          <w:tblCellMar>
            <w:left w:w="108" w:type="dxa"/>
            <w:right w:w="108" w:type="dxa"/>
          </w:tblCellMar>
        </w:tblPrEx>
        <w:trPr>
          <w:trHeight w:val="610"/>
        </w:trPr>
        <w:tc>
          <w:tcPr>
            <w:tcW w:w="4958" w:type="dxa"/>
            <w:vAlign w:val="top"/>
          </w:tcPr>
          <w:p w14:paraId="0528C460" w14:textId="0921079A" w:rsidR="00385FFE" w:rsidRDefault="00385FFE" w:rsidP="00385FFE">
            <w:r w:rsidRPr="005226EE">
              <w:t>None of the above</w:t>
            </w:r>
          </w:p>
        </w:tc>
        <w:tc>
          <w:tcPr>
            <w:tcW w:w="4958" w:type="dxa"/>
            <w:vAlign w:val="center"/>
          </w:tcPr>
          <w:p w14:paraId="08025A2A" w14:textId="532D629B" w:rsidR="00385FFE" w:rsidRDefault="00385FFE" w:rsidP="00385FFE">
            <w:pPr>
              <w:jc w:val="right"/>
            </w:pPr>
            <w:r w:rsidRPr="005226EE">
              <w:t>22%</w:t>
            </w:r>
          </w:p>
        </w:tc>
      </w:tr>
      <w:tr w:rsidR="00385FFE" w14:paraId="74EEBB1B" w14:textId="77777777" w:rsidTr="00385FF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10"/>
        </w:trPr>
        <w:tc>
          <w:tcPr>
            <w:tcW w:w="4958" w:type="dxa"/>
            <w:vAlign w:val="top"/>
          </w:tcPr>
          <w:p w14:paraId="6FB4A677" w14:textId="0F2CAEFA" w:rsidR="00385FFE" w:rsidRDefault="00385FFE" w:rsidP="00385FFE">
            <w:r w:rsidRPr="005226EE">
              <w:t>Don't know</w:t>
            </w:r>
          </w:p>
        </w:tc>
        <w:tc>
          <w:tcPr>
            <w:tcW w:w="4958" w:type="dxa"/>
            <w:vAlign w:val="center"/>
          </w:tcPr>
          <w:p w14:paraId="00631A25" w14:textId="4041580E" w:rsidR="00385FFE" w:rsidRDefault="00385FFE" w:rsidP="00385FFE">
            <w:pPr>
              <w:jc w:val="right"/>
            </w:pPr>
            <w:r w:rsidRPr="005226EE">
              <w:t>8%</w:t>
            </w:r>
          </w:p>
        </w:tc>
      </w:tr>
    </w:tbl>
    <w:p w14:paraId="5604E04C" w14:textId="77777777" w:rsidR="00385FFE" w:rsidRPr="007238DA" w:rsidRDefault="00385FFE" w:rsidP="00385FFE">
      <w:pPr>
        <w:pStyle w:val="Caption"/>
      </w:pPr>
      <w:r w:rsidRPr="007238DA">
        <w:t>Source: London Economics’ analysis of survey data</w:t>
      </w:r>
    </w:p>
    <w:p w14:paraId="173094F1" w14:textId="03A6B356" w:rsidR="00421C8A" w:rsidRPr="00421C8A" w:rsidRDefault="2D088C04" w:rsidP="00083877">
      <w:pPr>
        <w:rPr>
          <w:lang w:val="en-US"/>
        </w:rPr>
      </w:pPr>
      <w:r w:rsidRPr="02AC3778">
        <w:rPr>
          <w:lang w:val="en-US"/>
        </w:rPr>
        <w:t xml:space="preserve">This aspect of additionality is important given that, in addition to supporting survival and solvency, RLS 1.0 was also implemented to help firms to rebound and grow from the pandemic. Of the 30% of borrowers for whom the finance was not classed as additional according to any of the three elements discussed above, just under half (14%) were able to obtain more finance under RLS 1.0 due to the fact that the terms of the finance were better. </w:t>
      </w:r>
    </w:p>
    <w:p w14:paraId="1ECA28A2" w14:textId="6BBEF2D1" w:rsidR="00421C8A" w:rsidRPr="00421C8A" w:rsidRDefault="00421C8A" w:rsidP="00421C8A">
      <w:pPr>
        <w:pStyle w:val="Heading3"/>
        <w:rPr>
          <w:lang w:val="en-US"/>
        </w:rPr>
      </w:pPr>
      <w:r>
        <w:rPr>
          <w:lang w:val="en-US"/>
        </w:rPr>
        <w:t xml:space="preserve">Comparison to previous </w:t>
      </w:r>
      <w:r w:rsidR="00A10525">
        <w:rPr>
          <w:lang w:val="en-US"/>
        </w:rPr>
        <w:t>BBB</w:t>
      </w:r>
      <w:r>
        <w:rPr>
          <w:lang w:val="en-US"/>
        </w:rPr>
        <w:t xml:space="preserve"> </w:t>
      </w:r>
      <w:r w:rsidR="007238DA">
        <w:rPr>
          <w:lang w:val="en-US"/>
        </w:rPr>
        <w:t>schemes</w:t>
      </w:r>
    </w:p>
    <w:p w14:paraId="13189E05" w14:textId="65D2A08A" w:rsidR="001C49FD" w:rsidRDefault="74B2B8D3" w:rsidP="001C49FD">
      <w:r>
        <w:t>For context, the first three elements of additionality can be directly compared to those from the evaluation of BBLS, CBILS and C</w:t>
      </w:r>
      <w:r w:rsidR="00C236F3">
        <w:t>L</w:t>
      </w:r>
      <w:r>
        <w:t>BILS.</w:t>
      </w:r>
      <w:r w:rsidR="001C49FD">
        <w:rPr>
          <w:rStyle w:val="FootnoteReference"/>
        </w:rPr>
        <w:footnoteReference w:id="34"/>
      </w:r>
      <w:r>
        <w:t xml:space="preserve"> The table below compares additionality rates according to these three aspects between RLS 1.0 (with the caveat that credit conditions may have changed between the time of the Covid-19 Loan Guarantee Schemes and RLS 1.0). </w:t>
      </w:r>
    </w:p>
    <w:p w14:paraId="3272DC97" w14:textId="573CBBFF" w:rsidR="001C49FD" w:rsidRPr="00D0457A" w:rsidRDefault="001C49FD" w:rsidP="001C49FD">
      <w:pPr>
        <w:pStyle w:val="Heading5"/>
      </w:pPr>
      <w:r w:rsidRPr="00D0457A">
        <w:t xml:space="preserve">Table </w:t>
      </w:r>
      <w:r w:rsidRPr="00D0457A">
        <w:fldChar w:fldCharType="begin"/>
      </w:r>
      <w:r w:rsidRPr="00D0457A">
        <w:instrText>SEQ Table \* ARABIC</w:instrText>
      </w:r>
      <w:r w:rsidRPr="00D0457A">
        <w:fldChar w:fldCharType="separate"/>
      </w:r>
      <w:r w:rsidR="001525E9">
        <w:rPr>
          <w:noProof/>
        </w:rPr>
        <w:t>7</w:t>
      </w:r>
      <w:r w:rsidRPr="00D0457A">
        <w:fldChar w:fldCharType="end"/>
      </w:r>
      <w:r w:rsidRPr="00D0457A">
        <w:t xml:space="preserve">: </w:t>
      </w:r>
      <w:r>
        <w:t>Additionality of RLS 1.0, BBLS</w:t>
      </w:r>
      <w:r w:rsidR="00B27E6F">
        <w:t>,</w:t>
      </w:r>
      <w:r>
        <w:t xml:space="preserve"> and CBILS/CLBILS</w:t>
      </w:r>
    </w:p>
    <w:tbl>
      <w:tblPr>
        <w:tblStyle w:val="TableGrid"/>
        <w:tblW w:w="5006" w:type="pct"/>
        <w:tblLayout w:type="fixed"/>
        <w:tblLook w:val="04A0" w:firstRow="1" w:lastRow="0" w:firstColumn="1" w:lastColumn="0" w:noHBand="0" w:noVBand="1"/>
        <w:tblCaption w:val="Business size"/>
        <w:tblDescription w:val="Business size"/>
      </w:tblPr>
      <w:tblGrid>
        <w:gridCol w:w="3830"/>
        <w:gridCol w:w="2112"/>
        <w:gridCol w:w="2112"/>
        <w:gridCol w:w="2112"/>
      </w:tblGrid>
      <w:tr w:rsidR="001C49FD" w:rsidRPr="000056E7" w14:paraId="3C6B8792" w14:textId="77777777" w:rsidTr="02AC3778">
        <w:trPr>
          <w:cnfStyle w:val="100000000000" w:firstRow="1" w:lastRow="0" w:firstColumn="0" w:lastColumn="0" w:oddVBand="0" w:evenVBand="0" w:oddHBand="0" w:evenHBand="0" w:firstRowFirstColumn="0" w:firstRowLastColumn="0" w:lastRowFirstColumn="0" w:lastRowLastColumn="0"/>
          <w:trHeight w:val="567"/>
          <w:tblHeader/>
        </w:trPr>
        <w:tc>
          <w:tcPr>
            <w:tcW w:w="1883" w:type="pct"/>
            <w:vAlign w:val="top"/>
            <w:hideMark/>
          </w:tcPr>
          <w:p w14:paraId="7B855E39" w14:textId="77777777" w:rsidR="001C49FD" w:rsidRPr="00B21B8A" w:rsidRDefault="001C49FD">
            <w:pPr>
              <w:pStyle w:val="Tablecolumnheading-inkblue"/>
              <w:rPr>
                <w:color w:val="FFFFFF" w:themeColor="background1"/>
              </w:rPr>
            </w:pPr>
          </w:p>
        </w:tc>
        <w:tc>
          <w:tcPr>
            <w:tcW w:w="1039" w:type="pct"/>
            <w:vAlign w:val="top"/>
            <w:hideMark/>
          </w:tcPr>
          <w:p w14:paraId="467CBAF3" w14:textId="77777777" w:rsidR="001C49FD" w:rsidRPr="008F7405" w:rsidRDefault="001C49FD">
            <w:pPr>
              <w:pStyle w:val="Tablecolumnheading-inkblue"/>
              <w:jc w:val="right"/>
              <w:rPr>
                <w:b w:val="0"/>
                <w:color w:val="FFFFFF" w:themeColor="background1"/>
              </w:rPr>
            </w:pPr>
            <w:r>
              <w:rPr>
                <w:color w:val="FFFFFF" w:themeColor="background1"/>
              </w:rPr>
              <w:t>RLS 1.0</w:t>
            </w:r>
          </w:p>
          <w:p w14:paraId="3A1CDB10" w14:textId="77777777" w:rsidR="001C49FD" w:rsidRPr="000056E7" w:rsidRDefault="001C49FD">
            <w:pPr>
              <w:pStyle w:val="Tabletext"/>
              <w:rPr>
                <w:highlight w:val="yellow"/>
              </w:rPr>
            </w:pPr>
          </w:p>
        </w:tc>
        <w:tc>
          <w:tcPr>
            <w:tcW w:w="1039" w:type="pct"/>
          </w:tcPr>
          <w:p w14:paraId="000CC60A" w14:textId="77777777" w:rsidR="001C49FD" w:rsidRPr="00B21B8A" w:rsidRDefault="001C49FD">
            <w:pPr>
              <w:pStyle w:val="Tablecolumnheading-inkblue"/>
              <w:jc w:val="right"/>
              <w:rPr>
                <w:color w:val="FFFFFF" w:themeColor="background1"/>
              </w:rPr>
            </w:pPr>
            <w:r>
              <w:rPr>
                <w:color w:val="FFFFFF" w:themeColor="background1"/>
              </w:rPr>
              <w:t>BBLS</w:t>
            </w:r>
          </w:p>
        </w:tc>
        <w:tc>
          <w:tcPr>
            <w:tcW w:w="1039" w:type="pct"/>
            <w:vAlign w:val="top"/>
          </w:tcPr>
          <w:p w14:paraId="05161D37" w14:textId="77777777" w:rsidR="001C49FD" w:rsidRDefault="001C49FD">
            <w:pPr>
              <w:pStyle w:val="Tablecolumnheading-inkblue"/>
              <w:jc w:val="right"/>
              <w:rPr>
                <w:color w:val="FFFFFF" w:themeColor="background1"/>
              </w:rPr>
            </w:pPr>
            <w:r>
              <w:rPr>
                <w:color w:val="FFFFFF" w:themeColor="background1"/>
              </w:rPr>
              <w:t>CBILS/CLBILS</w:t>
            </w:r>
          </w:p>
        </w:tc>
      </w:tr>
      <w:tr w:rsidR="001C49FD" w:rsidRPr="000056E7" w14:paraId="00663AE7"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0"/>
        </w:trPr>
        <w:tc>
          <w:tcPr>
            <w:tcW w:w="1883" w:type="pct"/>
            <w:vAlign w:val="top"/>
          </w:tcPr>
          <w:p w14:paraId="043CC334" w14:textId="77777777" w:rsidR="001C49FD" w:rsidRPr="000056E7" w:rsidRDefault="001C49FD">
            <w:pPr>
              <w:pStyle w:val="Tabletext"/>
              <w:rPr>
                <w:highlight w:val="yellow"/>
              </w:rPr>
            </w:pPr>
            <w:r>
              <w:t>Dates open</w:t>
            </w:r>
          </w:p>
        </w:tc>
        <w:tc>
          <w:tcPr>
            <w:tcW w:w="1039" w:type="pct"/>
            <w:vAlign w:val="center"/>
          </w:tcPr>
          <w:p w14:paraId="2A195704" w14:textId="77777777" w:rsidR="001C49FD" w:rsidRPr="008F7405" w:rsidRDefault="001C49FD">
            <w:pPr>
              <w:pStyle w:val="Tabletext"/>
              <w:jc w:val="right"/>
            </w:pPr>
            <w:r w:rsidRPr="008F7405">
              <w:t>April – December 2021</w:t>
            </w:r>
          </w:p>
        </w:tc>
        <w:tc>
          <w:tcPr>
            <w:tcW w:w="1039" w:type="pct"/>
            <w:vAlign w:val="center"/>
          </w:tcPr>
          <w:p w14:paraId="292C05FA" w14:textId="77777777" w:rsidR="001C49FD" w:rsidRPr="008F7405" w:rsidRDefault="001C49FD">
            <w:pPr>
              <w:pStyle w:val="Tabletext"/>
              <w:jc w:val="right"/>
            </w:pPr>
            <w:r w:rsidRPr="004E1F3A">
              <w:t>May 2020 – March 2021</w:t>
            </w:r>
          </w:p>
        </w:tc>
        <w:tc>
          <w:tcPr>
            <w:tcW w:w="1039" w:type="pct"/>
            <w:vAlign w:val="center"/>
          </w:tcPr>
          <w:p w14:paraId="18EE1347" w14:textId="77777777" w:rsidR="001C49FD" w:rsidRPr="004E1F3A" w:rsidRDefault="74B2B8D3">
            <w:pPr>
              <w:pStyle w:val="Tabletext"/>
              <w:jc w:val="right"/>
            </w:pPr>
            <w:r>
              <w:t>March/April 2020</w:t>
            </w:r>
            <w:r w:rsidR="001C49FD" w:rsidRPr="004E1F3A">
              <w:rPr>
                <w:rStyle w:val="FootnoteReference"/>
              </w:rPr>
              <w:footnoteReference w:id="35"/>
            </w:r>
            <w:r>
              <w:t xml:space="preserve"> – March 2021</w:t>
            </w:r>
          </w:p>
        </w:tc>
      </w:tr>
      <w:tr w:rsidR="001C49FD" w:rsidRPr="000056E7" w14:paraId="2479EF1A" w14:textId="77777777" w:rsidTr="02AC3778">
        <w:tblPrEx>
          <w:tblCellMar>
            <w:left w:w="108" w:type="dxa"/>
            <w:right w:w="108" w:type="dxa"/>
          </w:tblCellMar>
        </w:tblPrEx>
        <w:trPr>
          <w:trHeight w:val="559"/>
        </w:trPr>
        <w:tc>
          <w:tcPr>
            <w:tcW w:w="1883" w:type="pct"/>
            <w:vAlign w:val="top"/>
            <w:hideMark/>
          </w:tcPr>
          <w:p w14:paraId="6CEE548E" w14:textId="77777777" w:rsidR="001C49FD" w:rsidRPr="008F7405" w:rsidRDefault="001C49FD">
            <w:pPr>
              <w:pStyle w:val="Tabletext"/>
            </w:pPr>
            <w:r w:rsidRPr="008F7405">
              <w:t>Would not apply for other external finance</w:t>
            </w:r>
          </w:p>
        </w:tc>
        <w:tc>
          <w:tcPr>
            <w:tcW w:w="1039" w:type="pct"/>
            <w:vAlign w:val="center"/>
            <w:hideMark/>
          </w:tcPr>
          <w:p w14:paraId="0E2EC4F9" w14:textId="77777777" w:rsidR="001C49FD" w:rsidRPr="008F7405" w:rsidRDefault="001C49FD">
            <w:pPr>
              <w:pStyle w:val="Tabletext"/>
              <w:jc w:val="right"/>
            </w:pPr>
            <w:r>
              <w:t>17%</w:t>
            </w:r>
          </w:p>
        </w:tc>
        <w:tc>
          <w:tcPr>
            <w:tcW w:w="1039" w:type="pct"/>
            <w:vAlign w:val="center"/>
          </w:tcPr>
          <w:p w14:paraId="33475036" w14:textId="77777777" w:rsidR="001C49FD" w:rsidRPr="008F7405" w:rsidRDefault="001C49FD">
            <w:pPr>
              <w:pStyle w:val="Tabletext"/>
              <w:jc w:val="right"/>
              <w:rPr>
                <w:bCs/>
              </w:rPr>
            </w:pPr>
            <w:r>
              <w:rPr>
                <w:bCs/>
              </w:rPr>
              <w:t>45%</w:t>
            </w:r>
          </w:p>
        </w:tc>
        <w:tc>
          <w:tcPr>
            <w:tcW w:w="1039" w:type="pct"/>
            <w:vAlign w:val="center"/>
          </w:tcPr>
          <w:p w14:paraId="51DCF398" w14:textId="77777777" w:rsidR="001C49FD" w:rsidRPr="004E1F3A" w:rsidRDefault="001C49FD">
            <w:pPr>
              <w:pStyle w:val="Tabletext"/>
              <w:jc w:val="right"/>
            </w:pPr>
            <w:r>
              <w:t>39%</w:t>
            </w:r>
          </w:p>
        </w:tc>
      </w:tr>
      <w:tr w:rsidR="001C49FD" w:rsidRPr="000056E7" w14:paraId="35A7CA23"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65"/>
        </w:trPr>
        <w:tc>
          <w:tcPr>
            <w:tcW w:w="1883" w:type="pct"/>
            <w:vAlign w:val="top"/>
            <w:hideMark/>
          </w:tcPr>
          <w:p w14:paraId="74D68CF6" w14:textId="77777777" w:rsidR="001C49FD" w:rsidRPr="008F7405" w:rsidRDefault="001C49FD">
            <w:pPr>
              <w:pStyle w:val="Tabletext"/>
            </w:pPr>
            <w:r w:rsidRPr="004E1F3A">
              <w:t>Would not be successful in their application for external finance</w:t>
            </w:r>
          </w:p>
        </w:tc>
        <w:tc>
          <w:tcPr>
            <w:tcW w:w="1039" w:type="pct"/>
            <w:vAlign w:val="center"/>
            <w:hideMark/>
          </w:tcPr>
          <w:p w14:paraId="65EAB55F" w14:textId="77777777" w:rsidR="001C49FD" w:rsidRPr="008F7405" w:rsidRDefault="001C49FD">
            <w:pPr>
              <w:pStyle w:val="Tabletext"/>
              <w:jc w:val="right"/>
            </w:pPr>
            <w:r>
              <w:t>17%</w:t>
            </w:r>
          </w:p>
        </w:tc>
        <w:tc>
          <w:tcPr>
            <w:tcW w:w="1039" w:type="pct"/>
            <w:vAlign w:val="center"/>
          </w:tcPr>
          <w:p w14:paraId="783CEF06" w14:textId="77777777" w:rsidR="001C49FD" w:rsidRPr="008F7405" w:rsidRDefault="001C49FD">
            <w:pPr>
              <w:pStyle w:val="Tabletext"/>
              <w:jc w:val="right"/>
              <w:rPr>
                <w:bCs/>
              </w:rPr>
            </w:pPr>
            <w:r>
              <w:rPr>
                <w:bCs/>
              </w:rPr>
              <w:t>15%</w:t>
            </w:r>
          </w:p>
        </w:tc>
        <w:tc>
          <w:tcPr>
            <w:tcW w:w="1039" w:type="pct"/>
            <w:vAlign w:val="center"/>
          </w:tcPr>
          <w:p w14:paraId="54AAC080" w14:textId="77777777" w:rsidR="001C49FD" w:rsidRPr="004E1F3A" w:rsidRDefault="001C49FD">
            <w:pPr>
              <w:pStyle w:val="Tabletext"/>
              <w:jc w:val="right"/>
            </w:pPr>
            <w:r>
              <w:t>14%</w:t>
            </w:r>
          </w:p>
        </w:tc>
      </w:tr>
      <w:tr w:rsidR="001C49FD" w:rsidRPr="000056E7" w14:paraId="4E406384" w14:textId="77777777" w:rsidTr="02AC3778">
        <w:tblPrEx>
          <w:tblCellMar>
            <w:left w:w="108" w:type="dxa"/>
            <w:right w:w="108" w:type="dxa"/>
          </w:tblCellMar>
        </w:tblPrEx>
        <w:trPr>
          <w:trHeight w:val="559"/>
        </w:trPr>
        <w:tc>
          <w:tcPr>
            <w:tcW w:w="1883" w:type="pct"/>
            <w:vAlign w:val="top"/>
            <w:hideMark/>
          </w:tcPr>
          <w:p w14:paraId="0102802D" w14:textId="793D388C" w:rsidR="001C49FD" w:rsidRPr="008F7405" w:rsidRDefault="001C49FD">
            <w:pPr>
              <w:pStyle w:val="Tabletext"/>
            </w:pPr>
            <w:r w:rsidRPr="008F7405">
              <w:t>Alternative finance would have been insufficient to cover</w:t>
            </w:r>
            <w:r w:rsidR="006003B8">
              <w:t xml:space="preserve"> cashflow needs</w:t>
            </w:r>
          </w:p>
        </w:tc>
        <w:tc>
          <w:tcPr>
            <w:tcW w:w="1039" w:type="pct"/>
            <w:vAlign w:val="center"/>
            <w:hideMark/>
          </w:tcPr>
          <w:p w14:paraId="57FC018F" w14:textId="77777777" w:rsidR="001C49FD" w:rsidRPr="008F7405" w:rsidRDefault="001C49FD">
            <w:pPr>
              <w:pStyle w:val="Tabletext"/>
              <w:jc w:val="right"/>
            </w:pPr>
            <w:r>
              <w:t>36%</w:t>
            </w:r>
          </w:p>
        </w:tc>
        <w:tc>
          <w:tcPr>
            <w:tcW w:w="1039" w:type="pct"/>
            <w:vAlign w:val="center"/>
          </w:tcPr>
          <w:p w14:paraId="79D4A22A" w14:textId="77777777" w:rsidR="001C49FD" w:rsidRPr="008F7405" w:rsidRDefault="001C49FD">
            <w:pPr>
              <w:pStyle w:val="Tabletext"/>
              <w:jc w:val="right"/>
              <w:rPr>
                <w:bCs/>
              </w:rPr>
            </w:pPr>
            <w:r>
              <w:rPr>
                <w:bCs/>
              </w:rPr>
              <w:t>14%</w:t>
            </w:r>
          </w:p>
        </w:tc>
        <w:tc>
          <w:tcPr>
            <w:tcW w:w="1039" w:type="pct"/>
            <w:vAlign w:val="center"/>
          </w:tcPr>
          <w:p w14:paraId="6D5E1B0B" w14:textId="77777777" w:rsidR="001C49FD" w:rsidRPr="004E1F3A" w:rsidRDefault="001C49FD">
            <w:pPr>
              <w:pStyle w:val="Tabletext"/>
              <w:jc w:val="right"/>
            </w:pPr>
            <w:r>
              <w:t>17%</w:t>
            </w:r>
          </w:p>
        </w:tc>
      </w:tr>
      <w:tr w:rsidR="001C49FD" w:rsidRPr="000056E7" w14:paraId="091F12AC"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59"/>
        </w:trPr>
        <w:tc>
          <w:tcPr>
            <w:tcW w:w="1883" w:type="pct"/>
            <w:vAlign w:val="top"/>
          </w:tcPr>
          <w:p w14:paraId="173695CC" w14:textId="77777777" w:rsidR="001C49FD" w:rsidRPr="009D2247" w:rsidRDefault="001C49FD">
            <w:pPr>
              <w:pStyle w:val="Tabletext"/>
              <w:rPr>
                <w:b/>
              </w:rPr>
            </w:pPr>
            <w:r w:rsidRPr="009D2247">
              <w:rPr>
                <w:b/>
              </w:rPr>
              <w:t>Additional according to any of the above</w:t>
            </w:r>
          </w:p>
        </w:tc>
        <w:tc>
          <w:tcPr>
            <w:tcW w:w="1039" w:type="pct"/>
            <w:vAlign w:val="center"/>
          </w:tcPr>
          <w:p w14:paraId="241D7A98" w14:textId="77777777" w:rsidR="001C49FD" w:rsidRPr="009D2247" w:rsidRDefault="001C49FD">
            <w:pPr>
              <w:pStyle w:val="Tabletext"/>
              <w:jc w:val="right"/>
              <w:rPr>
                <w:b/>
              </w:rPr>
            </w:pPr>
            <w:r w:rsidRPr="009D2247">
              <w:rPr>
                <w:b/>
              </w:rPr>
              <w:t>69%</w:t>
            </w:r>
          </w:p>
        </w:tc>
        <w:tc>
          <w:tcPr>
            <w:tcW w:w="1039" w:type="pct"/>
            <w:vAlign w:val="center"/>
          </w:tcPr>
          <w:p w14:paraId="19F4D7A3" w14:textId="77777777" w:rsidR="001C49FD" w:rsidRPr="009D2247" w:rsidRDefault="001C49FD">
            <w:pPr>
              <w:pStyle w:val="Tabletext"/>
              <w:jc w:val="right"/>
              <w:rPr>
                <w:b/>
              </w:rPr>
            </w:pPr>
            <w:r w:rsidRPr="009D2247">
              <w:rPr>
                <w:b/>
              </w:rPr>
              <w:t>74%</w:t>
            </w:r>
          </w:p>
        </w:tc>
        <w:tc>
          <w:tcPr>
            <w:tcW w:w="1039" w:type="pct"/>
            <w:vAlign w:val="center"/>
          </w:tcPr>
          <w:p w14:paraId="61014774" w14:textId="138D648E" w:rsidR="001C49FD" w:rsidRPr="009D2247" w:rsidRDefault="00540275">
            <w:pPr>
              <w:pStyle w:val="Tabletext"/>
              <w:jc w:val="right"/>
              <w:rPr>
                <w:b/>
              </w:rPr>
            </w:pPr>
            <w:r w:rsidRPr="009D2247">
              <w:rPr>
                <w:b/>
              </w:rPr>
              <w:t>69</w:t>
            </w:r>
            <w:r w:rsidR="001C49FD" w:rsidRPr="009D2247">
              <w:rPr>
                <w:b/>
              </w:rPr>
              <w:t>%</w:t>
            </w:r>
          </w:p>
        </w:tc>
      </w:tr>
    </w:tbl>
    <w:p w14:paraId="081C08AF" w14:textId="77777777" w:rsidR="001C49FD" w:rsidRPr="008F7405" w:rsidRDefault="001C49FD" w:rsidP="001C49FD">
      <w:pPr>
        <w:rPr>
          <w:sz w:val="2"/>
          <w:szCs w:val="2"/>
        </w:rPr>
      </w:pPr>
    </w:p>
    <w:p w14:paraId="716F4D3C" w14:textId="49535554" w:rsidR="001C49FD" w:rsidRDefault="001C49FD" w:rsidP="001E57EE">
      <w:r>
        <w:t>Additionality according to these three elements was slightly higher for BBLS than for RLS 1.0.</w:t>
      </w:r>
      <w:r w:rsidR="00540275">
        <w:t xml:space="preserve"> Additionality for CBILS/CLBILS was roughly the same. </w:t>
      </w:r>
      <w:r>
        <w:t xml:space="preserve">Furthermore, a much higher proportion of additionality of the Covid-19 Loan Guarantee Schemes came from borrowers who otherwise would not have applied for external finance. This is perhaps to be expected given the particular focus of the Covid-19 Loan Guarantee Schemes on helping businesses through the pandemic, the very widespread take up of these schemes and the extremely challenging conditions in the first few weeks of the pandemic.   </w:t>
      </w:r>
    </w:p>
    <w:bookmarkEnd w:id="41"/>
    <w:p w14:paraId="28936FAE" w14:textId="79802F9E" w:rsidR="00421C8A" w:rsidRPr="00421C8A" w:rsidRDefault="009120B6" w:rsidP="001E57EE">
      <w:r>
        <w:t xml:space="preserve">This may </w:t>
      </w:r>
      <w:r w:rsidR="001C49FD">
        <w:t xml:space="preserve">also </w:t>
      </w:r>
      <w:r>
        <w:t>be in part explained by the fact that RLS 1.0 borrowers were found to be, on average, more likely to have undertaken activities such as R&amp;D, reducing carbon emissions and developing new products and processes (</w:t>
      </w:r>
      <w:r w:rsidR="00F42292">
        <w:t xml:space="preserve">see </w:t>
      </w:r>
      <w:r w:rsidR="00F42292">
        <w:rPr>
          <w:highlight w:val="yellow"/>
        </w:rPr>
        <w:fldChar w:fldCharType="begin"/>
      </w:r>
      <w:r w:rsidR="00F42292">
        <w:instrText xml:space="preserve"> REF _Ref151648674 \h </w:instrText>
      </w:r>
      <w:r w:rsidR="00F42292">
        <w:rPr>
          <w:highlight w:val="yellow"/>
        </w:rPr>
      </w:r>
      <w:r w:rsidR="00F42292">
        <w:rPr>
          <w:highlight w:val="yellow"/>
        </w:rPr>
        <w:fldChar w:fldCharType="separate"/>
      </w:r>
      <w:r w:rsidR="001525E9" w:rsidRPr="00AF7606">
        <w:t xml:space="preserve">Figure </w:t>
      </w:r>
      <w:r w:rsidR="001525E9">
        <w:rPr>
          <w:noProof/>
        </w:rPr>
        <w:t>17</w:t>
      </w:r>
      <w:r w:rsidR="00F42292">
        <w:rPr>
          <w:highlight w:val="yellow"/>
        </w:rPr>
        <w:fldChar w:fldCharType="end"/>
      </w:r>
      <w:r>
        <w:t xml:space="preserve">) and </w:t>
      </w:r>
      <w:r w:rsidR="001C49FD">
        <w:t>therefore</w:t>
      </w:r>
      <w:r>
        <w:t xml:space="preserve"> may have more of a growth mindset. As such, RLS 1.0 was important for enabling them to undertake these activities without encountering cash flow problems. </w:t>
      </w:r>
    </w:p>
    <w:p w14:paraId="5BA7ED2E" w14:textId="5056E1AB" w:rsidR="008831C8" w:rsidRPr="008831C8" w:rsidRDefault="008831C8" w:rsidP="008831C8">
      <w:pPr>
        <w:pStyle w:val="Heading3"/>
        <w:rPr>
          <w:lang w:val="en-US"/>
        </w:rPr>
      </w:pPr>
      <w:r w:rsidRPr="008831C8">
        <w:rPr>
          <w:lang w:val="en-US"/>
        </w:rPr>
        <w:t>Variation by lender type</w:t>
      </w:r>
    </w:p>
    <w:p w14:paraId="5E387E78" w14:textId="766978E7" w:rsidR="008831C8" w:rsidRPr="007238DA" w:rsidRDefault="007238DA" w:rsidP="001E57EE">
      <w:r w:rsidRPr="007238DA">
        <w:t>The evaluation also explores whether there is any variation in additionality across</w:t>
      </w:r>
      <w:r>
        <w:t xml:space="preserve"> borrowers accessing finance</w:t>
      </w:r>
      <w:r w:rsidR="007F4C62">
        <w:t xml:space="preserve"> under RLS 1.0</w:t>
      </w:r>
      <w:r>
        <w:t xml:space="preserve"> from different</w:t>
      </w:r>
      <w:r w:rsidRPr="007238DA">
        <w:t xml:space="preserve"> types of lenders. In particular, the analysis explored the difference in additionality between banks</w:t>
      </w:r>
      <w:r w:rsidR="00C236F3">
        <w:rPr>
          <w:rStyle w:val="FootnoteReference"/>
        </w:rPr>
        <w:footnoteReference w:id="36"/>
      </w:r>
      <w:r w:rsidRPr="007238DA">
        <w:t xml:space="preserve"> and other types of lenders. </w:t>
      </w:r>
    </w:p>
    <w:p w14:paraId="694CC6C7" w14:textId="77777777" w:rsidR="001525E9" w:rsidRDefault="27451A68" w:rsidP="007F4C62">
      <w:r w:rsidRPr="007238DA">
        <w:t>Additionality is estimated to be lower for banks than other kinds of lenders (72% in comparison to 85%).</w:t>
      </w:r>
      <w:r w:rsidR="007238DA">
        <w:rPr>
          <w:rStyle w:val="FootnoteReference"/>
        </w:rPr>
        <w:footnoteReference w:id="37"/>
      </w:r>
      <w:r w:rsidRPr="007238DA">
        <w:t xml:space="preserve"> </w:t>
      </w:r>
      <w:r w:rsidR="0F6DD4DF">
        <w:t xml:space="preserve">This suggests that, at least in the short run, RLS 1.0 may have increased the level of competition and diversity in the lending market, on the basis that a very large proportion of the finance provided by non-traditional lenders was possible only with the existence of the scheme. </w:t>
      </w:r>
      <w:r w:rsidR="007238DA">
        <w:fldChar w:fldCharType="begin"/>
      </w:r>
      <w:r w:rsidR="007238DA">
        <w:instrText xml:space="preserve"> REF _Ref150520219 \h </w:instrText>
      </w:r>
      <w:r w:rsidR="007238DA">
        <w:fldChar w:fldCharType="separate"/>
      </w:r>
    </w:p>
    <w:p w14:paraId="7A2F05D4" w14:textId="72A9855B" w:rsidR="007F4C62" w:rsidRDefault="001525E9" w:rsidP="007F4C62">
      <w:r w:rsidRPr="007F4C62">
        <w:t xml:space="preserve">Table </w:t>
      </w:r>
      <w:r>
        <w:rPr>
          <w:noProof/>
        </w:rPr>
        <w:t>8</w:t>
      </w:r>
      <w:r w:rsidR="007238DA">
        <w:fldChar w:fldCharType="end"/>
      </w:r>
      <w:r w:rsidR="007238DA">
        <w:t xml:space="preserve"> shows the breakdown into the different aspects of additionality discussed above. </w:t>
      </w:r>
      <w:bookmarkStart w:id="43" w:name="_Ref150520219"/>
    </w:p>
    <w:p w14:paraId="09AF853C" w14:textId="5B3B2215" w:rsidR="007238DA" w:rsidRPr="007F4C62" w:rsidRDefault="007238DA" w:rsidP="007F4C62">
      <w:pPr>
        <w:pStyle w:val="Heading5"/>
      </w:pPr>
      <w:r w:rsidRPr="007F4C62">
        <w:t xml:space="preserve">Table </w:t>
      </w:r>
      <w:r w:rsidRPr="007F4C62">
        <w:fldChar w:fldCharType="begin"/>
      </w:r>
      <w:r w:rsidRPr="007F4C62">
        <w:instrText>SEQ Table \* ARABIC</w:instrText>
      </w:r>
      <w:r w:rsidRPr="007F4C62">
        <w:fldChar w:fldCharType="separate"/>
      </w:r>
      <w:r w:rsidR="001525E9">
        <w:rPr>
          <w:noProof/>
        </w:rPr>
        <w:t>8</w:t>
      </w:r>
      <w:r w:rsidRPr="007F4C62">
        <w:fldChar w:fldCharType="end"/>
      </w:r>
      <w:bookmarkEnd w:id="43"/>
      <w:r w:rsidRPr="007F4C62">
        <w:t>: Additionality by type of lende</w:t>
      </w:r>
      <w:r w:rsidR="007F4C62" w:rsidRPr="007F4C62">
        <w:t>r</w:t>
      </w:r>
    </w:p>
    <w:tbl>
      <w:tblPr>
        <w:tblStyle w:val="BBBTableoption1"/>
        <w:tblW w:w="5000" w:type="pct"/>
        <w:tblLayout w:type="fixed"/>
        <w:tblLook w:val="04A0" w:firstRow="1" w:lastRow="0" w:firstColumn="1" w:lastColumn="0" w:noHBand="0" w:noVBand="1"/>
        <w:tblCaption w:val="Time taken to obtain finance"/>
        <w:tblDescription w:val="How long it took to obtain extenral finance from applying; BBLS recipients and CBILS recipients"/>
      </w:tblPr>
      <w:tblGrid>
        <w:gridCol w:w="10065"/>
        <w:gridCol w:w="20"/>
        <w:gridCol w:w="69"/>
      </w:tblGrid>
      <w:tr w:rsidR="007238DA" w:rsidRPr="007238DA" w14:paraId="79273530" w14:textId="77777777" w:rsidTr="02AC3778">
        <w:trPr>
          <w:cnfStyle w:val="100000000000" w:firstRow="1" w:lastRow="0" w:firstColumn="0" w:lastColumn="0" w:oddVBand="0" w:evenVBand="0" w:oddHBand="0" w:evenHBand="0" w:firstRowFirstColumn="0" w:firstRowLastColumn="0" w:lastRowFirstColumn="0" w:lastRowLastColumn="0"/>
        </w:trPr>
        <w:tc>
          <w:tcPr>
            <w:tcW w:w="4956" w:type="pct"/>
            <w:tcBorders>
              <w:top w:val="nil"/>
              <w:left w:val="nil"/>
              <w:bottom w:val="single" w:sz="4" w:space="0" w:color="0054BA" w:themeColor="accent2"/>
              <w:right w:val="nil"/>
            </w:tcBorders>
          </w:tcPr>
          <w:tbl>
            <w:tblPr>
              <w:tblStyle w:val="TableGrid"/>
              <w:tblW w:w="10078" w:type="dxa"/>
              <w:tblLayout w:type="fixed"/>
              <w:tblLook w:val="04A0" w:firstRow="1" w:lastRow="0" w:firstColumn="1" w:lastColumn="0" w:noHBand="0" w:noVBand="1"/>
              <w:tblCaption w:val="Activities undertaken since raising finance from the scheme"/>
              <w:tblDescription w:val="Activities undertaken since raising finance from the scheme"/>
            </w:tblPr>
            <w:tblGrid>
              <w:gridCol w:w="5812"/>
              <w:gridCol w:w="1774"/>
              <w:gridCol w:w="2492"/>
            </w:tblGrid>
            <w:tr w:rsidR="007238DA" w:rsidRPr="007238DA" w14:paraId="69DF6EEE" w14:textId="77777777" w:rsidTr="02AC3778">
              <w:trPr>
                <w:cnfStyle w:val="100000000000" w:firstRow="1" w:lastRow="0" w:firstColumn="0" w:lastColumn="0" w:oddVBand="0" w:evenVBand="0" w:oddHBand="0" w:evenHBand="0" w:firstRowFirstColumn="0" w:firstRowLastColumn="0" w:lastRowFirstColumn="0" w:lastRowLastColumn="0"/>
                <w:trHeight w:val="967"/>
              </w:trPr>
              <w:tc>
                <w:tcPr>
                  <w:tcW w:w="5812" w:type="dxa"/>
                  <w:vAlign w:val="center"/>
                  <w:hideMark/>
                </w:tcPr>
                <w:p w14:paraId="2D9716F4" w14:textId="58B91D27" w:rsidR="007238DA" w:rsidRPr="007238DA" w:rsidRDefault="007238DA" w:rsidP="00AB3D40">
                  <w:pPr>
                    <w:pStyle w:val="Tablecolumnheading-inkblue"/>
                    <w:rPr>
                      <w:color w:val="FFFFFF" w:themeColor="background1"/>
                    </w:rPr>
                  </w:pPr>
                  <w:r w:rsidRPr="007238DA">
                    <w:rPr>
                      <w:color w:val="FFFFFF" w:themeColor="background1"/>
                    </w:rPr>
                    <w:t>Additionality type</w:t>
                  </w:r>
                </w:p>
              </w:tc>
              <w:tc>
                <w:tcPr>
                  <w:tcW w:w="1774" w:type="dxa"/>
                  <w:vAlign w:val="center"/>
                  <w:hideMark/>
                </w:tcPr>
                <w:p w14:paraId="18586569" w14:textId="2D8A0008" w:rsidR="007238DA" w:rsidRPr="007238DA" w:rsidRDefault="007238DA" w:rsidP="00AB3D40">
                  <w:pPr>
                    <w:pStyle w:val="Tablecolumnheading-inkblue"/>
                    <w:jc w:val="right"/>
                    <w:rPr>
                      <w:color w:val="FFFFFF" w:themeColor="background1"/>
                    </w:rPr>
                  </w:pPr>
                  <w:r w:rsidRPr="007238DA">
                    <w:rPr>
                      <w:color w:val="FFFFFF" w:themeColor="background1"/>
                    </w:rPr>
                    <w:t>Bank</w:t>
                  </w:r>
                </w:p>
              </w:tc>
              <w:tc>
                <w:tcPr>
                  <w:tcW w:w="2492" w:type="dxa"/>
                  <w:vAlign w:val="center"/>
                  <w:hideMark/>
                </w:tcPr>
                <w:p w14:paraId="12372DA9" w14:textId="3EBE03C9" w:rsidR="007238DA" w:rsidRPr="007238DA" w:rsidRDefault="007238DA" w:rsidP="00AB3D40">
                  <w:pPr>
                    <w:pStyle w:val="Tablecolumnheading-inkblue"/>
                    <w:jc w:val="right"/>
                    <w:rPr>
                      <w:color w:val="FFFFFF" w:themeColor="background1"/>
                    </w:rPr>
                  </w:pPr>
                  <w:r w:rsidRPr="007238DA">
                    <w:rPr>
                      <w:color w:val="FFFFFF" w:themeColor="background1"/>
                    </w:rPr>
                    <w:t>Other</w:t>
                  </w:r>
                </w:p>
              </w:tc>
            </w:tr>
            <w:tr w:rsidR="007238DA" w:rsidRPr="007238DA" w14:paraId="76ED65EC"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01"/>
              </w:trPr>
              <w:tc>
                <w:tcPr>
                  <w:tcW w:w="5812" w:type="dxa"/>
                  <w:vAlign w:val="center"/>
                  <w:hideMark/>
                </w:tcPr>
                <w:p w14:paraId="3BAF85B1" w14:textId="261A53F3" w:rsidR="007238DA" w:rsidRPr="006130A5" w:rsidRDefault="007238DA" w:rsidP="00AB3D40">
                  <w:pPr>
                    <w:pStyle w:val="Tabletext"/>
                    <w:rPr>
                      <w:b/>
                      <w:bCs/>
                    </w:rPr>
                  </w:pPr>
                  <w:r w:rsidRPr="006130A5">
                    <w:rPr>
                      <w:b/>
                      <w:bCs/>
                    </w:rPr>
                    <w:t xml:space="preserve">Overall </w:t>
                  </w:r>
                </w:p>
              </w:tc>
              <w:tc>
                <w:tcPr>
                  <w:tcW w:w="1774" w:type="dxa"/>
                  <w:vAlign w:val="center"/>
                  <w:hideMark/>
                </w:tcPr>
                <w:p w14:paraId="57A899FC" w14:textId="35D88B2C" w:rsidR="007238DA" w:rsidRPr="006130A5" w:rsidRDefault="007238DA" w:rsidP="00AB3D40">
                  <w:pPr>
                    <w:pStyle w:val="Tabletext"/>
                    <w:jc w:val="right"/>
                    <w:rPr>
                      <w:b/>
                      <w:bCs/>
                    </w:rPr>
                  </w:pPr>
                  <w:r w:rsidRPr="006130A5">
                    <w:rPr>
                      <w:b/>
                      <w:bCs/>
                    </w:rPr>
                    <w:t>72%</w:t>
                  </w:r>
                </w:p>
              </w:tc>
              <w:tc>
                <w:tcPr>
                  <w:tcW w:w="2492" w:type="dxa"/>
                  <w:vAlign w:val="center"/>
                  <w:hideMark/>
                </w:tcPr>
                <w:p w14:paraId="7A284BB5" w14:textId="0B816309" w:rsidR="007238DA" w:rsidRPr="006130A5" w:rsidRDefault="007238DA" w:rsidP="00AB3D40">
                  <w:pPr>
                    <w:pStyle w:val="Tabletext"/>
                    <w:jc w:val="right"/>
                    <w:rPr>
                      <w:b/>
                      <w:bCs/>
                    </w:rPr>
                  </w:pPr>
                  <w:r w:rsidRPr="006130A5">
                    <w:rPr>
                      <w:b/>
                      <w:bCs/>
                    </w:rPr>
                    <w:t>85%</w:t>
                  </w:r>
                </w:p>
              </w:tc>
            </w:tr>
            <w:tr w:rsidR="007238DA" w:rsidRPr="007238DA" w14:paraId="61280EEC" w14:textId="77777777" w:rsidTr="02AC3778">
              <w:tblPrEx>
                <w:tblCellMar>
                  <w:left w:w="108" w:type="dxa"/>
                  <w:right w:w="108" w:type="dxa"/>
                </w:tblCellMar>
              </w:tblPrEx>
              <w:trPr>
                <w:trHeight w:val="973"/>
              </w:trPr>
              <w:tc>
                <w:tcPr>
                  <w:tcW w:w="5812" w:type="dxa"/>
                  <w:vAlign w:val="center"/>
                  <w:hideMark/>
                </w:tcPr>
                <w:p w14:paraId="0C6C02A7" w14:textId="67A48047" w:rsidR="007238DA" w:rsidRPr="007238DA" w:rsidRDefault="007238DA" w:rsidP="00AB3D40">
                  <w:pPr>
                    <w:pStyle w:val="Tabletext"/>
                  </w:pPr>
                  <w:r w:rsidRPr="007238DA">
                    <w:t>Would not have applied for other finance</w:t>
                  </w:r>
                </w:p>
              </w:tc>
              <w:tc>
                <w:tcPr>
                  <w:tcW w:w="1774" w:type="dxa"/>
                  <w:vAlign w:val="center"/>
                  <w:hideMark/>
                </w:tcPr>
                <w:p w14:paraId="26AE7425" w14:textId="752CDE32" w:rsidR="007238DA" w:rsidRPr="007238DA" w:rsidRDefault="007238DA" w:rsidP="00AB3D40">
                  <w:pPr>
                    <w:pStyle w:val="Tabletext"/>
                    <w:jc w:val="right"/>
                  </w:pPr>
                  <w:r w:rsidRPr="007238DA">
                    <w:t>19%</w:t>
                  </w:r>
                </w:p>
              </w:tc>
              <w:tc>
                <w:tcPr>
                  <w:tcW w:w="2492" w:type="dxa"/>
                  <w:vAlign w:val="center"/>
                  <w:hideMark/>
                </w:tcPr>
                <w:p w14:paraId="0DAA811E" w14:textId="6B5B6113" w:rsidR="007238DA" w:rsidRPr="007238DA" w:rsidRDefault="007238DA" w:rsidP="00AB3D40">
                  <w:pPr>
                    <w:pStyle w:val="Tabletext"/>
                    <w:jc w:val="right"/>
                    <w:rPr>
                      <w:bCs/>
                    </w:rPr>
                  </w:pPr>
                  <w:r w:rsidRPr="007238DA">
                    <w:rPr>
                      <w:bCs/>
                    </w:rPr>
                    <w:t>14%</w:t>
                  </w:r>
                </w:p>
              </w:tc>
            </w:tr>
            <w:tr w:rsidR="007238DA" w:rsidRPr="007238DA" w14:paraId="04737003"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55"/>
              </w:trPr>
              <w:tc>
                <w:tcPr>
                  <w:tcW w:w="5812" w:type="dxa"/>
                  <w:vAlign w:val="center"/>
                  <w:hideMark/>
                </w:tcPr>
                <w:p w14:paraId="58D16852" w14:textId="230BCB23" w:rsidR="007238DA" w:rsidRPr="007238DA" w:rsidRDefault="007238DA" w:rsidP="00AB3D40">
                  <w:pPr>
                    <w:pStyle w:val="Tabletext"/>
                  </w:pPr>
                  <w:r w:rsidRPr="007238DA">
                    <w:t xml:space="preserve">Not successful in application for other finance </w:t>
                  </w:r>
                </w:p>
              </w:tc>
              <w:tc>
                <w:tcPr>
                  <w:tcW w:w="1774" w:type="dxa"/>
                  <w:vAlign w:val="center"/>
                  <w:hideMark/>
                </w:tcPr>
                <w:p w14:paraId="749C03E7" w14:textId="4C4807C1" w:rsidR="007238DA" w:rsidRPr="007238DA" w:rsidRDefault="007238DA" w:rsidP="00AB3D40">
                  <w:pPr>
                    <w:pStyle w:val="Tabletext"/>
                    <w:jc w:val="right"/>
                  </w:pPr>
                  <w:r w:rsidRPr="007238DA">
                    <w:t>11%</w:t>
                  </w:r>
                </w:p>
              </w:tc>
              <w:tc>
                <w:tcPr>
                  <w:tcW w:w="2492" w:type="dxa"/>
                  <w:vAlign w:val="center"/>
                  <w:hideMark/>
                </w:tcPr>
                <w:p w14:paraId="204EA743" w14:textId="31EFA6C1" w:rsidR="007238DA" w:rsidRPr="007238DA" w:rsidRDefault="007238DA" w:rsidP="00AB3D40">
                  <w:pPr>
                    <w:pStyle w:val="Tabletext"/>
                    <w:jc w:val="right"/>
                    <w:rPr>
                      <w:bCs/>
                    </w:rPr>
                  </w:pPr>
                  <w:r w:rsidRPr="007238DA">
                    <w:rPr>
                      <w:bCs/>
                    </w:rPr>
                    <w:t>21%</w:t>
                  </w:r>
                </w:p>
              </w:tc>
            </w:tr>
            <w:tr w:rsidR="007238DA" w:rsidRPr="007238DA" w14:paraId="4AD42A8E" w14:textId="77777777" w:rsidTr="02AC3778">
              <w:tblPrEx>
                <w:tblCellMar>
                  <w:left w:w="108" w:type="dxa"/>
                  <w:right w:w="108" w:type="dxa"/>
                </w:tblCellMar>
              </w:tblPrEx>
              <w:trPr>
                <w:trHeight w:val="552"/>
              </w:trPr>
              <w:tc>
                <w:tcPr>
                  <w:tcW w:w="5812" w:type="dxa"/>
                  <w:vAlign w:val="center"/>
                </w:tcPr>
                <w:p w14:paraId="7909A294" w14:textId="707180D1" w:rsidR="007238DA" w:rsidRPr="007238DA" w:rsidRDefault="007238DA" w:rsidP="00AB3D40">
                  <w:pPr>
                    <w:pStyle w:val="Tabletext"/>
                  </w:pPr>
                  <w:r w:rsidRPr="007238DA">
                    <w:t>Finance would not have been sufficient for cash flow needs</w:t>
                  </w:r>
                </w:p>
              </w:tc>
              <w:tc>
                <w:tcPr>
                  <w:tcW w:w="1774" w:type="dxa"/>
                  <w:vAlign w:val="center"/>
                </w:tcPr>
                <w:p w14:paraId="01AF026D" w14:textId="753E7F84" w:rsidR="007238DA" w:rsidRPr="007238DA" w:rsidRDefault="007238DA" w:rsidP="00AB3D40">
                  <w:pPr>
                    <w:pStyle w:val="Tabletext"/>
                    <w:jc w:val="right"/>
                  </w:pPr>
                  <w:r w:rsidRPr="007238DA">
                    <w:t>31%</w:t>
                  </w:r>
                </w:p>
              </w:tc>
              <w:tc>
                <w:tcPr>
                  <w:tcW w:w="2492" w:type="dxa"/>
                  <w:vAlign w:val="center"/>
                </w:tcPr>
                <w:p w14:paraId="31FCD069" w14:textId="6F13BFAF" w:rsidR="007238DA" w:rsidRPr="007238DA" w:rsidRDefault="007238DA" w:rsidP="00AB3D40">
                  <w:pPr>
                    <w:pStyle w:val="Tabletext"/>
                    <w:jc w:val="right"/>
                    <w:rPr>
                      <w:bCs/>
                    </w:rPr>
                  </w:pPr>
                  <w:r w:rsidRPr="007238DA">
                    <w:rPr>
                      <w:bCs/>
                    </w:rPr>
                    <w:t>35%</w:t>
                  </w:r>
                </w:p>
              </w:tc>
            </w:tr>
            <w:tr w:rsidR="007238DA" w:rsidRPr="007238DA" w14:paraId="3B394698"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52"/>
              </w:trPr>
              <w:tc>
                <w:tcPr>
                  <w:tcW w:w="5812" w:type="dxa"/>
                  <w:vAlign w:val="center"/>
                </w:tcPr>
                <w:p w14:paraId="2F039EE2" w14:textId="1DE10BF2" w:rsidR="007238DA" w:rsidRPr="007238DA" w:rsidRDefault="27451A68" w:rsidP="00AB3D40">
                  <w:pPr>
                    <w:pStyle w:val="Tabletext"/>
                  </w:pPr>
                  <w:r>
                    <w:t>Able to obtain more finance due to better terms</w:t>
                  </w:r>
                </w:p>
              </w:tc>
              <w:tc>
                <w:tcPr>
                  <w:tcW w:w="1774" w:type="dxa"/>
                  <w:vAlign w:val="center"/>
                </w:tcPr>
                <w:p w14:paraId="38F316C0" w14:textId="3E2FE84A" w:rsidR="007238DA" w:rsidRPr="007238DA" w:rsidRDefault="007238DA" w:rsidP="00AB3D40">
                  <w:pPr>
                    <w:pStyle w:val="Tabletext"/>
                    <w:jc w:val="right"/>
                  </w:pPr>
                  <w:r w:rsidRPr="007238DA">
                    <w:t>11%</w:t>
                  </w:r>
                </w:p>
              </w:tc>
              <w:tc>
                <w:tcPr>
                  <w:tcW w:w="2492" w:type="dxa"/>
                  <w:vAlign w:val="center"/>
                </w:tcPr>
                <w:p w14:paraId="60BC84A3" w14:textId="6CE6F751" w:rsidR="007238DA" w:rsidRPr="007238DA" w:rsidRDefault="007238DA" w:rsidP="00AB3D40">
                  <w:pPr>
                    <w:pStyle w:val="Tabletext"/>
                    <w:jc w:val="right"/>
                    <w:rPr>
                      <w:bCs/>
                    </w:rPr>
                  </w:pPr>
                  <w:r w:rsidRPr="007238DA">
                    <w:rPr>
                      <w:bCs/>
                    </w:rPr>
                    <w:t>15%</w:t>
                  </w:r>
                </w:p>
              </w:tc>
            </w:tr>
          </w:tbl>
          <w:p w14:paraId="48717555" w14:textId="77777777" w:rsidR="007238DA" w:rsidRPr="007238DA" w:rsidRDefault="007238DA" w:rsidP="00AB3D40">
            <w:pPr>
              <w:pStyle w:val="Tablecolumnheading-inkblue"/>
            </w:pPr>
          </w:p>
        </w:tc>
        <w:tc>
          <w:tcPr>
            <w:tcW w:w="10" w:type="pct"/>
            <w:tcBorders>
              <w:top w:val="nil"/>
              <w:left w:val="nil"/>
              <w:bottom w:val="single" w:sz="4" w:space="0" w:color="0054BA" w:themeColor="accent2"/>
              <w:right w:val="nil"/>
            </w:tcBorders>
          </w:tcPr>
          <w:p w14:paraId="43AF1F5C" w14:textId="77777777" w:rsidR="007238DA" w:rsidRPr="007238DA" w:rsidRDefault="007238DA" w:rsidP="00AB3D40">
            <w:pPr>
              <w:pStyle w:val="Tablecolumnheading-inkblue"/>
              <w:jc w:val="right"/>
            </w:pPr>
          </w:p>
        </w:tc>
        <w:tc>
          <w:tcPr>
            <w:tcW w:w="34" w:type="pct"/>
            <w:tcBorders>
              <w:top w:val="nil"/>
              <w:left w:val="nil"/>
              <w:bottom w:val="single" w:sz="4" w:space="0" w:color="0054BA" w:themeColor="accent2"/>
              <w:right w:val="nil"/>
            </w:tcBorders>
          </w:tcPr>
          <w:p w14:paraId="3052F253" w14:textId="77777777" w:rsidR="007238DA" w:rsidRPr="007238DA" w:rsidRDefault="007238DA" w:rsidP="00AB3D40">
            <w:pPr>
              <w:pStyle w:val="Tablecolumnheading-inkblue"/>
              <w:jc w:val="right"/>
            </w:pPr>
          </w:p>
        </w:tc>
      </w:tr>
    </w:tbl>
    <w:p w14:paraId="703066E0" w14:textId="5B628B52" w:rsidR="007238DA" w:rsidRPr="007238DA" w:rsidRDefault="007238DA" w:rsidP="007238DA">
      <w:pPr>
        <w:pStyle w:val="Caption"/>
      </w:pPr>
      <w:r w:rsidRPr="007238DA">
        <w:t>Source: London Economics’ analysis of survey data</w:t>
      </w:r>
    </w:p>
    <w:p w14:paraId="416E41D1" w14:textId="44C4EA77" w:rsidR="007238DA" w:rsidRDefault="007F4C62" w:rsidP="001E57EE">
      <w:r>
        <w:t xml:space="preserve">Additionality is lower for borrowers accessing finance under RLS 1.0 from banks for three of the four aspects of additionality, with the exception being the first aspect (19% compared to 14%). That the first element of additionality is higher for borrowers from banks suggests that these borrowers may have attached less importance to obtaining finance. The largest difference in additionality is observed for the second aspect, with 21% of non-bank borrowers suggesting they would have applied for other finance but likely would have not been successful, compared to just 11% of borrowers from banks. This suggests that, under RLS 1.0, other kinds of lenders played an important role in supplying finance to businesses that may not meet the requirements for more traditional methods of finance and emphasises the importance of lender diversity and competition. </w:t>
      </w:r>
      <w:r w:rsidR="00C74001">
        <w:t xml:space="preserve">Furthermore, the fact that additionality was lower for businesses obtaining finance from banks may in part be linked to the fact that interest rates under RLS 1.0 were typically lower with banks (see </w:t>
      </w:r>
      <w:r w:rsidR="00455272">
        <w:fldChar w:fldCharType="begin"/>
      </w:r>
      <w:r w:rsidR="00455272">
        <w:instrText xml:space="preserve"> REF _Ref158300771 \h </w:instrText>
      </w:r>
      <w:r w:rsidR="00455272">
        <w:fldChar w:fldCharType="separate"/>
      </w:r>
      <w:r w:rsidR="001525E9">
        <w:t xml:space="preserve">Figure </w:t>
      </w:r>
      <w:r w:rsidR="001525E9">
        <w:rPr>
          <w:noProof/>
        </w:rPr>
        <w:t>8</w:t>
      </w:r>
      <w:r w:rsidR="00455272">
        <w:fldChar w:fldCharType="end"/>
      </w:r>
      <w:r w:rsidR="00C74001">
        <w:t xml:space="preserve">). </w:t>
      </w:r>
      <w:r w:rsidR="006C32EA">
        <w:t xml:space="preserve">Indeed, it may be the case that banks financed lower-risk businesses that may have been more likely to obtain finance elsewhere and as such interest rates were lower. </w:t>
      </w:r>
    </w:p>
    <w:p w14:paraId="0C0C5453" w14:textId="5110C1A0" w:rsidR="008627B9" w:rsidRPr="007F4C62" w:rsidRDefault="008627B9" w:rsidP="001E57EE">
      <w:r w:rsidRPr="00BF0326">
        <w:t xml:space="preserve">For context, </w:t>
      </w:r>
      <w:r w:rsidR="00E02439" w:rsidRPr="00BF0326">
        <w:t>31</w:t>
      </w:r>
      <w:r w:rsidRPr="00BF0326">
        <w:t xml:space="preserve">% of facility volume and </w:t>
      </w:r>
      <w:r w:rsidR="00E02439" w:rsidRPr="00BF0326">
        <w:t>56</w:t>
      </w:r>
      <w:r w:rsidRPr="00BF0326">
        <w:t>% of facility value extended under RLS 1.0 were from bank lenders</w:t>
      </w:r>
      <w:r w:rsidRPr="00E02439">
        <w:t>.</w:t>
      </w:r>
      <w:r>
        <w:t xml:space="preserve"> Detail on which lenders were classified as banks and which as non-banks can be found in </w:t>
      </w:r>
      <w:r>
        <w:fldChar w:fldCharType="begin"/>
      </w:r>
      <w:r>
        <w:instrText xml:space="preserve"> REF _Ref158198707 \h </w:instrText>
      </w:r>
      <w:r>
        <w:fldChar w:fldCharType="separate"/>
      </w:r>
      <w:r w:rsidR="001525E9">
        <w:t>Annex 5</w:t>
      </w:r>
      <w:r>
        <w:fldChar w:fldCharType="end"/>
      </w:r>
      <w:r>
        <w:t xml:space="preserve">. </w:t>
      </w:r>
    </w:p>
    <w:p w14:paraId="44FDC687" w14:textId="0191FBED" w:rsidR="004E52F1" w:rsidRPr="005D0F15" w:rsidRDefault="004E52F1" w:rsidP="004E52F1">
      <w:pPr>
        <w:pStyle w:val="Heading2"/>
      </w:pPr>
      <w:bookmarkStart w:id="44" w:name="_Toc161327588"/>
      <w:r w:rsidRPr="005D0F15">
        <w:t>Product market displacement</w:t>
      </w:r>
      <w:bookmarkEnd w:id="44"/>
    </w:p>
    <w:p w14:paraId="6A91AE13" w14:textId="7363E10A" w:rsidR="00AF5C58" w:rsidRPr="00AB28DA" w:rsidRDefault="00146249" w:rsidP="00146249">
      <w:r w:rsidRPr="00AB28DA">
        <w:t xml:space="preserve">Product market displacement refers to the extent to which benefits from </w:t>
      </w:r>
      <w:r w:rsidR="005D0F15" w:rsidRPr="00AB28DA">
        <w:t>RLS 1.0</w:t>
      </w:r>
      <w:r w:rsidR="00AF2010" w:rsidRPr="00AB28DA">
        <w:t xml:space="preserve"> </w:t>
      </w:r>
      <w:r w:rsidRPr="00AB28DA">
        <w:t xml:space="preserve">in the form of increased business </w:t>
      </w:r>
      <w:r w:rsidR="00C4573F" w:rsidRPr="00AB28DA">
        <w:t>output</w:t>
      </w:r>
      <w:r w:rsidRPr="00AB28DA">
        <w:t xml:space="preserve"> (relative to a scenario without</w:t>
      </w:r>
      <w:r w:rsidR="005D0F15" w:rsidRPr="00AB28DA">
        <w:t xml:space="preserve"> RLS 1.0</w:t>
      </w:r>
      <w:r w:rsidRPr="00AB28DA">
        <w:t xml:space="preserve">) occur at the expense of other </w:t>
      </w:r>
      <w:r w:rsidR="005D0F15" w:rsidRPr="00AB28DA">
        <w:t xml:space="preserve">UK </w:t>
      </w:r>
      <w:r w:rsidRPr="00AB28DA">
        <w:t xml:space="preserve">businesses. </w:t>
      </w:r>
      <w:r w:rsidR="00206F57" w:rsidRPr="00AB28DA">
        <w:rPr>
          <w:lang w:val="en-US"/>
        </w:rPr>
        <w:t xml:space="preserve">For instance, the survival of businesses whose output could </w:t>
      </w:r>
      <w:r w:rsidR="007C0F9B" w:rsidRPr="00AB28DA">
        <w:rPr>
          <w:lang w:val="en-US"/>
        </w:rPr>
        <w:t xml:space="preserve">have </w:t>
      </w:r>
      <w:r w:rsidR="00206F57" w:rsidRPr="00AB28DA">
        <w:rPr>
          <w:lang w:val="en-US"/>
        </w:rPr>
        <w:t>be</w:t>
      </w:r>
      <w:r w:rsidR="007C0F9B" w:rsidRPr="00AB28DA">
        <w:rPr>
          <w:lang w:val="en-US"/>
        </w:rPr>
        <w:t>en</w:t>
      </w:r>
      <w:r w:rsidR="00206F57" w:rsidRPr="00AB28DA">
        <w:rPr>
          <w:lang w:val="en-US"/>
        </w:rPr>
        <w:t xml:space="preserve"> produced by competitors </w:t>
      </w:r>
      <w:r w:rsidR="006452BA" w:rsidRPr="00AB28DA">
        <w:rPr>
          <w:lang w:val="en-US"/>
        </w:rPr>
        <w:t>is not</w:t>
      </w:r>
      <w:r w:rsidR="00206F57" w:rsidRPr="00AB28DA">
        <w:rPr>
          <w:lang w:val="en-US"/>
        </w:rPr>
        <w:t xml:space="preserve"> additional output. </w:t>
      </w:r>
      <w:r w:rsidRPr="00AB28DA">
        <w:t xml:space="preserve">An estimate of product market displacement is therefore important to gauge the extent to which </w:t>
      </w:r>
      <w:r w:rsidR="005D0F15" w:rsidRPr="00AB28DA">
        <w:t>RLS 1.0</w:t>
      </w:r>
      <w:r w:rsidR="00AF2010" w:rsidRPr="00AB28DA">
        <w:t xml:space="preserve"> </w:t>
      </w:r>
      <w:r w:rsidR="00AB28DA" w:rsidRPr="00AB28DA">
        <w:t>had an</w:t>
      </w:r>
      <w:r w:rsidRPr="00AB28DA">
        <w:t xml:space="preserve"> impact on</w:t>
      </w:r>
      <w:r w:rsidR="00AB28DA" w:rsidRPr="00AB28DA">
        <w:t xml:space="preserve"> aggregate</w:t>
      </w:r>
      <w:r w:rsidRPr="00AB28DA">
        <w:t xml:space="preserve"> </w:t>
      </w:r>
      <w:r w:rsidR="00C4573F" w:rsidRPr="00AB28DA">
        <w:t>economic output</w:t>
      </w:r>
      <w:r w:rsidRPr="00AB28DA">
        <w:t>.</w:t>
      </w:r>
    </w:p>
    <w:p w14:paraId="29C80CC3" w14:textId="7E9711E1" w:rsidR="00146249" w:rsidRPr="00AB28DA" w:rsidRDefault="00146249" w:rsidP="00146249">
      <w:r w:rsidRPr="00AB28DA">
        <w:t xml:space="preserve">This </w:t>
      </w:r>
      <w:r w:rsidR="00C17687" w:rsidRPr="00AB28DA">
        <w:t>report</w:t>
      </w:r>
      <w:r w:rsidRPr="00AB28DA">
        <w:t xml:space="preserve"> measures product market displacement based on three </w:t>
      </w:r>
      <w:r w:rsidR="00AB28DA" w:rsidRPr="00AB28DA">
        <w:t xml:space="preserve">distinct </w:t>
      </w:r>
      <w:r w:rsidRPr="00AB28DA">
        <w:t>elements. First</w:t>
      </w:r>
      <w:r w:rsidR="00AB28DA" w:rsidRPr="00AB28DA">
        <w:t>ly</w:t>
      </w:r>
      <w:r w:rsidRPr="00AB28DA">
        <w:t>, it considers the extent to which the market</w:t>
      </w:r>
      <w:r w:rsidR="00AB28DA" w:rsidRPr="00AB28DA">
        <w:t>s</w:t>
      </w:r>
      <w:r w:rsidRPr="00AB28DA">
        <w:t xml:space="preserve"> </w:t>
      </w:r>
      <w:r w:rsidR="00AB28DA" w:rsidRPr="00AB28DA">
        <w:t>operated in by</w:t>
      </w:r>
      <w:r w:rsidRPr="00AB28DA">
        <w:t xml:space="preserve"> </w:t>
      </w:r>
      <w:r w:rsidR="00B4158C" w:rsidRPr="00AB28DA">
        <w:t>borrowers</w:t>
      </w:r>
      <w:r w:rsidRPr="00AB28DA">
        <w:t xml:space="preserve"> </w:t>
      </w:r>
      <w:r w:rsidR="00AB28DA" w:rsidRPr="00AB28DA">
        <w:t>are competitive</w:t>
      </w:r>
      <w:r w:rsidR="003C0D90" w:rsidRPr="00AB28DA">
        <w:t xml:space="preserve"> (element I)</w:t>
      </w:r>
      <w:r w:rsidRPr="00AB28DA">
        <w:t>. Second</w:t>
      </w:r>
      <w:r w:rsidR="00AB28DA" w:rsidRPr="00AB28DA">
        <w:t>ly</w:t>
      </w:r>
      <w:r w:rsidRPr="00AB28DA">
        <w:t>, it explores the extent to which</w:t>
      </w:r>
      <w:r w:rsidR="00AB28DA" w:rsidRPr="00AB28DA">
        <w:t xml:space="preserve"> competitors would take up</w:t>
      </w:r>
      <w:r w:rsidRPr="00AB28DA">
        <w:t xml:space="preserve"> </w:t>
      </w:r>
      <w:r w:rsidR="00B4158C" w:rsidRPr="00AB28DA">
        <w:t>borrowers</w:t>
      </w:r>
      <w:r w:rsidRPr="00AB28DA">
        <w:t xml:space="preserve">’ sales </w:t>
      </w:r>
      <w:r w:rsidR="00AB28DA" w:rsidRPr="00AB28DA">
        <w:t>in the scenario that they were</w:t>
      </w:r>
      <w:r w:rsidRPr="00AB28DA">
        <w:t xml:space="preserve"> to cease trading</w:t>
      </w:r>
      <w:r w:rsidR="003C0D90" w:rsidRPr="00AB28DA">
        <w:t xml:space="preserve"> (element II)</w:t>
      </w:r>
      <w:r w:rsidRPr="00AB28DA">
        <w:t>. Third</w:t>
      </w:r>
      <w:r w:rsidR="00AB28DA" w:rsidRPr="00AB28DA">
        <w:t>ly</w:t>
      </w:r>
      <w:r w:rsidRPr="00AB28DA">
        <w:t xml:space="preserve">, it considers the location of competitors to assess the extent to which </w:t>
      </w:r>
      <w:r w:rsidR="00AB28DA" w:rsidRPr="00AB28DA">
        <w:t xml:space="preserve">any </w:t>
      </w:r>
      <w:r w:rsidRPr="00AB28DA">
        <w:t xml:space="preserve">displacement </w:t>
      </w:r>
      <w:r w:rsidR="00AB28DA" w:rsidRPr="00AB28DA">
        <w:t>occurs</w:t>
      </w:r>
      <w:r w:rsidRPr="00AB28DA">
        <w:t xml:space="preserve"> within the UK economy</w:t>
      </w:r>
      <w:r w:rsidR="003C0D90" w:rsidRPr="00AB28DA">
        <w:t xml:space="preserve"> </w:t>
      </w:r>
      <w:r w:rsidR="00AB28DA" w:rsidRPr="00AB28DA">
        <w:t xml:space="preserve">as opposed to abroad </w:t>
      </w:r>
      <w:r w:rsidR="003C0D90" w:rsidRPr="00AB28DA">
        <w:t>(element III)</w:t>
      </w:r>
      <w:r w:rsidRPr="00AB28DA">
        <w:t xml:space="preserve">. </w:t>
      </w:r>
    </w:p>
    <w:p w14:paraId="4BED6314" w14:textId="775690FE" w:rsidR="001C49FD" w:rsidRPr="004A39B0" w:rsidRDefault="5C909DED" w:rsidP="00864EDA">
      <w:r w:rsidRPr="004A39B0">
        <w:t xml:space="preserve">It should be noted that the extent of product market displacement depends on the benchmark against which it is being assessed. Indeed, </w:t>
      </w:r>
      <w:r w:rsidR="572F5C8A" w:rsidRPr="004A39B0">
        <w:t>during the pandemic period market dynamics and competition have been in a state of flux</w:t>
      </w:r>
      <w:r w:rsidRPr="004A39B0">
        <w:t xml:space="preserve">. </w:t>
      </w:r>
      <w:r w:rsidR="572F5C8A" w:rsidRPr="004A39B0">
        <w:t xml:space="preserve">For the purposes of this research, displacement is measured </w:t>
      </w:r>
      <w:r w:rsidR="242F6A50" w:rsidRPr="004A39B0">
        <w:t>at the time that borrowers received their finance under RLS 1.0 (the scheme was open from April 6</w:t>
      </w:r>
      <w:r w:rsidR="242F6A50" w:rsidRPr="004A39B0">
        <w:rPr>
          <w:vertAlign w:val="superscript"/>
        </w:rPr>
        <w:t>th</w:t>
      </w:r>
      <w:r w:rsidR="242F6A50" w:rsidRPr="004A39B0">
        <w:t xml:space="preserve"> to December 31</w:t>
      </w:r>
      <w:r w:rsidR="242F6A50" w:rsidRPr="004A39B0">
        <w:rPr>
          <w:vertAlign w:val="superscript"/>
        </w:rPr>
        <w:t>st</w:t>
      </w:r>
      <w:r w:rsidR="242F6A50" w:rsidRPr="004A39B0">
        <w:t xml:space="preserve"> 2021).</w:t>
      </w:r>
      <w:r w:rsidR="004A39B0" w:rsidRPr="004A39B0">
        <w:rPr>
          <w:rStyle w:val="FootnoteReference"/>
        </w:rPr>
        <w:footnoteReference w:id="38"/>
      </w:r>
      <w:r w:rsidRPr="004A39B0">
        <w:t xml:space="preserve"> </w:t>
      </w:r>
      <w:r w:rsidR="74B2B8D3" w:rsidRPr="02AC3778">
        <w:rPr>
          <w:lang w:val="en-US"/>
        </w:rPr>
        <w:t>More generally, it should also be noted that while RLS 1.0 was open economic output was still below potential.</w:t>
      </w:r>
      <w:r w:rsidR="001C49FD">
        <w:rPr>
          <w:rStyle w:val="FootnoteReference"/>
          <w:lang w:val="en-US"/>
        </w:rPr>
        <w:footnoteReference w:id="39"/>
      </w:r>
      <w:r w:rsidR="74B2B8D3" w:rsidRPr="02AC3778">
        <w:rPr>
          <w:lang w:val="en-US"/>
        </w:rPr>
        <w:t xml:space="preserve"> Hence, any product market displacement is unlikely to have occurred immediately and may become more noticeable as the economy approaches full capacity. </w:t>
      </w:r>
    </w:p>
    <w:p w14:paraId="22F02DD2" w14:textId="603D3FAE" w:rsidR="004A39B0" w:rsidRPr="004A39B0" w:rsidRDefault="0021174F" w:rsidP="006B3049">
      <w:r w:rsidRPr="004A39B0">
        <w:fldChar w:fldCharType="begin"/>
      </w:r>
      <w:r w:rsidRPr="004A39B0">
        <w:instrText xml:space="preserve"> REF _Ref91005742 \h </w:instrText>
      </w:r>
      <w:r w:rsidR="000056E7" w:rsidRPr="004A39B0">
        <w:instrText xml:space="preserve"> \* MERGEFORMAT </w:instrText>
      </w:r>
      <w:r w:rsidRPr="004A39B0">
        <w:fldChar w:fldCharType="separate"/>
      </w:r>
      <w:r w:rsidR="001525E9" w:rsidRPr="004A39B0">
        <w:t xml:space="preserve">Table </w:t>
      </w:r>
      <w:r w:rsidR="001525E9">
        <w:rPr>
          <w:noProof/>
        </w:rPr>
        <w:t>27</w:t>
      </w:r>
      <w:r w:rsidRPr="004A39B0">
        <w:fldChar w:fldCharType="end"/>
      </w:r>
      <w:r w:rsidR="5C909DED" w:rsidRPr="004A39B0">
        <w:t xml:space="preserve"> in </w:t>
      </w:r>
      <w:r w:rsidR="00D245C7">
        <w:fldChar w:fldCharType="begin"/>
      </w:r>
      <w:r w:rsidR="00D245C7">
        <w:instrText xml:space="preserve"> REF _Ref90811574 \h </w:instrText>
      </w:r>
      <w:r w:rsidR="00D245C7">
        <w:fldChar w:fldCharType="separate"/>
      </w:r>
      <w:r w:rsidR="001525E9" w:rsidRPr="00E27136">
        <w:t>Annex 4</w:t>
      </w:r>
      <w:r w:rsidR="00D245C7">
        <w:fldChar w:fldCharType="end"/>
      </w:r>
      <w:r w:rsidR="44B4D94F" w:rsidRPr="004A39B0">
        <w:t xml:space="preserve"> </w:t>
      </w:r>
      <w:r w:rsidR="5C909DED" w:rsidRPr="004A39B0">
        <w:t>explains how responses to relevant survey questions were mapped to quantitative figures (or ‘displacement factors’).</w:t>
      </w:r>
      <w:r w:rsidR="00B5364F" w:rsidRPr="004A39B0">
        <w:rPr>
          <w:rStyle w:val="FootnoteReference"/>
        </w:rPr>
        <w:footnoteReference w:id="40"/>
      </w:r>
      <w:r w:rsidR="5C909DED" w:rsidRPr="004A39B0">
        <w:t xml:space="preserve"> For each </w:t>
      </w:r>
      <w:r w:rsidR="1D2B314B" w:rsidRPr="004A39B0">
        <w:t>business</w:t>
      </w:r>
      <w:r w:rsidR="5C909DED" w:rsidRPr="004A39B0">
        <w:t xml:space="preserve">, an overall displacement measure was calculated by multiplying the displacement factors from </w:t>
      </w:r>
      <w:r w:rsidR="242F6A50" w:rsidRPr="004A39B0">
        <w:t>across the three elements.</w:t>
      </w:r>
    </w:p>
    <w:p w14:paraId="481DD7EC" w14:textId="445352B6" w:rsidR="001C49FD" w:rsidRDefault="242F6A50" w:rsidP="1DBB6A12">
      <w:pPr>
        <w:rPr>
          <w:lang w:val="en-US"/>
        </w:rPr>
      </w:pPr>
      <w:r w:rsidRPr="004A39B0">
        <w:t>Displacement under RLS 1.0</w:t>
      </w:r>
      <w:r w:rsidR="5C909DED" w:rsidRPr="004A39B0">
        <w:t xml:space="preserve"> </w:t>
      </w:r>
      <w:r w:rsidRPr="004A39B0">
        <w:t xml:space="preserve">was estimated to be 45%. </w:t>
      </w:r>
      <w:r>
        <w:t xml:space="preserve">This suggests that just under half of the business activity preserved through the impacts of RLS 1.0 could have been absorbed by other businesses in the absence of the scheme. </w:t>
      </w:r>
      <w:r w:rsidRPr="004A39B0">
        <w:t xml:space="preserve">This estimate is similar to those from evaluations of </w:t>
      </w:r>
      <w:r w:rsidR="74B2B8D3">
        <w:t>the Covid-19 Loan Guarantee Schemes</w:t>
      </w:r>
      <w:r w:rsidRPr="004A39B0">
        <w:t xml:space="preserve"> (43%</w:t>
      </w:r>
      <w:r w:rsidR="74B2B8D3">
        <w:t xml:space="preserve"> and </w:t>
      </w:r>
      <w:r w:rsidRPr="004A39B0">
        <w:t>46% for BBLS</w:t>
      </w:r>
      <w:r w:rsidR="74B2B8D3">
        <w:t xml:space="preserve"> and </w:t>
      </w:r>
      <w:r w:rsidRPr="004A39B0">
        <w:t>CBILS/CLBILS</w:t>
      </w:r>
      <w:r w:rsidR="74B2B8D3">
        <w:t xml:space="preserve"> respectively</w:t>
      </w:r>
      <w:r w:rsidR="004A39B0" w:rsidRPr="004A39B0">
        <w:rPr>
          <w:rStyle w:val="FootnoteReference"/>
        </w:rPr>
        <w:footnoteReference w:id="41"/>
      </w:r>
      <w:r w:rsidRPr="004A39B0">
        <w:t>).</w:t>
      </w:r>
      <w:r>
        <w:t xml:space="preserve"> </w:t>
      </w:r>
      <w:r w:rsidRPr="004A39B0">
        <w:t xml:space="preserve">However, </w:t>
      </w:r>
      <w:r w:rsidRPr="004A39B0">
        <w:rPr>
          <w:lang w:val="en-US"/>
        </w:rPr>
        <w:t>a</w:t>
      </w:r>
      <w:r w:rsidR="4820A992" w:rsidRPr="004A39B0">
        <w:rPr>
          <w:lang w:val="en-US"/>
        </w:rPr>
        <w:t>ny comparisons between the current displacement estimates and</w:t>
      </w:r>
      <w:r w:rsidR="71A809BD" w:rsidRPr="004A39B0">
        <w:rPr>
          <w:lang w:val="en-US"/>
        </w:rPr>
        <w:t xml:space="preserve"> those</w:t>
      </w:r>
      <w:r w:rsidR="4820A992" w:rsidRPr="004A39B0">
        <w:rPr>
          <w:lang w:val="en-US"/>
        </w:rPr>
        <w:t xml:space="preserve"> from </w:t>
      </w:r>
      <w:r w:rsidRPr="004A39B0">
        <w:rPr>
          <w:lang w:val="en-US"/>
        </w:rPr>
        <w:t>other evaluations</w:t>
      </w:r>
      <w:r w:rsidR="4820A992" w:rsidRPr="004A39B0">
        <w:rPr>
          <w:lang w:val="en-US"/>
        </w:rPr>
        <w:t xml:space="preserve"> should be made with caution, given differences in methodologies</w:t>
      </w:r>
      <w:r w:rsidRPr="004A39B0">
        <w:rPr>
          <w:lang w:val="en-US"/>
        </w:rPr>
        <w:t xml:space="preserve"> and economic conditions.</w:t>
      </w:r>
      <w:r w:rsidR="74B2B8D3" w:rsidRPr="02AC3778">
        <w:rPr>
          <w:lang w:val="en-US"/>
        </w:rPr>
        <w:t xml:space="preserve"> Furthermore, it should be noted that these estimates for product market displacement are based on self-reported data. This is important as, in the evaluation of BBLS, CBILS and CLBILS, estimates for product market displacement increased to 51</w:t>
      </w:r>
      <w:r w:rsidR="00F739C2">
        <w:rPr>
          <w:lang w:val="en-US"/>
        </w:rPr>
        <w:t>%</w:t>
      </w:r>
      <w:r w:rsidR="74B2B8D3" w:rsidRPr="02AC3778">
        <w:rPr>
          <w:lang w:val="en-US"/>
        </w:rPr>
        <w:t>-56% and 52</w:t>
      </w:r>
      <w:r w:rsidR="00F739C2">
        <w:rPr>
          <w:lang w:val="en-US"/>
        </w:rPr>
        <w:t>%</w:t>
      </w:r>
      <w:r w:rsidR="74B2B8D3" w:rsidRPr="02AC3778">
        <w:rPr>
          <w:lang w:val="en-US"/>
        </w:rPr>
        <w:t>-56% when using observed competition rather than self-reported competition for BBLS and CBILS/CLBILS respectively.</w:t>
      </w:r>
      <w:r w:rsidR="001C49FD" w:rsidRPr="005230B0">
        <w:rPr>
          <w:rStyle w:val="FootnoteReference"/>
          <w:lang w:val="en-US"/>
        </w:rPr>
        <w:footnoteReference w:id="42"/>
      </w:r>
    </w:p>
    <w:p w14:paraId="4A661055" w14:textId="0F322402" w:rsidR="00497489" w:rsidRPr="008F4104" w:rsidRDefault="00C27BCB" w:rsidP="006B3049">
      <w:r w:rsidRPr="00B942D0">
        <w:fldChar w:fldCharType="begin"/>
      </w:r>
      <w:r w:rsidRPr="00B942D0">
        <w:instrText xml:space="preserve"> REF _Ref91004661 \h  \* MERGEFORMAT </w:instrText>
      </w:r>
      <w:r w:rsidRPr="00B942D0">
        <w:fldChar w:fldCharType="separate"/>
      </w:r>
      <w:r w:rsidR="001525E9">
        <w:t xml:space="preserve">Table </w:t>
      </w:r>
      <w:r w:rsidR="001525E9">
        <w:rPr>
          <w:noProof/>
        </w:rPr>
        <w:t>9</w:t>
      </w:r>
      <w:r w:rsidRPr="00B942D0">
        <w:fldChar w:fldCharType="end"/>
      </w:r>
      <w:r w:rsidR="0F43840B" w:rsidRPr="00B942D0">
        <w:t xml:space="preserve"> </w:t>
      </w:r>
      <w:r w:rsidR="679B1581" w:rsidRPr="00B942D0">
        <w:t>contains</w:t>
      </w:r>
      <w:r w:rsidR="6820662D" w:rsidRPr="00B942D0">
        <w:t xml:space="preserve"> the average displacement factors based on each of the three elements of product market displacement</w:t>
      </w:r>
      <w:r w:rsidR="679B1581" w:rsidRPr="00B942D0">
        <w:t xml:space="preserve"> </w:t>
      </w:r>
      <w:r w:rsidR="07E6011D" w:rsidRPr="00B942D0">
        <w:t>discussed above</w:t>
      </w:r>
      <w:r w:rsidR="74B2B8D3">
        <w:t>, for RLS 1.0 as well as the Covid-19 Loan Guarantee Schemes</w:t>
      </w:r>
      <w:r w:rsidR="6820662D" w:rsidRPr="00B942D0">
        <w:t>.</w:t>
      </w:r>
      <w:r w:rsidR="00497489" w:rsidRPr="00B942D0">
        <w:rPr>
          <w:rStyle w:val="FootnoteReference"/>
        </w:rPr>
        <w:footnoteReference w:id="43"/>
      </w:r>
      <w:r w:rsidR="6820662D" w:rsidRPr="00B942D0">
        <w:t xml:space="preserve"> </w:t>
      </w:r>
      <w:r w:rsidR="6820662D" w:rsidRPr="008F4104">
        <w:t xml:space="preserve">It is estimated that a substantial </w:t>
      </w:r>
      <w:r w:rsidR="21D692AC" w:rsidRPr="008F4104">
        <w:t>proportion of</w:t>
      </w:r>
      <w:r w:rsidR="6820662D" w:rsidRPr="008F4104">
        <w:t xml:space="preserve"> </w:t>
      </w:r>
      <w:r w:rsidR="06AFE2E3" w:rsidRPr="008F4104">
        <w:t>borrowers</w:t>
      </w:r>
      <w:r w:rsidR="6820662D" w:rsidRPr="008F4104">
        <w:t xml:space="preserve"> would have had at least some of their sales taken up by competitors if they had ceased trading, as illustrated by a displacement factor of 73%. </w:t>
      </w:r>
      <w:r w:rsidR="477D344D" w:rsidRPr="008F4104">
        <w:t>Moreover</w:t>
      </w:r>
      <w:r w:rsidR="6820662D" w:rsidRPr="008F4104">
        <w:t xml:space="preserve">, most </w:t>
      </w:r>
      <w:r w:rsidR="06AFE2E3" w:rsidRPr="008F4104">
        <w:t>borrowers</w:t>
      </w:r>
      <w:r w:rsidR="6820662D" w:rsidRPr="008F4104">
        <w:t xml:space="preserve"> tend to compete with UK-based businesses, and any displacement created by </w:t>
      </w:r>
      <w:r w:rsidR="21D692AC" w:rsidRPr="008F4104">
        <w:t>RLS 1.0</w:t>
      </w:r>
      <w:r w:rsidR="6B930F9C" w:rsidRPr="008F4104">
        <w:t xml:space="preserve"> </w:t>
      </w:r>
      <w:r w:rsidR="6820662D" w:rsidRPr="008F4104">
        <w:t xml:space="preserve">is likely to </w:t>
      </w:r>
      <w:r w:rsidR="679B1581" w:rsidRPr="008F4104">
        <w:t>mainly</w:t>
      </w:r>
      <w:r w:rsidR="6820662D" w:rsidRPr="008F4104">
        <w:t xml:space="preserve"> occur within the UK economy</w:t>
      </w:r>
      <w:r w:rsidR="477D344D" w:rsidRPr="008F4104">
        <w:t xml:space="preserve"> (</w:t>
      </w:r>
      <w:r w:rsidR="21D692AC" w:rsidRPr="008F4104">
        <w:t>as evidenced by a displacement estimate of 94% for the third element</w:t>
      </w:r>
      <w:r w:rsidR="477D344D" w:rsidRPr="008F4104">
        <w:t>)</w:t>
      </w:r>
      <w:r w:rsidR="6820662D" w:rsidRPr="008F4104">
        <w:t>.</w:t>
      </w:r>
      <w:r w:rsidR="74B2B8D3">
        <w:t xml:space="preserve"> All of the estimates for each element of displacement were broadly similar to those from the evaluation of BBLS, CBILS and CLBILS. </w:t>
      </w:r>
    </w:p>
    <w:p w14:paraId="083CABCD" w14:textId="4AD8B929" w:rsidR="00497489" w:rsidRPr="00B942D0" w:rsidRDefault="00497489" w:rsidP="001E57EE">
      <w:pPr>
        <w:pStyle w:val="Heading5"/>
      </w:pPr>
      <w:bookmarkStart w:id="45" w:name="_Ref91004661"/>
      <w:r>
        <w:t xml:space="preserve">Table </w:t>
      </w:r>
      <w:r>
        <w:fldChar w:fldCharType="begin"/>
      </w:r>
      <w:r>
        <w:instrText>SEQ Table \* ARABIC</w:instrText>
      </w:r>
      <w:r>
        <w:fldChar w:fldCharType="separate"/>
      </w:r>
      <w:r w:rsidR="001525E9">
        <w:rPr>
          <w:noProof/>
        </w:rPr>
        <w:t>9</w:t>
      </w:r>
      <w:r>
        <w:fldChar w:fldCharType="end"/>
      </w:r>
      <w:bookmarkEnd w:id="45"/>
      <w:r>
        <w:t>: Product market displacement</w:t>
      </w:r>
      <w:r w:rsidR="008F512D">
        <w:t xml:space="preserve"> </w:t>
      </w:r>
      <w:r w:rsidR="00C74001">
        <w:t xml:space="preserve">(PMD) </w:t>
      </w:r>
      <w:r w:rsidR="008F512D">
        <w:t>- by displacement element</w:t>
      </w:r>
      <w:r w:rsidR="001C49FD">
        <w:t xml:space="preserve"> for RLS 1.0, BBLS and CBILS/CLBILS</w:t>
      </w:r>
    </w:p>
    <w:tbl>
      <w:tblPr>
        <w:tblStyle w:val="TableGrid"/>
        <w:tblW w:w="5000" w:type="pct"/>
        <w:tblLayout w:type="fixed"/>
        <w:tblLook w:val="04A0" w:firstRow="1" w:lastRow="0" w:firstColumn="1" w:lastColumn="0" w:noHBand="0" w:noVBand="1"/>
      </w:tblPr>
      <w:tblGrid>
        <w:gridCol w:w="1630"/>
        <w:gridCol w:w="1488"/>
        <w:gridCol w:w="1759"/>
        <w:gridCol w:w="1759"/>
        <w:gridCol w:w="1759"/>
        <w:gridCol w:w="1759"/>
      </w:tblGrid>
      <w:tr w:rsidR="00C74001" w:rsidRPr="00B942D0" w14:paraId="0CDA263F" w14:textId="77777777" w:rsidTr="02AC3778">
        <w:trPr>
          <w:cnfStyle w:val="100000000000" w:firstRow="1" w:lastRow="0" w:firstColumn="0" w:lastColumn="0" w:oddVBand="0" w:evenVBand="0" w:oddHBand="0" w:evenHBand="0" w:firstRowFirstColumn="0" w:firstRowLastColumn="0" w:lastRowFirstColumn="0" w:lastRowLastColumn="0"/>
          <w:tblHeader/>
        </w:trPr>
        <w:tc>
          <w:tcPr>
            <w:tcW w:w="803" w:type="pct"/>
            <w:vAlign w:val="center"/>
          </w:tcPr>
          <w:p w14:paraId="10B91DC5" w14:textId="1B29F61A" w:rsidR="001C49FD" w:rsidRPr="00B942D0" w:rsidRDefault="001C49FD" w:rsidP="00497489">
            <w:pPr>
              <w:pStyle w:val="Tabletext"/>
              <w:jc w:val="right"/>
              <w:rPr>
                <w:rFonts w:cstheme="minorHAnsi"/>
                <w:b w:val="0"/>
                <w:color w:val="FFFFFF" w:themeColor="background1"/>
                <w:szCs w:val="24"/>
                <w:lang w:eastAsia="en-GB"/>
              </w:rPr>
            </w:pPr>
            <w:r>
              <w:rPr>
                <w:rFonts w:asciiTheme="minorHAnsi" w:hAnsiTheme="minorHAnsi" w:cstheme="minorHAnsi"/>
                <w:color w:val="FFFFFF" w:themeColor="background1"/>
                <w:szCs w:val="24"/>
                <w:lang w:eastAsia="en-GB"/>
              </w:rPr>
              <w:t>Scheme</w:t>
            </w:r>
          </w:p>
        </w:tc>
        <w:tc>
          <w:tcPr>
            <w:tcW w:w="733" w:type="pct"/>
            <w:vAlign w:val="center"/>
          </w:tcPr>
          <w:p w14:paraId="60DAD0DD" w14:textId="4C39C3BF" w:rsidR="001C49FD" w:rsidRPr="00B942D0" w:rsidRDefault="001C49FD" w:rsidP="00497489">
            <w:pPr>
              <w:pStyle w:val="Tabletext"/>
              <w:jc w:val="right"/>
              <w:rPr>
                <w:rFonts w:asciiTheme="minorHAnsi" w:hAnsiTheme="minorHAnsi" w:cstheme="minorHAnsi"/>
                <w:color w:val="FFFFFF" w:themeColor="background1"/>
                <w:szCs w:val="24"/>
                <w:lang w:eastAsia="en-GB"/>
              </w:rPr>
            </w:pPr>
            <w:r>
              <w:rPr>
                <w:rFonts w:asciiTheme="minorHAnsi" w:hAnsiTheme="minorHAnsi" w:cstheme="minorHAnsi"/>
                <w:color w:val="FFFFFF" w:themeColor="background1"/>
                <w:szCs w:val="24"/>
                <w:lang w:eastAsia="en-GB"/>
              </w:rPr>
              <w:t>Dates open</w:t>
            </w:r>
          </w:p>
        </w:tc>
        <w:tc>
          <w:tcPr>
            <w:tcW w:w="866" w:type="pct"/>
            <w:vAlign w:val="center"/>
            <w:hideMark/>
          </w:tcPr>
          <w:p w14:paraId="2663FAF4" w14:textId="3FD327D8" w:rsidR="001C49FD" w:rsidRPr="00B942D0" w:rsidRDefault="001C49FD" w:rsidP="00497489">
            <w:pPr>
              <w:pStyle w:val="Tabletext"/>
              <w:jc w:val="right"/>
              <w:rPr>
                <w:rFonts w:cstheme="minorHAnsi"/>
                <w:b w:val="0"/>
                <w:color w:val="FFFFFF" w:themeColor="background1"/>
                <w:szCs w:val="24"/>
                <w:lang w:eastAsia="en-GB"/>
              </w:rPr>
            </w:pPr>
            <w:r w:rsidRPr="00B942D0">
              <w:rPr>
                <w:rFonts w:asciiTheme="minorHAnsi" w:hAnsiTheme="minorHAnsi" w:cstheme="minorHAnsi"/>
                <w:color w:val="FFFFFF" w:themeColor="background1"/>
                <w:szCs w:val="24"/>
                <w:lang w:eastAsia="en-GB"/>
              </w:rPr>
              <w:t xml:space="preserve">Average </w:t>
            </w:r>
            <w:r w:rsidR="00C74001">
              <w:rPr>
                <w:rFonts w:asciiTheme="minorHAnsi" w:hAnsiTheme="minorHAnsi" w:cstheme="minorHAnsi"/>
                <w:color w:val="FFFFFF" w:themeColor="background1"/>
                <w:szCs w:val="24"/>
                <w:lang w:eastAsia="en-GB"/>
              </w:rPr>
              <w:t>PMD</w:t>
            </w:r>
            <w:r w:rsidRPr="00B942D0">
              <w:rPr>
                <w:rFonts w:asciiTheme="minorHAnsi" w:hAnsiTheme="minorHAnsi" w:cstheme="minorHAnsi"/>
                <w:color w:val="FFFFFF" w:themeColor="background1"/>
                <w:szCs w:val="24"/>
                <w:lang w:eastAsia="en-GB"/>
              </w:rPr>
              <w:br/>
            </w:r>
            <w:r>
              <w:rPr>
                <w:rFonts w:asciiTheme="minorHAnsi" w:hAnsiTheme="minorHAnsi" w:cstheme="minorHAnsi"/>
                <w:color w:val="FFFFFF" w:themeColor="background1"/>
                <w:szCs w:val="24"/>
                <w:lang w:eastAsia="en-GB"/>
              </w:rPr>
              <w:t>(Overall)</w:t>
            </w:r>
            <w:r w:rsidRPr="00B942D0">
              <w:rPr>
                <w:rFonts w:asciiTheme="minorHAnsi" w:hAnsiTheme="minorHAnsi" w:cstheme="minorHAnsi"/>
                <w:color w:val="FFFFFF" w:themeColor="background1"/>
                <w:szCs w:val="24"/>
                <w:lang w:eastAsia="en-GB"/>
              </w:rPr>
              <w:t> </w:t>
            </w:r>
          </w:p>
        </w:tc>
        <w:tc>
          <w:tcPr>
            <w:tcW w:w="866" w:type="pct"/>
            <w:vAlign w:val="center"/>
          </w:tcPr>
          <w:p w14:paraId="570A2E2D" w14:textId="33B0310A" w:rsidR="001C49FD" w:rsidRPr="00B942D0" w:rsidRDefault="001C49FD" w:rsidP="00497489">
            <w:pPr>
              <w:pStyle w:val="Tabletext"/>
              <w:jc w:val="right"/>
              <w:rPr>
                <w:rFonts w:asciiTheme="minorHAnsi" w:hAnsiTheme="minorHAnsi" w:cstheme="minorHAnsi"/>
                <w:color w:val="FFFFFF" w:themeColor="background1"/>
                <w:szCs w:val="24"/>
                <w:lang w:eastAsia="en-GB"/>
              </w:rPr>
            </w:pPr>
            <w:r w:rsidRPr="00B942D0">
              <w:rPr>
                <w:rFonts w:asciiTheme="minorHAnsi" w:hAnsiTheme="minorHAnsi" w:cstheme="minorHAnsi"/>
                <w:color w:val="FFFFFF" w:themeColor="background1"/>
                <w:szCs w:val="24"/>
                <w:lang w:eastAsia="en-GB"/>
              </w:rPr>
              <w:t xml:space="preserve">Average </w:t>
            </w:r>
            <w:r w:rsidR="00C74001">
              <w:rPr>
                <w:rFonts w:asciiTheme="minorHAnsi" w:hAnsiTheme="minorHAnsi" w:cstheme="minorHAnsi"/>
                <w:color w:val="FFFFFF" w:themeColor="background1"/>
                <w:szCs w:val="24"/>
                <w:lang w:eastAsia="en-GB"/>
              </w:rPr>
              <w:t>PMD</w:t>
            </w:r>
            <w:r w:rsidRPr="00B942D0">
              <w:rPr>
                <w:rFonts w:asciiTheme="minorHAnsi" w:hAnsiTheme="minorHAnsi" w:cstheme="minorHAnsi"/>
                <w:color w:val="FFFFFF" w:themeColor="background1"/>
                <w:szCs w:val="24"/>
                <w:lang w:eastAsia="en-GB"/>
              </w:rPr>
              <w:br/>
              <w:t>Element I</w:t>
            </w:r>
          </w:p>
        </w:tc>
        <w:tc>
          <w:tcPr>
            <w:tcW w:w="866" w:type="pct"/>
            <w:vAlign w:val="center"/>
            <w:hideMark/>
          </w:tcPr>
          <w:p w14:paraId="3C9A614B" w14:textId="22AC7179" w:rsidR="001C49FD" w:rsidRPr="00B942D0" w:rsidRDefault="001C49FD" w:rsidP="00497489">
            <w:pPr>
              <w:pStyle w:val="Tabletext"/>
              <w:jc w:val="right"/>
              <w:rPr>
                <w:rFonts w:asciiTheme="minorHAnsi" w:hAnsiTheme="minorHAnsi" w:cstheme="minorHAnsi"/>
                <w:color w:val="FFFFFF" w:themeColor="background1"/>
                <w:szCs w:val="24"/>
                <w:lang w:eastAsia="en-GB"/>
              </w:rPr>
            </w:pPr>
            <w:r w:rsidRPr="00B942D0">
              <w:rPr>
                <w:rFonts w:asciiTheme="minorHAnsi" w:hAnsiTheme="minorHAnsi" w:cstheme="minorHAnsi"/>
                <w:color w:val="FFFFFF" w:themeColor="background1"/>
                <w:szCs w:val="24"/>
                <w:lang w:eastAsia="en-GB"/>
              </w:rPr>
              <w:t xml:space="preserve">Average </w:t>
            </w:r>
            <w:r w:rsidR="00C74001">
              <w:rPr>
                <w:rFonts w:asciiTheme="minorHAnsi" w:hAnsiTheme="minorHAnsi" w:cstheme="minorHAnsi"/>
                <w:color w:val="FFFFFF" w:themeColor="background1"/>
                <w:szCs w:val="24"/>
                <w:lang w:eastAsia="en-GB"/>
              </w:rPr>
              <w:t>PMD</w:t>
            </w:r>
            <w:r w:rsidRPr="00B942D0">
              <w:rPr>
                <w:rFonts w:asciiTheme="minorHAnsi" w:hAnsiTheme="minorHAnsi" w:cstheme="minorHAnsi"/>
                <w:color w:val="FFFFFF" w:themeColor="background1"/>
                <w:szCs w:val="24"/>
                <w:lang w:eastAsia="en-GB"/>
              </w:rPr>
              <w:br/>
              <w:t>Element II</w:t>
            </w:r>
          </w:p>
        </w:tc>
        <w:tc>
          <w:tcPr>
            <w:tcW w:w="866" w:type="pct"/>
            <w:vAlign w:val="center"/>
            <w:hideMark/>
          </w:tcPr>
          <w:p w14:paraId="09935823" w14:textId="4C89E6EE" w:rsidR="001C49FD" w:rsidRPr="00B942D0" w:rsidRDefault="001C49FD" w:rsidP="00497489">
            <w:pPr>
              <w:pStyle w:val="Tabletext"/>
              <w:jc w:val="right"/>
              <w:rPr>
                <w:rFonts w:asciiTheme="minorHAnsi" w:hAnsiTheme="minorHAnsi" w:cstheme="minorHAnsi"/>
                <w:color w:val="FFFFFF" w:themeColor="background1"/>
                <w:szCs w:val="24"/>
                <w:lang w:eastAsia="en-GB"/>
              </w:rPr>
            </w:pPr>
            <w:r w:rsidRPr="00B942D0">
              <w:rPr>
                <w:rFonts w:asciiTheme="minorHAnsi" w:hAnsiTheme="minorHAnsi" w:cstheme="minorHAnsi"/>
                <w:color w:val="FFFFFF" w:themeColor="background1"/>
                <w:szCs w:val="24"/>
                <w:lang w:eastAsia="en-GB"/>
              </w:rPr>
              <w:t xml:space="preserve">Average </w:t>
            </w:r>
            <w:r w:rsidR="00C74001">
              <w:rPr>
                <w:rFonts w:asciiTheme="minorHAnsi" w:hAnsiTheme="minorHAnsi" w:cstheme="minorHAnsi"/>
                <w:color w:val="FFFFFF" w:themeColor="background1"/>
                <w:szCs w:val="24"/>
                <w:lang w:eastAsia="en-GB"/>
              </w:rPr>
              <w:t>PMD</w:t>
            </w:r>
            <w:r w:rsidRPr="00B942D0">
              <w:rPr>
                <w:rFonts w:asciiTheme="minorHAnsi" w:hAnsiTheme="minorHAnsi" w:cstheme="minorHAnsi"/>
                <w:color w:val="FFFFFF" w:themeColor="background1"/>
                <w:szCs w:val="24"/>
                <w:lang w:eastAsia="en-GB"/>
              </w:rPr>
              <w:br/>
              <w:t>Element III</w:t>
            </w:r>
          </w:p>
        </w:tc>
      </w:tr>
      <w:tr w:rsidR="00C74001" w:rsidRPr="00B942D0" w14:paraId="7877CA54"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03" w:type="pct"/>
            <w:vAlign w:val="center"/>
          </w:tcPr>
          <w:p w14:paraId="1142973D" w14:textId="616D063C" w:rsidR="001C49FD" w:rsidRPr="00E72CDE" w:rsidRDefault="001C49FD" w:rsidP="00E72CDE">
            <w:pPr>
              <w:pStyle w:val="Tabletext"/>
              <w:jc w:val="center"/>
              <w:rPr>
                <w:b/>
                <w:bCs/>
              </w:rPr>
            </w:pPr>
            <w:r w:rsidRPr="00E72CDE">
              <w:rPr>
                <w:b/>
                <w:bCs/>
              </w:rPr>
              <w:t>RLS 1.0</w:t>
            </w:r>
          </w:p>
        </w:tc>
        <w:tc>
          <w:tcPr>
            <w:tcW w:w="733" w:type="pct"/>
            <w:vAlign w:val="center"/>
          </w:tcPr>
          <w:p w14:paraId="6C41DB65" w14:textId="32EFBBFD" w:rsidR="001C49FD" w:rsidRPr="002E562D" w:rsidRDefault="001C49FD" w:rsidP="001A121E">
            <w:pPr>
              <w:pStyle w:val="Tabletext"/>
              <w:jc w:val="right"/>
            </w:pPr>
            <w:r>
              <w:t>April – December 2021</w:t>
            </w:r>
          </w:p>
        </w:tc>
        <w:tc>
          <w:tcPr>
            <w:tcW w:w="866" w:type="pct"/>
            <w:vAlign w:val="center"/>
            <w:hideMark/>
          </w:tcPr>
          <w:p w14:paraId="690647FF" w14:textId="2E951A78" w:rsidR="001C49FD" w:rsidRPr="00B942D0" w:rsidRDefault="001C49FD" w:rsidP="001A121E">
            <w:pPr>
              <w:pStyle w:val="Tabletext"/>
              <w:jc w:val="right"/>
            </w:pPr>
            <w:r w:rsidRPr="002E562D">
              <w:t>45%</w:t>
            </w:r>
          </w:p>
        </w:tc>
        <w:tc>
          <w:tcPr>
            <w:tcW w:w="866" w:type="pct"/>
            <w:vAlign w:val="center"/>
          </w:tcPr>
          <w:p w14:paraId="256047B8" w14:textId="58BA0A2A" w:rsidR="001C49FD" w:rsidRPr="00B942D0" w:rsidRDefault="001C49FD" w:rsidP="001A121E">
            <w:pPr>
              <w:pStyle w:val="Tabletext"/>
              <w:jc w:val="right"/>
            </w:pPr>
            <w:r w:rsidRPr="00B942D0">
              <w:t>62%</w:t>
            </w:r>
          </w:p>
        </w:tc>
        <w:tc>
          <w:tcPr>
            <w:tcW w:w="866" w:type="pct"/>
            <w:vAlign w:val="center"/>
            <w:hideMark/>
          </w:tcPr>
          <w:p w14:paraId="79AC124A" w14:textId="56AEC644" w:rsidR="001C49FD" w:rsidRPr="00B942D0" w:rsidRDefault="001C49FD" w:rsidP="001A121E">
            <w:pPr>
              <w:pStyle w:val="Tabletext"/>
              <w:jc w:val="right"/>
            </w:pPr>
            <w:r w:rsidRPr="00B942D0">
              <w:t>73%</w:t>
            </w:r>
          </w:p>
        </w:tc>
        <w:tc>
          <w:tcPr>
            <w:tcW w:w="866" w:type="pct"/>
            <w:vAlign w:val="center"/>
            <w:hideMark/>
          </w:tcPr>
          <w:p w14:paraId="5946A6C7" w14:textId="2CC21763" w:rsidR="001C49FD" w:rsidRPr="00B942D0" w:rsidRDefault="001C49FD" w:rsidP="001A121E">
            <w:pPr>
              <w:pStyle w:val="Tabletext"/>
              <w:jc w:val="right"/>
            </w:pPr>
            <w:r w:rsidRPr="00B942D0">
              <w:t>94%</w:t>
            </w:r>
          </w:p>
        </w:tc>
      </w:tr>
      <w:tr w:rsidR="001C49FD" w:rsidRPr="00B942D0" w14:paraId="32E3D88D" w14:textId="77777777" w:rsidTr="002E562D">
        <w:tblPrEx>
          <w:tblCellMar>
            <w:left w:w="108" w:type="dxa"/>
            <w:right w:w="108" w:type="dxa"/>
          </w:tblCellMar>
        </w:tblPrEx>
        <w:tc>
          <w:tcPr>
            <w:tcW w:w="803" w:type="pct"/>
            <w:vAlign w:val="center"/>
          </w:tcPr>
          <w:p w14:paraId="0F9FE1CC" w14:textId="34A2BB38" w:rsidR="001C49FD" w:rsidRPr="00E72CDE" w:rsidRDefault="001C49FD" w:rsidP="00E72CDE">
            <w:pPr>
              <w:pStyle w:val="Tabletext"/>
              <w:jc w:val="center"/>
              <w:rPr>
                <w:b/>
                <w:bCs/>
              </w:rPr>
            </w:pPr>
            <w:r w:rsidRPr="00E72CDE">
              <w:rPr>
                <w:b/>
                <w:bCs/>
              </w:rPr>
              <w:t>BBLS</w:t>
            </w:r>
          </w:p>
        </w:tc>
        <w:tc>
          <w:tcPr>
            <w:tcW w:w="733" w:type="pct"/>
            <w:vAlign w:val="center"/>
          </w:tcPr>
          <w:p w14:paraId="0E3C13B3" w14:textId="77B14473" w:rsidR="001C49FD" w:rsidRPr="002E562D" w:rsidRDefault="001C49FD" w:rsidP="001A121E">
            <w:pPr>
              <w:pStyle w:val="Tabletext"/>
              <w:jc w:val="right"/>
            </w:pPr>
            <w:r>
              <w:t>May 2020 – March 2021</w:t>
            </w:r>
          </w:p>
        </w:tc>
        <w:tc>
          <w:tcPr>
            <w:tcW w:w="866" w:type="pct"/>
            <w:vAlign w:val="center"/>
          </w:tcPr>
          <w:p w14:paraId="33DF64AA" w14:textId="27679F32" w:rsidR="001C49FD" w:rsidRPr="00B942D0" w:rsidRDefault="001C49FD" w:rsidP="001A121E">
            <w:pPr>
              <w:pStyle w:val="Tabletext"/>
              <w:jc w:val="right"/>
            </w:pPr>
            <w:r>
              <w:t>43%</w:t>
            </w:r>
          </w:p>
        </w:tc>
        <w:tc>
          <w:tcPr>
            <w:tcW w:w="866" w:type="pct"/>
            <w:vAlign w:val="center"/>
          </w:tcPr>
          <w:p w14:paraId="31CC7E97" w14:textId="527EE686" w:rsidR="001C49FD" w:rsidRPr="00B942D0" w:rsidRDefault="001C49FD" w:rsidP="001A121E">
            <w:pPr>
              <w:pStyle w:val="Tabletext"/>
              <w:jc w:val="right"/>
            </w:pPr>
            <w:r>
              <w:t>58%</w:t>
            </w:r>
          </w:p>
        </w:tc>
        <w:tc>
          <w:tcPr>
            <w:tcW w:w="866" w:type="pct"/>
            <w:vAlign w:val="center"/>
          </w:tcPr>
          <w:p w14:paraId="0D21220D" w14:textId="43905610" w:rsidR="001C49FD" w:rsidRPr="00B942D0" w:rsidRDefault="001C49FD" w:rsidP="001A121E">
            <w:pPr>
              <w:pStyle w:val="Tabletext"/>
              <w:jc w:val="right"/>
            </w:pPr>
            <w:r>
              <w:t>73%</w:t>
            </w:r>
          </w:p>
        </w:tc>
        <w:tc>
          <w:tcPr>
            <w:tcW w:w="866" w:type="pct"/>
            <w:vAlign w:val="center"/>
          </w:tcPr>
          <w:p w14:paraId="4B24133B" w14:textId="30A9915B" w:rsidR="001C49FD" w:rsidRPr="00B942D0" w:rsidRDefault="001C49FD" w:rsidP="001A121E">
            <w:pPr>
              <w:pStyle w:val="Tabletext"/>
              <w:jc w:val="right"/>
            </w:pPr>
            <w:r>
              <w:t>95%</w:t>
            </w:r>
          </w:p>
        </w:tc>
      </w:tr>
      <w:tr w:rsidR="00C74001" w:rsidRPr="00B942D0" w14:paraId="05C4F54C"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03" w:type="pct"/>
            <w:tcBorders>
              <w:bottom w:val="single" w:sz="4" w:space="0" w:color="0054BA" w:themeColor="accent2"/>
            </w:tcBorders>
            <w:vAlign w:val="center"/>
          </w:tcPr>
          <w:p w14:paraId="41337CB2" w14:textId="7B0E0370" w:rsidR="001C49FD" w:rsidRPr="00E72CDE" w:rsidRDefault="001C49FD" w:rsidP="00E72CDE">
            <w:pPr>
              <w:pStyle w:val="Tabletext"/>
              <w:jc w:val="center"/>
              <w:rPr>
                <w:b/>
                <w:bCs/>
              </w:rPr>
            </w:pPr>
            <w:r w:rsidRPr="00E72CDE">
              <w:rPr>
                <w:b/>
                <w:bCs/>
              </w:rPr>
              <w:t>CBILS /CLBILS</w:t>
            </w:r>
          </w:p>
        </w:tc>
        <w:tc>
          <w:tcPr>
            <w:tcW w:w="733" w:type="pct"/>
            <w:tcBorders>
              <w:bottom w:val="single" w:sz="4" w:space="0" w:color="0054BA" w:themeColor="accent2"/>
            </w:tcBorders>
            <w:vAlign w:val="center"/>
          </w:tcPr>
          <w:p w14:paraId="389D75D1" w14:textId="2B88FA1A" w:rsidR="001C49FD" w:rsidRPr="002E562D" w:rsidRDefault="74B2B8D3" w:rsidP="001A121E">
            <w:pPr>
              <w:pStyle w:val="Tabletext"/>
              <w:jc w:val="right"/>
            </w:pPr>
            <w:r>
              <w:t>March/April 2020</w:t>
            </w:r>
            <w:r w:rsidR="001C49FD" w:rsidRPr="004E1F3A">
              <w:rPr>
                <w:rStyle w:val="FootnoteReference"/>
              </w:rPr>
              <w:footnoteReference w:id="44"/>
            </w:r>
            <w:r>
              <w:t xml:space="preserve"> – March 2021</w:t>
            </w:r>
          </w:p>
        </w:tc>
        <w:tc>
          <w:tcPr>
            <w:tcW w:w="866" w:type="pct"/>
            <w:tcBorders>
              <w:bottom w:val="single" w:sz="4" w:space="0" w:color="0054BA" w:themeColor="accent2"/>
            </w:tcBorders>
            <w:vAlign w:val="center"/>
          </w:tcPr>
          <w:p w14:paraId="3D67C4D6" w14:textId="381EC2A3" w:rsidR="001C49FD" w:rsidRPr="00B942D0" w:rsidRDefault="001C49FD" w:rsidP="001A121E">
            <w:pPr>
              <w:pStyle w:val="Tabletext"/>
              <w:jc w:val="right"/>
            </w:pPr>
            <w:r>
              <w:t>46%</w:t>
            </w:r>
          </w:p>
        </w:tc>
        <w:tc>
          <w:tcPr>
            <w:tcW w:w="866" w:type="pct"/>
            <w:tcBorders>
              <w:bottom w:val="single" w:sz="4" w:space="0" w:color="0054BA" w:themeColor="accent2"/>
            </w:tcBorders>
            <w:vAlign w:val="center"/>
          </w:tcPr>
          <w:p w14:paraId="0BBD96AA" w14:textId="17612FA2" w:rsidR="001C49FD" w:rsidRPr="00B942D0" w:rsidRDefault="001C49FD" w:rsidP="001A121E">
            <w:pPr>
              <w:pStyle w:val="Tabletext"/>
              <w:jc w:val="right"/>
            </w:pPr>
            <w:r>
              <w:t>63%</w:t>
            </w:r>
          </w:p>
        </w:tc>
        <w:tc>
          <w:tcPr>
            <w:tcW w:w="866" w:type="pct"/>
            <w:tcBorders>
              <w:bottom w:val="single" w:sz="4" w:space="0" w:color="0054BA" w:themeColor="accent2"/>
            </w:tcBorders>
            <w:vAlign w:val="center"/>
          </w:tcPr>
          <w:p w14:paraId="0349B308" w14:textId="07DBACCF" w:rsidR="001C49FD" w:rsidRPr="00B942D0" w:rsidRDefault="001C49FD" w:rsidP="001A121E">
            <w:pPr>
              <w:pStyle w:val="Tabletext"/>
              <w:jc w:val="right"/>
            </w:pPr>
            <w:r>
              <w:t>78%</w:t>
            </w:r>
          </w:p>
        </w:tc>
        <w:tc>
          <w:tcPr>
            <w:tcW w:w="866" w:type="pct"/>
            <w:tcBorders>
              <w:bottom w:val="single" w:sz="4" w:space="0" w:color="0054BA" w:themeColor="accent2"/>
            </w:tcBorders>
            <w:vAlign w:val="center"/>
          </w:tcPr>
          <w:p w14:paraId="3D65E105" w14:textId="12F6B18C" w:rsidR="001C49FD" w:rsidRPr="00B942D0" w:rsidRDefault="001C49FD" w:rsidP="001A121E">
            <w:pPr>
              <w:pStyle w:val="Tabletext"/>
              <w:jc w:val="right"/>
            </w:pPr>
            <w:r>
              <w:t>90%</w:t>
            </w:r>
          </w:p>
        </w:tc>
      </w:tr>
    </w:tbl>
    <w:p w14:paraId="4F996003" w14:textId="1D35BFAB" w:rsidR="00497489" w:rsidRPr="00B942D0" w:rsidRDefault="00C17687" w:rsidP="00497489">
      <w:pPr>
        <w:pStyle w:val="Caption"/>
      </w:pPr>
      <w:r w:rsidRPr="00B942D0">
        <w:t>Source: London Economics’ analysis of survey data</w:t>
      </w:r>
    </w:p>
    <w:p w14:paraId="71FDA906" w14:textId="324A1D6A" w:rsidR="004E52F1" w:rsidRPr="00E34F48" w:rsidRDefault="004E52F1" w:rsidP="001E57EE">
      <w:pPr>
        <w:pStyle w:val="Heading2"/>
      </w:pPr>
      <w:bookmarkStart w:id="46" w:name="_Toc161327589"/>
      <w:r w:rsidRPr="00E34F48">
        <w:t>Impact of lending on businesses</w:t>
      </w:r>
      <w:bookmarkEnd w:id="46"/>
    </w:p>
    <w:p w14:paraId="549AD4DA" w14:textId="29252BF0" w:rsidR="00952A4E" w:rsidRDefault="008E6268" w:rsidP="00952A4E">
      <w:r w:rsidRPr="00211470">
        <w:t xml:space="preserve">This section focuses on the impact of the </w:t>
      </w:r>
      <w:r w:rsidR="00AD03A1" w:rsidRPr="00211470">
        <w:t>loans</w:t>
      </w:r>
      <w:r w:rsidRPr="00211470">
        <w:t xml:space="preserve"> </w:t>
      </w:r>
      <w:r w:rsidR="00211470" w:rsidRPr="00211470">
        <w:t xml:space="preserve">obtained </w:t>
      </w:r>
      <w:r w:rsidRPr="00211470">
        <w:t xml:space="preserve">under </w:t>
      </w:r>
      <w:r w:rsidR="00211470" w:rsidRPr="00211470">
        <w:t>Recovery Loan Scheme 1.0</w:t>
      </w:r>
      <w:r w:rsidRPr="00211470">
        <w:t xml:space="preserve"> on </w:t>
      </w:r>
      <w:r w:rsidR="00B4158C" w:rsidRPr="00211470">
        <w:t>borrowers</w:t>
      </w:r>
      <w:r w:rsidRPr="00211470">
        <w:t xml:space="preserve">. </w:t>
      </w:r>
      <w:r w:rsidR="00AD03A1" w:rsidRPr="00211470">
        <w:t xml:space="preserve">The first subsection describes how </w:t>
      </w:r>
      <w:r w:rsidR="00B4158C" w:rsidRPr="00211470">
        <w:t>borrowers</w:t>
      </w:r>
      <w:r w:rsidR="00AD03A1" w:rsidRPr="00211470">
        <w:t xml:space="preserve"> used the funds from their </w:t>
      </w:r>
      <w:r w:rsidR="00211470" w:rsidRPr="00211470">
        <w:t>RLS</w:t>
      </w:r>
      <w:r w:rsidR="0039115D">
        <w:t xml:space="preserve"> 1.0</w:t>
      </w:r>
      <w:r w:rsidR="00211470" w:rsidRPr="00211470">
        <w:t xml:space="preserve"> </w:t>
      </w:r>
      <w:r w:rsidR="00AD03A1" w:rsidRPr="00211470">
        <w:t>loans. The second and third subsections</w:t>
      </w:r>
      <w:r w:rsidR="001809BA" w:rsidRPr="00211470">
        <w:t xml:space="preserve"> provide an early assessment of the </w:t>
      </w:r>
      <w:r w:rsidR="00AD03A1" w:rsidRPr="00211470">
        <w:t xml:space="preserve">impact of </w:t>
      </w:r>
      <w:r w:rsidR="00211470" w:rsidRPr="00211470">
        <w:t>RLS 1.0</w:t>
      </w:r>
      <w:r w:rsidR="00AF2010" w:rsidRPr="00211470">
        <w:t xml:space="preserve"> </w:t>
      </w:r>
      <w:r w:rsidR="00AD03A1" w:rsidRPr="00211470">
        <w:t>on business survival, turnover, and employment.</w:t>
      </w:r>
      <w:r w:rsidR="00211470" w:rsidRPr="00211470">
        <w:t xml:space="preserve"> T</w:t>
      </w:r>
      <w:r w:rsidR="00AD03A1" w:rsidRPr="00211470">
        <w:t xml:space="preserve">he fourth subsection </w:t>
      </w:r>
      <w:r w:rsidR="006105D6" w:rsidRPr="00211470">
        <w:t>explores</w:t>
      </w:r>
      <w:r w:rsidR="0022525C" w:rsidRPr="00211470">
        <w:t xml:space="preserve"> </w:t>
      </w:r>
      <w:r w:rsidR="00863E63" w:rsidRPr="00211470">
        <w:t xml:space="preserve">other </w:t>
      </w:r>
      <w:r w:rsidR="00312B45" w:rsidRPr="00211470">
        <w:t>emerging</w:t>
      </w:r>
      <w:r w:rsidR="00863E63" w:rsidRPr="00211470">
        <w:t xml:space="preserve"> impacts of </w:t>
      </w:r>
      <w:r w:rsidR="008671D2">
        <w:t>RLS</w:t>
      </w:r>
      <w:r w:rsidR="00211470" w:rsidRPr="00211470">
        <w:t xml:space="preserve"> 1.0</w:t>
      </w:r>
      <w:r w:rsidR="00863E63" w:rsidRPr="00211470">
        <w:t>, including whether the</w:t>
      </w:r>
      <w:r w:rsidR="00211470" w:rsidRPr="00211470">
        <w:t xml:space="preserve"> scheme</w:t>
      </w:r>
      <w:r w:rsidR="00863E63" w:rsidRPr="00211470">
        <w:t xml:space="preserve"> ha</w:t>
      </w:r>
      <w:r w:rsidR="00211470" w:rsidRPr="00211470">
        <w:t>s</w:t>
      </w:r>
      <w:r w:rsidR="00863E63" w:rsidRPr="00211470">
        <w:t xml:space="preserve"> </w:t>
      </w:r>
      <w:r w:rsidR="0072710C" w:rsidRPr="00211470">
        <w:t>led to</w:t>
      </w:r>
      <w:r w:rsidR="00863E63" w:rsidRPr="00211470">
        <w:t xml:space="preserve"> </w:t>
      </w:r>
      <w:r w:rsidR="00211470" w:rsidRPr="00211470">
        <w:t>further</w:t>
      </w:r>
      <w:r w:rsidR="005542EB" w:rsidRPr="00211470">
        <w:t xml:space="preserve"> </w:t>
      </w:r>
      <w:r w:rsidR="00211470" w:rsidRPr="00211470">
        <w:t>R</w:t>
      </w:r>
      <w:r w:rsidR="005542EB" w:rsidRPr="00211470">
        <w:t>&amp;D</w:t>
      </w:r>
      <w:r w:rsidR="00211470" w:rsidRPr="00211470">
        <w:t xml:space="preserve"> activities</w:t>
      </w:r>
      <w:r w:rsidR="005542EB" w:rsidRPr="00211470">
        <w:t xml:space="preserve">, </w:t>
      </w:r>
      <w:r w:rsidR="00211470" w:rsidRPr="00211470">
        <w:t xml:space="preserve">the development of new goods and services </w:t>
      </w:r>
      <w:r w:rsidR="005542EB" w:rsidRPr="00211470">
        <w:t>or actions to reduce carbon emissions</w:t>
      </w:r>
      <w:r w:rsidR="00863E63" w:rsidRPr="00211470">
        <w:t xml:space="preserve">. </w:t>
      </w:r>
    </w:p>
    <w:p w14:paraId="4E127F64" w14:textId="34235394" w:rsidR="00AD03A1" w:rsidRDefault="007F5299" w:rsidP="00312B45">
      <w:pPr>
        <w:pStyle w:val="Heading3"/>
      </w:pPr>
      <w:r w:rsidRPr="00211470">
        <w:t>B</w:t>
      </w:r>
      <w:r w:rsidR="00B4158C" w:rsidRPr="00211470">
        <w:t>orrowers</w:t>
      </w:r>
      <w:r w:rsidR="00AD03A1" w:rsidRPr="00211470">
        <w:t xml:space="preserve">’ use of </w:t>
      </w:r>
      <w:r w:rsidR="00E34F48">
        <w:t>the finance</w:t>
      </w:r>
    </w:p>
    <w:p w14:paraId="5AE02DAF" w14:textId="11FC02F0" w:rsidR="00211470" w:rsidRDefault="00211470" w:rsidP="00211470">
      <w:r>
        <w:t xml:space="preserve">The majority of RLS 1.0 borrowers used the finance that they received under the scheme for </w:t>
      </w:r>
      <w:r w:rsidR="009C2C74">
        <w:t>day-to-day</w:t>
      </w:r>
      <w:r>
        <w:t xml:space="preserve"> costs and expenses (62%). In addition, around a third (34%) of borrowers used the finance for the purchase of materials and/or goods, and approximately a quarter (24%) of borrowers used the finance to pay staff salaries. RLS 1.0 finance was used by 18% of borrowers </w:t>
      </w:r>
      <w:r w:rsidR="00952A4E">
        <w:t>to provide financial security and/or headroom.</w:t>
      </w:r>
    </w:p>
    <w:p w14:paraId="0DB2940F" w14:textId="469A52B1" w:rsidR="00952A4E" w:rsidRDefault="00952A4E" w:rsidP="00211470">
      <w:r>
        <w:t xml:space="preserve">Roughly one in ten borrowers used the finance to make adjustments to working practices related to Covid-19 (10%), introduce new or different goods or services (9%) or to change their business model (9%). </w:t>
      </w:r>
    </w:p>
    <w:p w14:paraId="46EE6FA3" w14:textId="047D1A3B" w:rsidR="00952A4E" w:rsidRDefault="00E34F48" w:rsidP="00211470">
      <w:r>
        <w:t>Only a small proportion</w:t>
      </w:r>
      <w:r w:rsidR="00952A4E">
        <w:t xml:space="preserve"> of borrowers used RLS 1.0 finance that they received to help with other debts, such as to make debt repayments (8%), to refinance existing debt (5%) or to consolidate existing debt (4%).</w:t>
      </w:r>
    </w:p>
    <w:p w14:paraId="47EFD4D0" w14:textId="6B614E89" w:rsidR="00211470" w:rsidRPr="00237000" w:rsidRDefault="00211470" w:rsidP="00211470">
      <w:pPr>
        <w:pStyle w:val="Heading5"/>
      </w:pPr>
      <w:r w:rsidRPr="00AF7606">
        <w:t xml:space="preserve">Figure </w:t>
      </w:r>
      <w:r>
        <w:fldChar w:fldCharType="begin"/>
      </w:r>
      <w:r>
        <w:instrText xml:space="preserve"> SEQ Figure \* ARABIC </w:instrText>
      </w:r>
      <w:r>
        <w:fldChar w:fldCharType="separate"/>
      </w:r>
      <w:r w:rsidR="001525E9">
        <w:rPr>
          <w:noProof/>
        </w:rPr>
        <w:t>13</w:t>
      </w:r>
      <w:r>
        <w:rPr>
          <w:noProof/>
        </w:rPr>
        <w:fldChar w:fldCharType="end"/>
      </w:r>
      <w:r w:rsidRPr="00AF7606">
        <w:t xml:space="preserve">: </w:t>
      </w:r>
      <w:r>
        <w:t>Use of finance by RLS 1.0 borrowers</w:t>
      </w:r>
    </w:p>
    <w:p w14:paraId="1118A48C" w14:textId="09B5C828" w:rsidR="00211470" w:rsidRDefault="00A83806" w:rsidP="0003413F">
      <w:pPr>
        <w:pStyle w:val="Caption"/>
      </w:pPr>
      <w:r>
        <w:rPr>
          <w:noProof/>
        </w:rPr>
        <w:drawing>
          <wp:inline distT="0" distB="0" distL="0" distR="0" wp14:anchorId="38D3B887" wp14:editId="3F43E224">
            <wp:extent cx="6250675" cy="4542584"/>
            <wp:effectExtent l="0" t="0" r="0" b="0"/>
            <wp:docPr id="1229090929" name="Picture 6" descr="This figure shows the use of finance by RLS 1.0 borrowers. 62% of RLS 1.0 borrowers surveyed indicated that they used the finance for day to day costs/expenses, 34% indicated that they used the finance for the purchase of materials and/or goods, 24% indicated that they used the finance to pay staff salaries, 18% indicated that they used the finance for financial security, 10% indicated that they used the finance for adjustments to working practices, 9% indicated that they used the finance to introduce new goods/services, 9% indicated that they used the finance to change business model, 8% indicated that they used the finance for debt repayments, 5% indicated that they used the finance to refinance existing debt, 4% indicated that they used the finance for consolidation of existing debt, 8% indicated that they used the finance for something else and 2% indicated that they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90929" name="Picture 6" descr="This figure shows the use of finance by RLS 1.0 borrowers. 62% of RLS 1.0 borrowers surveyed indicated that they used the finance for day to day costs/expenses, 34% indicated that they used the finance for the purchase of materials and/or goods, 24% indicated that they used the finance to pay staff salaries, 18% indicated that they used the finance for financial security, 10% indicated that they used the finance for adjustments to working practices, 9% indicated that they used the finance to introduce new goods/services, 9% indicated that they used the finance to change business model, 8% indicated that they used the finance for debt repayments, 5% indicated that they used the finance to refinance existing debt, 4% indicated that they used the finance for consolidation of existing debt, 8% indicated that they used the finance for something else and 2% indicated that they don't kn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52819" cy="4544142"/>
                    </a:xfrm>
                    <a:prstGeom prst="rect">
                      <a:avLst/>
                    </a:prstGeom>
                    <a:noFill/>
                    <a:ln>
                      <a:noFill/>
                    </a:ln>
                  </pic:spPr>
                </pic:pic>
              </a:graphicData>
            </a:graphic>
          </wp:inline>
        </w:drawing>
      </w:r>
    </w:p>
    <w:p w14:paraId="6D947B5B" w14:textId="71C86860" w:rsidR="000D1FEE" w:rsidRDefault="0003413F" w:rsidP="0003413F">
      <w:pPr>
        <w:pStyle w:val="Caption"/>
      </w:pPr>
      <w:r w:rsidRPr="00211470">
        <w:t xml:space="preserve">Source: London Economics’ and </w:t>
      </w:r>
      <w:r w:rsidR="00BE4C3E" w:rsidRPr="00211470">
        <w:t>Ipsos</w:t>
      </w:r>
      <w:r w:rsidRPr="00211470">
        <w:t>’ analysis</w:t>
      </w:r>
      <w:r w:rsidR="00C17687" w:rsidRPr="00211470">
        <w:t xml:space="preserve"> of survey data</w:t>
      </w:r>
      <w:r w:rsidR="002B18A5">
        <w:t xml:space="preserve">. </w:t>
      </w:r>
      <w:r w:rsidR="002B18A5" w:rsidRPr="00D0457A">
        <w:t xml:space="preserve">Base: All RLS </w:t>
      </w:r>
      <w:r w:rsidR="002B18A5">
        <w:t xml:space="preserve">1.0 </w:t>
      </w:r>
      <w:r w:rsidR="002B18A5" w:rsidRPr="00D0457A">
        <w:t>borrowers (242)</w:t>
      </w:r>
      <w:r w:rsidR="002B18A5">
        <w:t>.</w:t>
      </w:r>
    </w:p>
    <w:p w14:paraId="0B21712C" w14:textId="4C63E2AB" w:rsidR="00C74001" w:rsidRDefault="4EB78A9D" w:rsidP="00952A4E">
      <w:r>
        <w:t xml:space="preserve">The uses of the finance extended under RLS 1.0 </w:t>
      </w:r>
      <w:r w:rsidR="002E562D">
        <w:t>were</w:t>
      </w:r>
      <w:r>
        <w:t xml:space="preserve"> broadly similar to those reported by borrowers under the Covid-19 Loan Guarantee Schemes. 60% of BBLS and 68% of CBILS/CLBILS reported that they used their finance for day</w:t>
      </w:r>
      <w:r w:rsidR="00094636">
        <w:t>-</w:t>
      </w:r>
      <w:r>
        <w:t>to</w:t>
      </w:r>
      <w:r w:rsidR="00094636">
        <w:t>-</w:t>
      </w:r>
      <w:r>
        <w:t>day costs and expenses, also the most prevalent use of finance provided under these schemes.</w:t>
      </w:r>
      <w:r w:rsidR="00C74001">
        <w:rPr>
          <w:rStyle w:val="FootnoteReference"/>
        </w:rPr>
        <w:footnoteReference w:id="45"/>
      </w:r>
      <w:r>
        <w:t xml:space="preserve"> However, borrowers under BBLS (34%) and CBILS/CLBILS (32%) were far more likely to report that they used their finance to provide financial security and headroom than borrowers under RLS 1.0 (18%).</w:t>
      </w:r>
      <w:r w:rsidR="00C74001">
        <w:rPr>
          <w:rStyle w:val="FootnoteReference"/>
        </w:rPr>
        <w:footnoteReference w:id="46"/>
      </w:r>
      <w:r>
        <w:t xml:space="preserve"> This is consistent with the fact that, rather than purely focused on financial security and business survival, the objectives of RLS 1.0 also include a growth aspect.</w:t>
      </w:r>
    </w:p>
    <w:p w14:paraId="02137997" w14:textId="283C052D" w:rsidR="00952A4E" w:rsidRDefault="00C74001" w:rsidP="00952A4E">
      <w:r>
        <w:t>Borrowers were then asked which of these was their</w:t>
      </w:r>
      <w:r w:rsidR="00952A4E">
        <w:t xml:space="preserve"> main use of RLS 1.0 finance</w:t>
      </w:r>
      <w:r>
        <w:t>. B</w:t>
      </w:r>
      <w:r w:rsidR="00952A4E">
        <w:t xml:space="preserve">orrowers were most likely to say it was for </w:t>
      </w:r>
      <w:r w:rsidR="00D61647">
        <w:t>day-to-day</w:t>
      </w:r>
      <w:r w:rsidR="00952A4E">
        <w:t xml:space="preserve"> costs and expenses (43%), followed by the purchase of materials and/or goods (17%). A further 9% of borrowers reported that their main use of the finance was to pay staff salaries, whilst 7% of borrowers said that their main use of RLS 1.0 finance was for financial security or headroom.</w:t>
      </w:r>
    </w:p>
    <w:p w14:paraId="24D8E9DE" w14:textId="234A7692" w:rsidR="00211470" w:rsidRPr="00237000" w:rsidRDefault="00211470" w:rsidP="00211470">
      <w:pPr>
        <w:pStyle w:val="Heading5"/>
      </w:pPr>
      <w:bookmarkStart w:id="47" w:name="_Ref152232364"/>
      <w:r w:rsidRPr="00AF7606">
        <w:t xml:space="preserve">Figure </w:t>
      </w:r>
      <w:r>
        <w:fldChar w:fldCharType="begin"/>
      </w:r>
      <w:r>
        <w:instrText xml:space="preserve"> SEQ Figure \* ARABIC </w:instrText>
      </w:r>
      <w:r>
        <w:fldChar w:fldCharType="separate"/>
      </w:r>
      <w:r w:rsidR="001525E9">
        <w:rPr>
          <w:noProof/>
        </w:rPr>
        <w:t>14</w:t>
      </w:r>
      <w:r>
        <w:rPr>
          <w:noProof/>
        </w:rPr>
        <w:fldChar w:fldCharType="end"/>
      </w:r>
      <w:bookmarkEnd w:id="47"/>
      <w:r w:rsidRPr="00AF7606">
        <w:t xml:space="preserve">: </w:t>
      </w:r>
      <w:r>
        <w:t>Main use of finance by RLS 1.0 borrowers</w:t>
      </w:r>
    </w:p>
    <w:p w14:paraId="3090A8F7" w14:textId="1A2B7901" w:rsidR="00211470" w:rsidRDefault="00A83806" w:rsidP="00211470">
      <w:pPr>
        <w:pStyle w:val="Caption"/>
      </w:pPr>
      <w:r>
        <w:rPr>
          <w:noProof/>
        </w:rPr>
        <w:drawing>
          <wp:inline distT="0" distB="0" distL="0" distR="0" wp14:anchorId="08A2FB36" wp14:editId="2EC32C45">
            <wp:extent cx="6209731" cy="4512829"/>
            <wp:effectExtent l="0" t="0" r="635" b="2540"/>
            <wp:docPr id="1232882928" name="Picture 7" descr="This figure shows the main use of finance by RLS 1.0 borrowers. 43% of borrowers surveyed indicated that their main use of the finance was day to day costs/expenses, 17% indicated that their main use of the finance was the purchase of materials and/or goods, 9% indicated that their main use of the finance was to pay staff salaries, 7% indicated that their main use of the finance was financial security, 4% indicated that their main use of the finance was to change business model, 4% indicated that their main use of the finance was to introduce new goods/services, 2% indicated that their main use of the finance was for adjustments to working practices, 2% indicated that their main use of the finance was for consolidation of existing debt, 1% indicated that their main use of the finance was for debt repayments, 1% indicated that their main use of the finance was to refinance existing debt, 7% indicated that their main use of the finance was something other to those previously mentioned and 2% indicated that they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82928" name="Picture 7" descr="This figure shows the main use of finance by RLS 1.0 borrowers. 43% of borrowers surveyed indicated that their main use of the finance was day to day costs/expenses, 17% indicated that their main use of the finance was the purchase of materials and/or goods, 9% indicated that their main use of the finance was to pay staff salaries, 7% indicated that their main use of the finance was financial security, 4% indicated that their main use of the finance was to change business model, 4% indicated that their main use of the finance was to introduce new goods/services, 2% indicated that their main use of the finance was for adjustments to working practices, 2% indicated that their main use of the finance was for consolidation of existing debt, 1% indicated that their main use of the finance was for debt repayments, 1% indicated that their main use of the finance was to refinance existing debt, 7% indicated that their main use of the finance was something other to those previously mentioned and 2% indicated that they don't kn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3287" cy="4515413"/>
                    </a:xfrm>
                    <a:prstGeom prst="rect">
                      <a:avLst/>
                    </a:prstGeom>
                    <a:noFill/>
                    <a:ln>
                      <a:noFill/>
                    </a:ln>
                  </pic:spPr>
                </pic:pic>
              </a:graphicData>
            </a:graphic>
          </wp:inline>
        </w:drawing>
      </w:r>
    </w:p>
    <w:p w14:paraId="38AED1DD" w14:textId="4860AEB7" w:rsidR="00211470" w:rsidRPr="002B18A5" w:rsidRDefault="00211470" w:rsidP="00211470">
      <w:pPr>
        <w:pStyle w:val="Caption"/>
        <w:rPr>
          <w:b/>
          <w:bCs/>
        </w:rPr>
      </w:pPr>
      <w:r w:rsidRPr="00211470">
        <w:t>Source: London Economics’ and Ipsos’ analysis of survey data</w:t>
      </w:r>
      <w:r w:rsidR="002B18A5">
        <w:t xml:space="preserve">. </w:t>
      </w:r>
      <w:r w:rsidR="002B18A5" w:rsidRPr="00D0457A">
        <w:t xml:space="preserve">Base: All RLS </w:t>
      </w:r>
      <w:r w:rsidR="002B18A5">
        <w:t xml:space="preserve">1.0 </w:t>
      </w:r>
      <w:r w:rsidR="002B18A5" w:rsidRPr="00D0457A">
        <w:t>borrowers (242)</w:t>
      </w:r>
      <w:r w:rsidR="002B18A5">
        <w:t>.</w:t>
      </w:r>
    </w:p>
    <w:p w14:paraId="141AD387" w14:textId="1FC6DA58" w:rsidR="00C74001" w:rsidRDefault="4EB78A9D" w:rsidP="00974FE8">
      <w:r>
        <w:t>As above, the main use of the finance reported by borrowers under RLS 1.0 is quite similar to that reported by borrowers under the Covid-19 Loan Guarantee Schemes. 37% of BBLS borrowers and 46% of CBILS/CLBILS borrowers (a plurality in both cases) reported that their main use of finance was day</w:t>
      </w:r>
      <w:r w:rsidR="00094636">
        <w:t>-</w:t>
      </w:r>
      <w:r>
        <w:t>to</w:t>
      </w:r>
      <w:r w:rsidR="00094636">
        <w:t>-</w:t>
      </w:r>
      <w:r>
        <w:t>day expenses.</w:t>
      </w:r>
      <w:r w:rsidR="00C74001">
        <w:rPr>
          <w:rStyle w:val="FootnoteReference"/>
        </w:rPr>
        <w:footnoteReference w:id="47"/>
      </w:r>
      <w:r>
        <w:t xml:space="preserve"> </w:t>
      </w:r>
      <w:r w:rsidR="002E562D">
        <w:rPr>
          <w:lang w:val="en-US"/>
        </w:rPr>
        <w:t>A</w:t>
      </w:r>
      <w:r w:rsidR="002E562D">
        <w:t>gain, the main difference is that</w:t>
      </w:r>
      <w:r w:rsidR="00C236F3">
        <w:t xml:space="preserve"> substantially more</w:t>
      </w:r>
      <w:r w:rsidR="002E562D">
        <w:t xml:space="preserve"> BBLS borrowers (14%) and CBILS/CLBILS borrowers (13%) </w:t>
      </w:r>
      <w:r w:rsidR="00C236F3">
        <w:t>than RLS 1.0 borrowers (7%) used</w:t>
      </w:r>
      <w:r w:rsidR="002E562D">
        <w:t xml:space="preserve"> their </w:t>
      </w:r>
      <w:r>
        <w:t>finance to provide financial security.</w:t>
      </w:r>
      <w:r w:rsidR="00C74001">
        <w:rPr>
          <w:rStyle w:val="FootnoteReference"/>
        </w:rPr>
        <w:footnoteReference w:id="48"/>
      </w:r>
    </w:p>
    <w:p w14:paraId="4B5CBCED" w14:textId="0CA0E917" w:rsidR="00C74001" w:rsidRPr="00974FE8" w:rsidRDefault="00974FE8" w:rsidP="00974FE8">
      <w:r>
        <w:t xml:space="preserve">The fact that the finance was used by a substantial majority of borrowers to pay various different kinds of bills and provide a safety net is indicative of an impact of RLS 1.0 on business survival. The impact of the scheme on business survival is explored in detail in the next section. </w:t>
      </w:r>
    </w:p>
    <w:p w14:paraId="56192838" w14:textId="5AE57CC2" w:rsidR="00A51F3F" w:rsidRPr="009B5228" w:rsidRDefault="00A51F3F" w:rsidP="00495466">
      <w:pPr>
        <w:pStyle w:val="Heading3"/>
      </w:pPr>
      <w:bookmarkStart w:id="48" w:name="_Ref90947789"/>
      <w:r w:rsidRPr="009B5228">
        <w:t>Impact on business survival</w:t>
      </w:r>
      <w:bookmarkEnd w:id="48"/>
    </w:p>
    <w:p w14:paraId="13FCC7C0" w14:textId="4BD4CC41" w:rsidR="00383726" w:rsidRDefault="5DEA1FCA" w:rsidP="00396858">
      <w:r>
        <w:t>One of the aims of RLS</w:t>
      </w:r>
      <w:r w:rsidR="2F77D233" w:rsidRPr="00EF0601">
        <w:t xml:space="preserve"> 1.0</w:t>
      </w:r>
      <w:r w:rsidR="408F4852" w:rsidRPr="00EF0601">
        <w:t xml:space="preserve"> </w:t>
      </w:r>
      <w:r>
        <w:t>was</w:t>
      </w:r>
      <w:r w:rsidR="23A410D9" w:rsidRPr="00EF0601">
        <w:t xml:space="preserve"> to provide</w:t>
      </w:r>
      <w:r w:rsidR="408F4852" w:rsidRPr="00EF0601">
        <w:t xml:space="preserve"> </w:t>
      </w:r>
      <w:r w:rsidR="06AFE2E3" w:rsidRPr="00EF0601">
        <w:t>borrowers</w:t>
      </w:r>
      <w:r w:rsidR="408F4852" w:rsidRPr="00EF0601">
        <w:t xml:space="preserve"> with a lifeline </w:t>
      </w:r>
      <w:r w:rsidR="78C881FD" w:rsidRPr="00EF0601">
        <w:t>enabling</w:t>
      </w:r>
      <w:r w:rsidR="408F4852" w:rsidRPr="00EF0601">
        <w:t xml:space="preserve"> them to honour their immediate obligations despite lower revenue. </w:t>
      </w:r>
      <w:r w:rsidR="3661966B" w:rsidRPr="00EF0601">
        <w:t xml:space="preserve">This report estimates the impact of </w:t>
      </w:r>
      <w:r w:rsidR="2F77D233" w:rsidRPr="00EF0601">
        <w:t>RLS 1.0</w:t>
      </w:r>
      <w:r w:rsidR="0B0EC5B6" w:rsidRPr="00EF0601">
        <w:t xml:space="preserve"> </w:t>
      </w:r>
      <w:r w:rsidR="3661966B" w:rsidRPr="00EF0601">
        <w:t xml:space="preserve">on </w:t>
      </w:r>
      <w:r w:rsidR="408F4852" w:rsidRPr="00EF0601">
        <w:t>the survival of businesses</w:t>
      </w:r>
      <w:r w:rsidR="2C0830B3" w:rsidRPr="00EF0601">
        <w:t xml:space="preserve"> by </w:t>
      </w:r>
      <w:r>
        <w:t>providing an estimate of</w:t>
      </w:r>
      <w:r w:rsidR="2C0830B3" w:rsidRPr="00EF0601">
        <w:t xml:space="preserve"> the counterfactual </w:t>
      </w:r>
      <w:r w:rsidR="0E2BA6A8">
        <w:t>closure</w:t>
      </w:r>
      <w:r w:rsidR="2C0830B3" w:rsidRPr="00EF0601">
        <w:t xml:space="preserve"> rate</w:t>
      </w:r>
      <w:r>
        <w:t xml:space="preserve"> among surviving borrowers in the absence of the scheme</w:t>
      </w:r>
      <w:r w:rsidR="2C0830B3" w:rsidRPr="00EF0601">
        <w:t xml:space="preserve">. </w:t>
      </w:r>
      <w:r w:rsidR="408F4852" w:rsidRPr="00EF0601">
        <w:t xml:space="preserve">The counterfactual </w:t>
      </w:r>
      <w:r w:rsidR="001D67CC">
        <w:t>closure</w:t>
      </w:r>
      <w:r w:rsidR="408F4852" w:rsidRPr="00EF0601">
        <w:t xml:space="preserve"> rate is estimated using a survey question which asked businesses to assess the </w:t>
      </w:r>
      <w:r w:rsidR="002E562D" w:rsidRPr="00EF0601">
        <w:t>likelihood</w:t>
      </w:r>
      <w:r w:rsidR="002A09F9">
        <w:t xml:space="preserve"> that</w:t>
      </w:r>
      <w:r w:rsidR="002E562D" w:rsidRPr="00EF0601">
        <w:t xml:space="preserve"> they </w:t>
      </w:r>
      <w:r w:rsidR="408F4852" w:rsidRPr="00EF0601">
        <w:t xml:space="preserve">would have permanently closed before the end of last year </w:t>
      </w:r>
      <w:r w:rsidR="2CB68549" w:rsidRPr="00EF0601">
        <w:t>i</w:t>
      </w:r>
      <w:r w:rsidR="408F4852" w:rsidRPr="00EF0601">
        <w:t xml:space="preserve">f they had not received funding from </w:t>
      </w:r>
      <w:r w:rsidR="002E562D">
        <w:t>RLS</w:t>
      </w:r>
      <w:r w:rsidR="2C0830B3" w:rsidRPr="00EF0601">
        <w:t xml:space="preserve"> 1.0</w:t>
      </w:r>
      <w:r w:rsidR="408F4852" w:rsidRPr="00EF0601">
        <w:t>.</w:t>
      </w:r>
      <w:r w:rsidR="00B30A83" w:rsidRPr="00EF0601">
        <w:rPr>
          <w:rStyle w:val="FootnoteReference"/>
        </w:rPr>
        <w:footnoteReference w:id="49"/>
      </w:r>
      <w:r w:rsidR="31659449" w:rsidRPr="00EF0601">
        <w:rPr>
          <w:vertAlign w:val="superscript"/>
        </w:rPr>
        <w:t>,</w:t>
      </w:r>
      <w:r w:rsidR="00396858" w:rsidRPr="00EF0601">
        <w:rPr>
          <w:rStyle w:val="FootnoteReference"/>
        </w:rPr>
        <w:footnoteReference w:id="50"/>
      </w:r>
      <w:r>
        <w:t xml:space="preserve"> </w:t>
      </w:r>
      <w:r w:rsidR="408F4852" w:rsidRPr="00EF0601">
        <w:t xml:space="preserve">It is estimated that </w:t>
      </w:r>
      <w:r w:rsidR="2C0830B3" w:rsidRPr="00EF0601">
        <w:t>12</w:t>
      </w:r>
      <w:r w:rsidR="09305A85" w:rsidRPr="00EF0601">
        <w:t xml:space="preserve">% </w:t>
      </w:r>
      <w:r w:rsidR="00744E99">
        <w:t>of RLS 1.0 borrowers that are still trading would have definitely ceased trading if they had not received finance under RLS 1.0 and that a further 47%</w:t>
      </w:r>
      <w:r w:rsidR="09305A85" w:rsidRPr="00EF0601">
        <w:t xml:space="preserve"> </w:t>
      </w:r>
      <w:r w:rsidR="408F4852" w:rsidRPr="00EF0601">
        <w:t xml:space="preserve">would have </w:t>
      </w:r>
      <w:r w:rsidR="00744E99">
        <w:t xml:space="preserve">been very or fairly likely to have </w:t>
      </w:r>
      <w:r w:rsidR="408F4852" w:rsidRPr="00EF0601">
        <w:t xml:space="preserve">ceased trading if they had not received </w:t>
      </w:r>
      <w:r>
        <w:t>finance under</w:t>
      </w:r>
      <w:r w:rsidR="408F4852" w:rsidRPr="00EF0601">
        <w:t xml:space="preserve"> </w:t>
      </w:r>
      <w:r>
        <w:t>RLS</w:t>
      </w:r>
      <w:r w:rsidR="2C0830B3" w:rsidRPr="00EF0601">
        <w:t xml:space="preserve"> 1.0</w:t>
      </w:r>
      <w:r w:rsidR="408F4852" w:rsidRPr="00EF0601">
        <w:t>.</w:t>
      </w:r>
      <w:r w:rsidR="2C0830B3">
        <w:t xml:space="preserve"> </w:t>
      </w:r>
      <w:r w:rsidR="28F2438F" w:rsidRPr="00276FCD">
        <w:t xml:space="preserve">This is presented graphically, showing the breakdown of responses that are included in the upper estimate, in </w:t>
      </w:r>
      <w:r w:rsidR="00276FCD">
        <w:fldChar w:fldCharType="begin"/>
      </w:r>
      <w:r w:rsidR="00276FCD">
        <w:instrText xml:space="preserve"> REF _Ref152245793 \h </w:instrText>
      </w:r>
      <w:r w:rsidR="00276FCD">
        <w:fldChar w:fldCharType="separate"/>
      </w:r>
      <w:r w:rsidR="001525E9" w:rsidRPr="00AF7606">
        <w:t xml:space="preserve">Figure </w:t>
      </w:r>
      <w:r w:rsidR="001525E9">
        <w:rPr>
          <w:noProof/>
        </w:rPr>
        <w:t>15</w:t>
      </w:r>
      <w:r w:rsidR="00276FCD">
        <w:fldChar w:fldCharType="end"/>
      </w:r>
      <w:r w:rsidR="28F2438F" w:rsidRPr="00276FCD">
        <w:t xml:space="preserve">. </w:t>
      </w:r>
    </w:p>
    <w:p w14:paraId="7B141ADB" w14:textId="48E5E545" w:rsidR="00276FCD" w:rsidRDefault="00276FCD" w:rsidP="00E13C85">
      <w:pPr>
        <w:pStyle w:val="Heading5"/>
      </w:pPr>
      <w:bookmarkStart w:id="49" w:name="_Ref152245793"/>
      <w:r w:rsidRPr="00AF7606">
        <w:t xml:space="preserve">Figure </w:t>
      </w:r>
      <w:r>
        <w:fldChar w:fldCharType="begin"/>
      </w:r>
      <w:r>
        <w:instrText xml:space="preserve"> SEQ Figure \* ARABIC </w:instrText>
      </w:r>
      <w:r>
        <w:fldChar w:fldCharType="separate"/>
      </w:r>
      <w:r w:rsidR="001525E9">
        <w:rPr>
          <w:noProof/>
        </w:rPr>
        <w:t>15</w:t>
      </w:r>
      <w:r>
        <w:rPr>
          <w:noProof/>
        </w:rPr>
        <w:fldChar w:fldCharType="end"/>
      </w:r>
      <w:bookmarkEnd w:id="49"/>
      <w:r w:rsidRPr="00AF7606">
        <w:t xml:space="preserve">: </w:t>
      </w:r>
      <w:r w:rsidR="00E13C85">
        <w:t>Self-reported impact of finance under RLS 1.0 in preventing business closure</w:t>
      </w:r>
    </w:p>
    <w:p w14:paraId="6A454F10" w14:textId="2AC4F308" w:rsidR="00276FCD" w:rsidRPr="002B18A5" w:rsidRDefault="001B7D43" w:rsidP="00276FCD">
      <w:pPr>
        <w:pStyle w:val="Caption"/>
        <w:rPr>
          <w:b/>
          <w:bCs/>
        </w:rPr>
      </w:pPr>
      <w:r>
        <w:rPr>
          <w:noProof/>
        </w:rPr>
        <w:drawing>
          <wp:inline distT="0" distB="0" distL="0" distR="0" wp14:anchorId="5D06079F" wp14:editId="58B069C3">
            <wp:extent cx="6067425" cy="3785501"/>
            <wp:effectExtent l="0" t="0" r="0" b="5715"/>
            <wp:docPr id="1893532370" name="Picture 2" descr="This figure shows the self-reported impact of finance under RLS 1.0 in preventing business closure. 12% of RLS 1.0 borrowers surveyed indicated that they definitely would have closed without their loan, and 59% said they definitely would have closed or would have been very or fairly likely to have closed without their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32370" name="Picture 2" descr="This figure shows the self-reported impact of finance under RLS 1.0 in preventing business closure. 12% of RLS 1.0 borrowers surveyed indicated that they definitely would have closed without their loan, and 59% said they definitely would have closed or would have been very or fairly likely to have closed without their lo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3954" cy="3789574"/>
                    </a:xfrm>
                    <a:prstGeom prst="rect">
                      <a:avLst/>
                    </a:prstGeom>
                    <a:noFill/>
                  </pic:spPr>
                </pic:pic>
              </a:graphicData>
            </a:graphic>
          </wp:inline>
        </w:drawing>
      </w:r>
      <w:r w:rsidR="00276FCD" w:rsidRPr="00211470">
        <w:t>Source: London Economics’ and Ipsos’ analysis of survey data</w:t>
      </w:r>
      <w:r w:rsidR="00276FCD">
        <w:t xml:space="preserve">. </w:t>
      </w:r>
      <w:r w:rsidR="00276FCD" w:rsidRPr="00D0457A">
        <w:t xml:space="preserve">Base: All RLS </w:t>
      </w:r>
      <w:r w:rsidR="00276FCD">
        <w:t xml:space="preserve">1.0 </w:t>
      </w:r>
      <w:r w:rsidR="00276FCD" w:rsidRPr="00D0457A">
        <w:t>borrowers (242)</w:t>
      </w:r>
      <w:r w:rsidR="00276FCD">
        <w:t>.</w:t>
      </w:r>
    </w:p>
    <w:p w14:paraId="3FD5E88C" w14:textId="549B8242" w:rsidR="00214686" w:rsidRDefault="00973AA4" w:rsidP="00396858">
      <w:r>
        <w:t xml:space="preserve">Variations in the impact of RLS 1.0 according to sector and region were also explored in the evaluation. </w:t>
      </w:r>
      <w:r w:rsidR="00EF0601">
        <w:t xml:space="preserve">Borrowers based in London were more likely to report that they would have ceased trading if they did not receive RLS 1.0 finance than borrowers in other regions. </w:t>
      </w:r>
      <w:r w:rsidR="00433581">
        <w:t xml:space="preserve">This may be because RLS 1.0 borrowers from London typically experienced more kinds of business interruptions as a result of the pandemic than RLS 1.0 borrowers in other regions (see </w:t>
      </w:r>
      <w:r w:rsidR="00684C23">
        <w:fldChar w:fldCharType="begin"/>
      </w:r>
      <w:r w:rsidR="00684C23">
        <w:instrText xml:space="preserve"> REF _Ref153381231 \h </w:instrText>
      </w:r>
      <w:r w:rsidR="00684C23">
        <w:fldChar w:fldCharType="separate"/>
      </w:r>
      <w:r w:rsidR="001525E9">
        <w:t xml:space="preserve">Figure </w:t>
      </w:r>
      <w:r w:rsidR="001525E9">
        <w:rPr>
          <w:noProof/>
        </w:rPr>
        <w:t>16</w:t>
      </w:r>
      <w:r w:rsidR="00684C23">
        <w:fldChar w:fldCharType="end"/>
      </w:r>
      <w:r w:rsidR="00684C23">
        <w:t xml:space="preserve"> </w:t>
      </w:r>
      <w:r w:rsidR="00433581">
        <w:t>below).</w:t>
      </w:r>
      <w:r w:rsidR="006063A4">
        <w:t xml:space="preserve"> In particular, borrowers in London were more likely to experience major obstacles related to supply chain disruptions (61%), access to external finance (57%), availability of staff (39%) and </w:t>
      </w:r>
      <w:r w:rsidR="002E562D">
        <w:t xml:space="preserve">changes </w:t>
      </w:r>
      <w:r w:rsidR="002A09F9">
        <w:t>t</w:t>
      </w:r>
      <w:r w:rsidR="002E562D">
        <w:t>o</w:t>
      </w:r>
      <w:r w:rsidR="002A09F9">
        <w:t xml:space="preserve"> ensure</w:t>
      </w:r>
      <w:r w:rsidR="002E562D">
        <w:t xml:space="preserve"> Covid-19 </w:t>
      </w:r>
      <w:r w:rsidR="006063A4">
        <w:t xml:space="preserve">compliance (25%) than borrowers in </w:t>
      </w:r>
      <w:r w:rsidR="00F47BCF">
        <w:t>every other region</w:t>
      </w:r>
      <w:r w:rsidR="006063A4">
        <w:t xml:space="preserve">. </w:t>
      </w:r>
    </w:p>
    <w:p w14:paraId="50309011" w14:textId="7E0017AC" w:rsidR="00684C23" w:rsidRDefault="00684C23" w:rsidP="00684C23">
      <w:pPr>
        <w:pStyle w:val="Heading5"/>
      </w:pPr>
      <w:bookmarkStart w:id="50" w:name="_Ref153381231"/>
      <w:r>
        <w:t xml:space="preserve">Figure </w:t>
      </w:r>
      <w:r w:rsidRPr="1DBB6A12">
        <w:fldChar w:fldCharType="begin"/>
      </w:r>
      <w:r>
        <w:instrText xml:space="preserve"> SEQ Figure \* ARABIC </w:instrText>
      </w:r>
      <w:r w:rsidRPr="1DBB6A12">
        <w:fldChar w:fldCharType="separate"/>
      </w:r>
      <w:r w:rsidR="001525E9">
        <w:rPr>
          <w:noProof/>
        </w:rPr>
        <w:t>16</w:t>
      </w:r>
      <w:r w:rsidRPr="1DBB6A12">
        <w:rPr>
          <w:noProof/>
        </w:rPr>
        <w:fldChar w:fldCharType="end"/>
      </w:r>
      <w:bookmarkEnd w:id="50"/>
      <w:r>
        <w:t>: Major obstacles faced by borrowers between March 2020 and March 2021 by region</w:t>
      </w:r>
      <w:r w:rsidR="00E31B89">
        <w:t xml:space="preserve"> </w:t>
      </w:r>
    </w:p>
    <w:p w14:paraId="69BD5B02" w14:textId="23818542" w:rsidR="00F65196" w:rsidRPr="00F65196" w:rsidRDefault="00F65196" w:rsidP="0014144A">
      <w:r>
        <w:rPr>
          <w:noProof/>
        </w:rPr>
        <w:drawing>
          <wp:inline distT="0" distB="0" distL="0" distR="0" wp14:anchorId="3AE1F50A" wp14:editId="3CBB5115">
            <wp:extent cx="6447790" cy="3223895"/>
            <wp:effectExtent l="0" t="0" r="0" b="0"/>
            <wp:docPr id="821864070" name="Picture 4" descr="This figure shows the major obstacles faced by borrowers between March 2020 and March 2021 by region. For &quot;East &amp; Midlands&quot;, 65% of RLS 1.0 borrowers surveyed described changes in market demand as a major obstacle, 41% described supply chain disruptions as a major obstacle, 48% described issues with late payment as a major obstacle, 41% described access to external finance as a major obstacle, 33% described availability of staff as a major obstacle, 15% described changes for Covid-19 compliance as a major obstacle and 26% described increased debt levels as a major obstacle. For &quot;London&quot;, 64% of RLS 1.0 borrowers surveyed described changes in market demand as a major obstacle, 61% described supply chain disruptions as a major obstacle, 43% described issues with late payment as a major obstacle, 57% described access to external finance as a major obstacle, 39% described availability of staff as a major obstacle, 25% described changes for Covid-19 compliance as a major obstacle and 21% described increased debt levels as a major obstacle. For &quot;North &amp; Yorkshire&quot;, 61% of RLS 1.0 borrowers surveyed described changes in market demand as a major obstacle, 52% described supply chain disruptions as a major obstacle, 50% described issues with late payment as a major obstacle, 43% described access to external finance as a major obstacle, 28% described availability of staff as a major obstacle, 22% described changes for Covid-19 compliance as a major obstacle and 17% described increased debt levels as a major obstacle. For &quot;Scotland/Wales/NI&quot;, 56% of RLS 1.0 borrowers surveyed described changes in market demand as a major obstacle, 52% described supply chain disruptions as a major obstacle, 48% described issues with late payment as a major obstacle, 48% described access to external finance as a major obstacle, 16% described availability of staff as a major obstacle, 24% described changes for Covid-19 compliance as a major obstacle and 28% described increased debt levels as a major obstacle. For &quot;South&quot;, 54% of RLS 1.0 borrowers surveyed described changes in market demand as a major obstacle, 46% described supply chain disruptions as a major obstacle, 48% described issues with late payment as a major obstacle, 39% described access to external finance as a major obstacle, 25% described availability of staff as a major obstacle, 16% described changes for Covid-19 compliance as a major obstacle and 13% described increased debt levels as a major obst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64070" name="Picture 4" descr="This figure shows the major obstacles faced by borrowers between March 2020 and March 2021 by region. For &quot;East &amp; Midlands&quot;, 65% of RLS 1.0 borrowers surveyed described changes in market demand as a major obstacle, 41% described supply chain disruptions as a major obstacle, 48% described issues with late payment as a major obstacle, 41% described access to external finance as a major obstacle, 33% described availability of staff as a major obstacle, 15% described changes for Covid-19 compliance as a major obstacle and 26% described increased debt levels as a major obstacle. For &quot;London&quot;, 64% of RLS 1.0 borrowers surveyed described changes in market demand as a major obstacle, 61% described supply chain disruptions as a major obstacle, 43% described issues with late payment as a major obstacle, 57% described access to external finance as a major obstacle, 39% described availability of staff as a major obstacle, 25% described changes for Covid-19 compliance as a major obstacle and 21% described increased debt levels as a major obstacle. For &quot;North &amp; Yorkshire&quot;, 61% of RLS 1.0 borrowers surveyed described changes in market demand as a major obstacle, 52% described supply chain disruptions as a major obstacle, 50% described issues with late payment as a major obstacle, 43% described access to external finance as a major obstacle, 28% described availability of staff as a major obstacle, 22% described changes for Covid-19 compliance as a major obstacle and 17% described increased debt levels as a major obstacle. For &quot;Scotland/Wales/NI&quot;, 56% of RLS 1.0 borrowers surveyed described changes in market demand as a major obstacle, 52% described supply chain disruptions as a major obstacle, 48% described issues with late payment as a major obstacle, 48% described access to external finance as a major obstacle, 16% described availability of staff as a major obstacle, 24% described changes for Covid-19 compliance as a major obstacle and 28% described increased debt levels as a major obstacle. For &quot;South&quot;, 54% of RLS 1.0 borrowers surveyed described changes in market demand as a major obstacle, 46% described supply chain disruptions as a major obstacle, 48% described issues with late payment as a major obstacle, 39% described access to external finance as a major obstacle, 25% described availability of staff as a major obstacle, 16% described changes for Covid-19 compliance as a major obstacle and 13% described increased debt levels as a major obstacl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47790" cy="3223895"/>
                    </a:xfrm>
                    <a:prstGeom prst="rect">
                      <a:avLst/>
                    </a:prstGeom>
                  </pic:spPr>
                </pic:pic>
              </a:graphicData>
            </a:graphic>
          </wp:inline>
        </w:drawing>
      </w:r>
    </w:p>
    <w:p w14:paraId="7C6244C8" w14:textId="1CB32449" w:rsidR="00684C23" w:rsidRPr="00C31D26" w:rsidRDefault="00F65196" w:rsidP="00684C23">
      <w:pPr>
        <w:pStyle w:val="Caption"/>
      </w:pPr>
      <w:r>
        <w:t>N</w:t>
      </w:r>
      <w:r w:rsidR="00684C23">
        <w:t>ote: Regions are grouped due to low sample sizes. “East</w:t>
      </w:r>
      <w:r w:rsidR="00A83806">
        <w:t xml:space="preserve"> &amp; </w:t>
      </w:r>
      <w:r w:rsidR="00684C23">
        <w:t>Midlands” refers to the East Midlands, East of England and West Midlands regions. “North</w:t>
      </w:r>
      <w:r w:rsidR="00A83806">
        <w:t xml:space="preserve"> &amp; </w:t>
      </w:r>
      <w:r w:rsidR="00684C23">
        <w:t>Yorkshire” refers to the North East, North West and Yorkshire and The Humber. “South” refers to the South East and the South West. Source: London Economics’ and Ipsos’ analysis of survey data. Base: All RLS 1.0 borrowers (242).</w:t>
      </w:r>
    </w:p>
    <w:p w14:paraId="30207922" w14:textId="77777777" w:rsidR="00214686" w:rsidRDefault="00EF0601" w:rsidP="00396858">
      <w:r>
        <w:t xml:space="preserve">The impact of RLS 1.0 on business survival was broadly similar across sectors. However, the Production sector was notable for </w:t>
      </w:r>
      <w:r w:rsidR="0064220E">
        <w:t>its</w:t>
      </w:r>
      <w:r>
        <w:t xml:space="preserve"> larger proportion of businesses that reported that they definitely would have closed</w:t>
      </w:r>
      <w:r w:rsidR="003B57E0">
        <w:t xml:space="preserve">, but also </w:t>
      </w:r>
      <w:r w:rsidR="0064220E">
        <w:t>its</w:t>
      </w:r>
      <w:r w:rsidR="003B57E0">
        <w:t xml:space="preserve"> smaller proportion of businesses that reported that they were either very likely or fairly likely to close. </w:t>
      </w:r>
    </w:p>
    <w:p w14:paraId="58E90DED" w14:textId="57531BC8" w:rsidR="00EF0601" w:rsidRPr="00EF0601" w:rsidRDefault="0064220E" w:rsidP="00396858">
      <w:r>
        <w:t>F</w:t>
      </w:r>
      <w:r w:rsidR="003B57E0">
        <w:t>ull breakdown</w:t>
      </w:r>
      <w:r>
        <w:t>s</w:t>
      </w:r>
      <w:r w:rsidR="003B57E0">
        <w:t xml:space="preserve"> of estimates of the impact of RLS 1.0 </w:t>
      </w:r>
      <w:r>
        <w:t xml:space="preserve">on survival </w:t>
      </w:r>
      <w:r w:rsidR="003B57E0">
        <w:t xml:space="preserve">by region and sector </w:t>
      </w:r>
      <w:r>
        <w:t>are</w:t>
      </w:r>
      <w:r w:rsidR="003B57E0">
        <w:t xml:space="preserve"> provided in </w:t>
      </w:r>
      <w:r w:rsidR="003B57E0">
        <w:fldChar w:fldCharType="begin"/>
      </w:r>
      <w:r w:rsidR="003B57E0">
        <w:instrText xml:space="preserve"> REF _Ref151995557 \h </w:instrText>
      </w:r>
      <w:r w:rsidR="003B57E0">
        <w:fldChar w:fldCharType="separate"/>
      </w:r>
      <w:r w:rsidR="001525E9">
        <w:t xml:space="preserve">Table </w:t>
      </w:r>
      <w:r w:rsidR="001525E9">
        <w:rPr>
          <w:noProof/>
        </w:rPr>
        <w:t>25</w:t>
      </w:r>
      <w:r w:rsidR="003B57E0">
        <w:fldChar w:fldCharType="end"/>
      </w:r>
      <w:r w:rsidR="003B57E0">
        <w:t xml:space="preserve"> and </w:t>
      </w:r>
      <w:r w:rsidR="003B57E0">
        <w:fldChar w:fldCharType="begin"/>
      </w:r>
      <w:r w:rsidR="003B57E0">
        <w:instrText xml:space="preserve"> REF _Ref151995561 \h </w:instrText>
      </w:r>
      <w:r w:rsidR="003B57E0">
        <w:fldChar w:fldCharType="separate"/>
      </w:r>
      <w:r w:rsidR="001525E9">
        <w:t xml:space="preserve">Table </w:t>
      </w:r>
      <w:r w:rsidR="001525E9">
        <w:rPr>
          <w:noProof/>
        </w:rPr>
        <w:t>26</w:t>
      </w:r>
      <w:r w:rsidR="003B57E0">
        <w:fldChar w:fldCharType="end"/>
      </w:r>
      <w:r w:rsidR="003B57E0">
        <w:t xml:space="preserve"> in </w:t>
      </w:r>
      <w:r w:rsidR="003B57E0">
        <w:fldChar w:fldCharType="begin"/>
      </w:r>
      <w:r w:rsidR="003B57E0">
        <w:instrText xml:space="preserve"> REF _Ref149920057 \h </w:instrText>
      </w:r>
      <w:r w:rsidR="003B57E0">
        <w:fldChar w:fldCharType="separate"/>
      </w:r>
      <w:r w:rsidR="001525E9" w:rsidRPr="00B217EC">
        <w:t>Annex 3</w:t>
      </w:r>
      <w:r w:rsidR="003B57E0">
        <w:fldChar w:fldCharType="end"/>
      </w:r>
      <w:r w:rsidR="003B57E0">
        <w:t>.</w:t>
      </w:r>
      <w:r w:rsidR="001E7262">
        <w:t xml:space="preserve"> It should be noted that </w:t>
      </w:r>
      <w:r w:rsidR="00214686">
        <w:t xml:space="preserve">the base sizes for individual regions and sectors are low, and so the scale of differences in survival impacts for different subgroups may be in part driven by the small sample size. </w:t>
      </w:r>
    </w:p>
    <w:p w14:paraId="211D4708" w14:textId="01D60F06" w:rsidR="00170A91" w:rsidRPr="00EF0601" w:rsidRDefault="267A7265" w:rsidP="000D1FEE">
      <w:pPr>
        <w:rPr>
          <w:lang w:val="en-US"/>
        </w:rPr>
      </w:pPr>
      <w:r w:rsidRPr="00EF0601">
        <w:rPr>
          <w:lang w:val="en-US"/>
        </w:rPr>
        <w:t>It should be noted that</w:t>
      </w:r>
      <w:r w:rsidR="0E2BA6A8" w:rsidRPr="02AC3778">
        <w:rPr>
          <w:lang w:val="en-US"/>
        </w:rPr>
        <w:t xml:space="preserve"> as the impacts of RLS 1.0 presented here</w:t>
      </w:r>
      <w:r w:rsidRPr="00EF0601">
        <w:rPr>
          <w:lang w:val="en-US"/>
        </w:rPr>
        <w:t xml:space="preserve"> </w:t>
      </w:r>
      <w:r w:rsidR="0E2BA6A8" w:rsidRPr="02AC3778">
        <w:rPr>
          <w:lang w:val="en-US"/>
        </w:rPr>
        <w:t>are based on</w:t>
      </w:r>
      <w:r w:rsidRPr="00EF0601">
        <w:rPr>
          <w:lang w:val="en-US"/>
        </w:rPr>
        <w:t xml:space="preserve"> businesses' self-assessment of their survival prospects in the absence of </w:t>
      </w:r>
      <w:r w:rsidR="2C0830B3">
        <w:rPr>
          <w:lang w:val="en-US"/>
        </w:rPr>
        <w:t>RLS 1.0</w:t>
      </w:r>
      <w:r w:rsidR="0E2BA6A8" w:rsidRPr="02AC3778">
        <w:rPr>
          <w:lang w:val="en-US"/>
        </w:rPr>
        <w:t>, these estimates exclude the impacts of other schemes that borrowers may have participated in. The fact that businesses face uncertainty in assessing their survival prospects had they not accessed finance under RLS 1.0</w:t>
      </w:r>
      <w:r w:rsidR="0B0EC5B6" w:rsidRPr="00EF0601">
        <w:t xml:space="preserve"> </w:t>
      </w:r>
      <w:r w:rsidRPr="00EF0601">
        <w:rPr>
          <w:lang w:val="en-US"/>
        </w:rPr>
        <w:t xml:space="preserve">is partially reflected by the estimates being presented as a range, </w:t>
      </w:r>
      <w:r w:rsidR="0E2BA6A8" w:rsidRPr="02AC3778">
        <w:rPr>
          <w:lang w:val="en-US"/>
        </w:rPr>
        <w:t xml:space="preserve">however </w:t>
      </w:r>
      <w:r w:rsidRPr="00EF0601">
        <w:rPr>
          <w:lang w:val="en-US"/>
        </w:rPr>
        <w:t xml:space="preserve">these estimates should be interpreted with caution as </w:t>
      </w:r>
      <w:r w:rsidR="5DEA1FCA">
        <w:rPr>
          <w:lang w:val="en-US"/>
        </w:rPr>
        <w:t>previous evaluations have shown that impact estimates related to business survival can be higher when calculated using self-reported data</w:t>
      </w:r>
      <w:r w:rsidR="002E562D">
        <w:rPr>
          <w:lang w:val="en-US"/>
        </w:rPr>
        <w:t xml:space="preserve"> rather</w:t>
      </w:r>
      <w:r w:rsidR="5DEA1FCA">
        <w:rPr>
          <w:lang w:val="en-US"/>
        </w:rPr>
        <w:t xml:space="preserve"> than secondary data.</w:t>
      </w:r>
      <w:r w:rsidR="00383726">
        <w:rPr>
          <w:rStyle w:val="FootnoteReference"/>
          <w:lang w:val="en-US"/>
        </w:rPr>
        <w:footnoteReference w:id="51"/>
      </w:r>
    </w:p>
    <w:p w14:paraId="680CB846" w14:textId="31C0C78C" w:rsidR="005D44E9" w:rsidRPr="00B57160" w:rsidRDefault="005D44E9" w:rsidP="00495466">
      <w:pPr>
        <w:pStyle w:val="Heading3"/>
      </w:pPr>
      <w:r w:rsidRPr="00B57160">
        <w:t>Impact on turnover and employment</w:t>
      </w:r>
    </w:p>
    <w:p w14:paraId="097504AE" w14:textId="0CD1F8CF" w:rsidR="007D17D4" w:rsidRPr="003D3585" w:rsidRDefault="00EB3B6A" w:rsidP="004E52F1">
      <w:r w:rsidRPr="003D3585">
        <w:t xml:space="preserve">Econometric models are </w:t>
      </w:r>
      <w:r w:rsidR="001753F4" w:rsidRPr="003D3585">
        <w:t xml:space="preserve">used </w:t>
      </w:r>
      <w:r w:rsidRPr="003D3585">
        <w:t>t</w:t>
      </w:r>
      <w:r w:rsidR="003F048A" w:rsidRPr="003D3585">
        <w:t xml:space="preserve">o quantify the impacts of </w:t>
      </w:r>
      <w:r w:rsidR="003D3585" w:rsidRPr="003D3585">
        <w:t>Recovery Loan Scheme 1.0</w:t>
      </w:r>
      <w:r w:rsidR="003F048A" w:rsidRPr="003D3585">
        <w:t xml:space="preserve"> on </w:t>
      </w:r>
      <w:r w:rsidR="0022055A" w:rsidRPr="003D3585">
        <w:t>businesses</w:t>
      </w:r>
      <w:r w:rsidR="003F048A" w:rsidRPr="003D3585">
        <w:t xml:space="preserve">’ </w:t>
      </w:r>
      <w:r w:rsidRPr="003D3585">
        <w:t xml:space="preserve">turnover and employment. </w:t>
      </w:r>
      <w:r w:rsidR="005D44E9" w:rsidRPr="003D3585">
        <w:t xml:space="preserve">The </w:t>
      </w:r>
      <w:r w:rsidR="00693872" w:rsidRPr="003D3585">
        <w:t xml:space="preserve">econometric approach is based on the comparison of business outcomes of </w:t>
      </w:r>
      <w:r w:rsidR="00B4158C" w:rsidRPr="003D3585">
        <w:t>borrowers</w:t>
      </w:r>
      <w:r w:rsidR="00693872" w:rsidRPr="003D3585">
        <w:t xml:space="preserve"> and a group of non-</w:t>
      </w:r>
      <w:r w:rsidR="00B4158C" w:rsidRPr="003D3585">
        <w:t>borrowers</w:t>
      </w:r>
      <w:r w:rsidR="00693872" w:rsidRPr="003D3585">
        <w:t xml:space="preserve"> before and after the introduction of </w:t>
      </w:r>
      <w:r w:rsidR="003D3585" w:rsidRPr="003D3585">
        <w:t>RLS 1.0</w:t>
      </w:r>
      <w:r w:rsidR="00DE1AA1" w:rsidRPr="003D3585">
        <w:t xml:space="preserve"> (i.e.</w:t>
      </w:r>
      <w:r w:rsidRPr="003D3585">
        <w:t>,</w:t>
      </w:r>
      <w:r w:rsidR="00DE1AA1" w:rsidRPr="003D3585">
        <w:t xml:space="preserve"> the policy intervention)</w:t>
      </w:r>
      <w:r w:rsidR="00693872" w:rsidRPr="003D3585">
        <w:t xml:space="preserve">. </w:t>
      </w:r>
    </w:p>
    <w:p w14:paraId="6E9D1B92" w14:textId="22B3FD06" w:rsidR="00EB3B6A" w:rsidRPr="003D3585" w:rsidRDefault="007D17D4" w:rsidP="004E52F1">
      <w:r w:rsidRPr="003D3585">
        <w:t>The group of non-</w:t>
      </w:r>
      <w:r w:rsidR="00B4158C" w:rsidRPr="003D3585">
        <w:t>borrowers</w:t>
      </w:r>
      <w:r w:rsidRPr="003D3585">
        <w:t xml:space="preserve"> against which the outcomes of </w:t>
      </w:r>
      <w:r w:rsidR="00B4158C" w:rsidRPr="003D3585">
        <w:t>borrowers</w:t>
      </w:r>
      <w:r w:rsidRPr="003D3585">
        <w:t xml:space="preserve"> </w:t>
      </w:r>
      <w:r w:rsidR="00312B45" w:rsidRPr="003D3585">
        <w:t xml:space="preserve">are </w:t>
      </w:r>
      <w:r w:rsidRPr="003D3585">
        <w:t xml:space="preserve">compared </w:t>
      </w:r>
      <w:r w:rsidR="00EB3B6A" w:rsidRPr="003D3585">
        <w:t xml:space="preserve">was </w:t>
      </w:r>
      <w:r w:rsidRPr="003D3585">
        <w:t>chosen to be as similar as possible</w:t>
      </w:r>
      <w:r w:rsidR="00E34F48">
        <w:t xml:space="preserve"> (based on observable characteristics)</w:t>
      </w:r>
      <w:r w:rsidRPr="003D3585">
        <w:t xml:space="preserve"> to the sample of </w:t>
      </w:r>
      <w:r w:rsidR="00B4158C" w:rsidRPr="003D3585">
        <w:t>borrowers</w:t>
      </w:r>
      <w:r w:rsidRPr="003D3585">
        <w:t xml:space="preserve"> </w:t>
      </w:r>
      <w:r w:rsidR="00EB3B6A" w:rsidRPr="003D3585">
        <w:t>to</w:t>
      </w:r>
      <w:r w:rsidRPr="003D3585">
        <w:t xml:space="preserve"> ensure that any differences in outcomes </w:t>
      </w:r>
      <w:r w:rsidR="00EB3B6A" w:rsidRPr="003D3585">
        <w:t xml:space="preserve">were </w:t>
      </w:r>
      <w:r w:rsidRPr="003D3585">
        <w:t>most likely due to</w:t>
      </w:r>
      <w:r w:rsidR="003D3585" w:rsidRPr="003D3585">
        <w:t xml:space="preserve"> the</w:t>
      </w:r>
      <w:r w:rsidRPr="003D3585">
        <w:t xml:space="preserve"> impacts </w:t>
      </w:r>
      <w:r w:rsidR="003D3585" w:rsidRPr="003D3585">
        <w:t xml:space="preserve">of RLS 1.0 </w:t>
      </w:r>
      <w:r w:rsidRPr="003D3585">
        <w:t xml:space="preserve">rather than other differences between the two groups of businesses unrelated to </w:t>
      </w:r>
      <w:r w:rsidR="00B57160">
        <w:t>RLS</w:t>
      </w:r>
      <w:r w:rsidR="003D3585" w:rsidRPr="003D3585">
        <w:t xml:space="preserve"> 1.0</w:t>
      </w:r>
      <w:r w:rsidRPr="003D3585">
        <w:t xml:space="preserve">. </w:t>
      </w:r>
      <w:r w:rsidR="00EB3B6A" w:rsidRPr="003D3585">
        <w:t>T</w:t>
      </w:r>
      <w:r w:rsidRPr="003D3585">
        <w:t xml:space="preserve">o achieve </w:t>
      </w:r>
      <w:r w:rsidR="004F4A98" w:rsidRPr="003D3585">
        <w:t>this</w:t>
      </w:r>
      <w:r w:rsidR="00EB3B6A" w:rsidRPr="003D3585">
        <w:t xml:space="preserve"> in practice</w:t>
      </w:r>
      <w:r w:rsidR="004F4A98" w:rsidRPr="003D3585">
        <w:t xml:space="preserve">, </w:t>
      </w:r>
      <w:r w:rsidR="00524D07" w:rsidRPr="003D3585">
        <w:t>two steps were taken</w:t>
      </w:r>
      <w:r w:rsidR="00EB3B6A" w:rsidRPr="003D3585">
        <w:t>:</w:t>
      </w:r>
    </w:p>
    <w:p w14:paraId="15B4A2F3" w14:textId="372701E5" w:rsidR="00E23305" w:rsidRPr="003D3585" w:rsidRDefault="0368F5D0" w:rsidP="006E0879">
      <w:pPr>
        <w:pStyle w:val="ListNumber"/>
        <w:numPr>
          <w:ilvl w:val="0"/>
          <w:numId w:val="10"/>
        </w:numPr>
      </w:pPr>
      <w:r w:rsidRPr="003D3585">
        <w:t>N</w:t>
      </w:r>
      <w:r w:rsidR="5F955BF9" w:rsidRPr="003D3585">
        <w:t>on-</w:t>
      </w:r>
      <w:r w:rsidR="451EFBC5" w:rsidRPr="003D3585">
        <w:t xml:space="preserve">borrowing </w:t>
      </w:r>
      <w:r w:rsidR="5F955BF9" w:rsidRPr="003D3585">
        <w:t>businesses were screened during fieldwork based on whether they faced challenge</w:t>
      </w:r>
      <w:r w:rsidR="00513E24">
        <w:t>s</w:t>
      </w:r>
      <w:r w:rsidR="5F955BF9" w:rsidRPr="003D3585">
        <w:t xml:space="preserve"> or opportunities </w:t>
      </w:r>
      <w:r w:rsidR="79D941B7" w:rsidRPr="003D3585">
        <w:t>because of</w:t>
      </w:r>
      <w:r w:rsidR="5F955BF9" w:rsidRPr="003D3585">
        <w:t xml:space="preserve"> the </w:t>
      </w:r>
      <w:r w:rsidR="09C5127E" w:rsidRPr="003D3585">
        <w:t>Covid-19</w:t>
      </w:r>
      <w:r w:rsidR="5F955BF9" w:rsidRPr="003D3585">
        <w:t xml:space="preserve"> pandemic. This aim</w:t>
      </w:r>
      <w:r w:rsidR="79D941B7" w:rsidRPr="003D3585">
        <w:t>ed</w:t>
      </w:r>
      <w:r w:rsidR="5F955BF9" w:rsidRPr="003D3585">
        <w:t xml:space="preserve"> to ensure that non-</w:t>
      </w:r>
      <w:r w:rsidR="06AFE2E3" w:rsidRPr="003D3585">
        <w:t>borrowers</w:t>
      </w:r>
      <w:r w:rsidR="5F955BF9" w:rsidRPr="003D3585">
        <w:t xml:space="preserve"> were affected by the pandemic</w:t>
      </w:r>
      <w:r w:rsidR="5062C946" w:rsidRPr="003D3585">
        <w:t xml:space="preserve">, thereby potentially creating similar </w:t>
      </w:r>
      <w:r w:rsidR="281FF385">
        <w:t>issues</w:t>
      </w:r>
      <w:r w:rsidR="5062C946" w:rsidRPr="003D3585">
        <w:t xml:space="preserve"> to those experienced by </w:t>
      </w:r>
      <w:r w:rsidR="06AFE2E3" w:rsidRPr="003D3585">
        <w:t>borrowers</w:t>
      </w:r>
      <w:r w:rsidR="5062C946" w:rsidRPr="003D3585">
        <w:t>.</w:t>
      </w:r>
      <w:r w:rsidR="00E34F48">
        <w:rPr>
          <w:rStyle w:val="FootnoteReference"/>
        </w:rPr>
        <w:footnoteReference w:id="52"/>
      </w:r>
      <w:r w:rsidR="5062C946" w:rsidRPr="003D3585">
        <w:t xml:space="preserve"> </w:t>
      </w:r>
    </w:p>
    <w:p w14:paraId="18464031" w14:textId="05D67C60" w:rsidR="004F4A98" w:rsidRPr="003D3585" w:rsidRDefault="79D941B7" w:rsidP="006E0879">
      <w:pPr>
        <w:pStyle w:val="ListNumber"/>
        <w:numPr>
          <w:ilvl w:val="0"/>
          <w:numId w:val="10"/>
        </w:numPr>
      </w:pPr>
      <w:r w:rsidRPr="003D3585">
        <w:t>A</w:t>
      </w:r>
      <w:r w:rsidR="5062C946" w:rsidRPr="003D3585">
        <w:t xml:space="preserve">mong the sample of </w:t>
      </w:r>
      <w:r w:rsidR="75AC5961" w:rsidRPr="003D3585">
        <w:t>non-</w:t>
      </w:r>
      <w:r w:rsidR="06AFE2E3" w:rsidRPr="003D3585">
        <w:t>borrowers</w:t>
      </w:r>
      <w:r w:rsidR="5062C946" w:rsidRPr="003D3585">
        <w:t xml:space="preserve">, </w:t>
      </w:r>
      <w:r w:rsidR="75AC5961" w:rsidRPr="003D3585">
        <w:t>a ‘control’ group (i.e.</w:t>
      </w:r>
      <w:r w:rsidRPr="003D3585">
        <w:t>,</w:t>
      </w:r>
      <w:r w:rsidR="75AC5961" w:rsidRPr="003D3585">
        <w:t xml:space="preserve"> a comparison group) was constructed based on the</w:t>
      </w:r>
      <w:r w:rsidR="5064EF52" w:rsidRPr="003D3585">
        <w:t>ir</w:t>
      </w:r>
      <w:r w:rsidR="75AC5961" w:rsidRPr="003D3585">
        <w:t xml:space="preserve"> similarity </w:t>
      </w:r>
      <w:r w:rsidR="5064EF52" w:rsidRPr="003D3585">
        <w:t xml:space="preserve">to </w:t>
      </w:r>
      <w:r w:rsidR="06AFE2E3" w:rsidRPr="003D3585">
        <w:t>borrowers</w:t>
      </w:r>
      <w:r w:rsidR="4106D9E6" w:rsidRPr="003D3585">
        <w:t xml:space="preserve"> with respect to</w:t>
      </w:r>
      <w:r w:rsidR="5064EF52" w:rsidRPr="003D3585">
        <w:t xml:space="preserve"> their</w:t>
      </w:r>
      <w:r w:rsidR="75AC5961" w:rsidRPr="003D3585">
        <w:t xml:space="preserve"> characteristics (e.g.</w:t>
      </w:r>
      <w:r w:rsidRPr="003D3585">
        <w:t>,</w:t>
      </w:r>
      <w:r w:rsidR="75AC5961" w:rsidRPr="003D3585">
        <w:t xml:space="preserve"> </w:t>
      </w:r>
      <w:r w:rsidR="380CB394">
        <w:t>size</w:t>
      </w:r>
      <w:r w:rsidR="75AC5961" w:rsidRPr="003D3585">
        <w:t>,</w:t>
      </w:r>
      <w:r w:rsidR="380CB394">
        <w:t xml:space="preserve"> growth,</w:t>
      </w:r>
      <w:r w:rsidR="75AC5961" w:rsidRPr="003D3585">
        <w:t xml:space="preserve"> sector</w:t>
      </w:r>
      <w:r w:rsidRPr="003D3585">
        <w:t>, etc.</w:t>
      </w:r>
      <w:r w:rsidR="75AC5961" w:rsidRPr="003D3585">
        <w:t>)</w:t>
      </w:r>
      <w:r w:rsidR="0283539E">
        <w:t xml:space="preserve"> and</w:t>
      </w:r>
      <w:r w:rsidR="51EFCFE1">
        <w:t xml:space="preserve"> the kinds of business obstacles encountered during the pandemic </w:t>
      </w:r>
      <w:r w:rsidR="0283539E">
        <w:t>-</w:t>
      </w:r>
      <w:r w:rsidR="79803D0B" w:rsidRPr="003D3585">
        <w:t xml:space="preserve"> described in</w:t>
      </w:r>
      <w:r w:rsidR="51EFCFE1">
        <w:t xml:space="preserve"> </w:t>
      </w:r>
      <w:r w:rsidR="00E27136">
        <w:fldChar w:fldCharType="begin"/>
      </w:r>
      <w:r w:rsidR="00E27136">
        <w:instrText xml:space="preserve"> REF _Ref90811574 \h </w:instrText>
      </w:r>
      <w:r w:rsidR="00E27136">
        <w:fldChar w:fldCharType="separate"/>
      </w:r>
      <w:r w:rsidR="001525E9" w:rsidRPr="00E27136">
        <w:t>Annex 4</w:t>
      </w:r>
      <w:r w:rsidR="00E27136">
        <w:fldChar w:fldCharType="end"/>
      </w:r>
      <w:r w:rsidR="5064EF52" w:rsidRPr="003D3585">
        <w:t xml:space="preserve">. This exercise is implemented through </w:t>
      </w:r>
      <w:r w:rsidR="75AC5961" w:rsidRPr="003D3585">
        <w:t>propensity score matching (PSM).</w:t>
      </w:r>
      <w:r w:rsidR="00164F58" w:rsidRPr="003D3585">
        <w:rPr>
          <w:rStyle w:val="FootnoteReference"/>
        </w:rPr>
        <w:footnoteReference w:id="53"/>
      </w:r>
      <w:r w:rsidR="75AC5961" w:rsidRPr="003D3585">
        <w:t xml:space="preserve"> </w:t>
      </w:r>
      <w:r w:rsidR="42EF9673" w:rsidRPr="003D3585">
        <w:t>An important limitation of this method is that it does not allow to match borrowers and non-borrowers based on unobserved characteristics (e.g.</w:t>
      </w:r>
      <w:r w:rsidR="658B57B6" w:rsidRPr="003D3585">
        <w:t>,</w:t>
      </w:r>
      <w:r w:rsidR="42EF9673" w:rsidRPr="003D3585">
        <w:t xml:space="preserve"> attitudes to</w:t>
      </w:r>
      <w:r w:rsidR="380CB394">
        <w:t>wards growth and</w:t>
      </w:r>
      <w:r w:rsidR="42EF9673" w:rsidRPr="003D3585">
        <w:t xml:space="preserve"> risk</w:t>
      </w:r>
      <w:r w:rsidR="775D339F">
        <w:t>)</w:t>
      </w:r>
      <w:r w:rsidR="42EF9673" w:rsidRPr="003D3585">
        <w:t xml:space="preserve">. </w:t>
      </w:r>
    </w:p>
    <w:p w14:paraId="0AE16CE9" w14:textId="38AC1F24" w:rsidR="00B157EA" w:rsidRDefault="00E23305" w:rsidP="00BA7F04">
      <w:r w:rsidRPr="003D3585">
        <w:t>T</w:t>
      </w:r>
      <w:r w:rsidR="00693872" w:rsidRPr="003D3585">
        <w:t xml:space="preserve">he </w:t>
      </w:r>
      <w:r w:rsidR="007275EF" w:rsidRPr="003D3585">
        <w:t xml:space="preserve">outcomes of the </w:t>
      </w:r>
      <w:r w:rsidR="0005706C" w:rsidRPr="003D3585">
        <w:t xml:space="preserve">sample of </w:t>
      </w:r>
      <w:r w:rsidR="00B4158C" w:rsidRPr="003D3585">
        <w:t>borrowers</w:t>
      </w:r>
      <w:r w:rsidR="007275EF" w:rsidRPr="003D3585">
        <w:t xml:space="preserve"> and </w:t>
      </w:r>
      <w:r w:rsidR="008717A1" w:rsidRPr="003D3585">
        <w:t xml:space="preserve">the </w:t>
      </w:r>
      <w:r w:rsidR="007275EF" w:rsidRPr="003D3585">
        <w:t xml:space="preserve">control group are compared </w:t>
      </w:r>
      <w:r w:rsidR="00DE1AA1" w:rsidRPr="003D3585">
        <w:t xml:space="preserve">against one another both before and after the introduction of </w:t>
      </w:r>
      <w:r w:rsidR="003D3585" w:rsidRPr="003D3585">
        <w:t>RLS 1.0</w:t>
      </w:r>
      <w:r w:rsidR="00262637" w:rsidRPr="003D3585">
        <w:t xml:space="preserve">. Comparing both groups before </w:t>
      </w:r>
      <w:r w:rsidR="0006135F" w:rsidRPr="003D3585">
        <w:t xml:space="preserve">and after </w:t>
      </w:r>
      <w:r w:rsidR="00262637" w:rsidRPr="003D3585">
        <w:t xml:space="preserve">the introduction of </w:t>
      </w:r>
      <w:r w:rsidR="003D3585" w:rsidRPr="003D3585">
        <w:t>RLS 1.0</w:t>
      </w:r>
      <w:r w:rsidR="00230B32" w:rsidRPr="003D3585">
        <w:t xml:space="preserve"> </w:t>
      </w:r>
      <w:r w:rsidR="00262637" w:rsidRPr="003D3585">
        <w:t xml:space="preserve">rather than afterwards only allows one to account </w:t>
      </w:r>
      <w:r w:rsidR="0006135F" w:rsidRPr="003D3585">
        <w:t xml:space="preserve">for </w:t>
      </w:r>
      <w:r w:rsidR="00262637" w:rsidRPr="003D3585">
        <w:t xml:space="preserve">any pre-existing differences between the two groups that may </w:t>
      </w:r>
      <w:r w:rsidR="0006135F" w:rsidRPr="003D3585">
        <w:t>remain</w:t>
      </w:r>
      <w:r w:rsidR="00262637" w:rsidRPr="003D3585">
        <w:t xml:space="preserve"> after steps 1 and 2</w:t>
      </w:r>
      <w:r w:rsidR="003D0B06" w:rsidRPr="003D3585">
        <w:t xml:space="preserve"> </w:t>
      </w:r>
      <w:r w:rsidR="00262637" w:rsidRPr="003D3585">
        <w:t>described above.</w:t>
      </w:r>
      <w:r w:rsidR="00DE1AA1" w:rsidRPr="003D3585">
        <w:t xml:space="preserve"> </w:t>
      </w:r>
      <w:r w:rsidR="004F0199" w:rsidRPr="003D3585">
        <w:t>A</w:t>
      </w:r>
      <w:r w:rsidR="00CD604B" w:rsidRPr="003D3585">
        <w:t xml:space="preserve"> difference-in-differences (DiD)</w:t>
      </w:r>
      <w:r w:rsidR="0005706C" w:rsidRPr="003D3585">
        <w:t xml:space="preserve"> estimation</w:t>
      </w:r>
      <w:r w:rsidR="004F0199" w:rsidRPr="003D3585">
        <w:t xml:space="preserve"> framework is used to estimate such an impact on turnover and employment</w:t>
      </w:r>
      <w:r w:rsidR="00CD604B" w:rsidRPr="003D3585">
        <w:t xml:space="preserve">. </w:t>
      </w:r>
      <w:r w:rsidR="006A4BE8" w:rsidRPr="003D3585">
        <w:t>Full details of the data used and econometric approach are provided in</w:t>
      </w:r>
      <w:r w:rsidR="00B57160">
        <w:t xml:space="preserve"> </w:t>
      </w:r>
      <w:r w:rsidR="00E27136">
        <w:fldChar w:fldCharType="begin"/>
      </w:r>
      <w:r w:rsidR="00E27136">
        <w:instrText xml:space="preserve"> REF _Ref90811574 \h </w:instrText>
      </w:r>
      <w:r w:rsidR="00E27136">
        <w:fldChar w:fldCharType="separate"/>
      </w:r>
      <w:r w:rsidR="001525E9" w:rsidRPr="00E27136">
        <w:t>Annex 4</w:t>
      </w:r>
      <w:r w:rsidR="00E27136">
        <w:fldChar w:fldCharType="end"/>
      </w:r>
      <w:r w:rsidR="00363F66" w:rsidRPr="003D3585">
        <w:t>.</w:t>
      </w:r>
      <w:r w:rsidR="006A4BE8" w:rsidRPr="003D3585">
        <w:t xml:space="preserve"> </w:t>
      </w:r>
    </w:p>
    <w:p w14:paraId="15B8C3DA" w14:textId="6190A908" w:rsidR="00B157EA" w:rsidRDefault="00B157EA" w:rsidP="00BA7F04">
      <w:r>
        <w:t xml:space="preserve">Full results from the econometric analysis are presented </w:t>
      </w:r>
      <w:r w:rsidRPr="00B57160">
        <w:t xml:space="preserve">in </w:t>
      </w:r>
      <w:r w:rsidR="00E27136">
        <w:fldChar w:fldCharType="begin"/>
      </w:r>
      <w:r w:rsidR="00E27136">
        <w:instrText xml:space="preserve"> REF _Ref90811574 \h </w:instrText>
      </w:r>
      <w:r w:rsidR="00E27136">
        <w:fldChar w:fldCharType="separate"/>
      </w:r>
      <w:r w:rsidR="001525E9" w:rsidRPr="00E27136">
        <w:t>Annex 4</w:t>
      </w:r>
      <w:r w:rsidR="00E27136">
        <w:fldChar w:fldCharType="end"/>
      </w:r>
      <w:r w:rsidRPr="00B57160">
        <w:t xml:space="preserve"> (</w:t>
      </w:r>
      <w:r w:rsidR="00B57160" w:rsidRPr="00B57160">
        <w:fldChar w:fldCharType="begin"/>
      </w:r>
      <w:r w:rsidR="00B57160" w:rsidRPr="00B57160">
        <w:instrText xml:space="preserve"> REF _Ref138341082 \h </w:instrText>
      </w:r>
      <w:r w:rsidR="00B57160">
        <w:instrText xml:space="preserve"> \* MERGEFORMAT </w:instrText>
      </w:r>
      <w:r w:rsidR="00B57160" w:rsidRPr="00B57160">
        <w:fldChar w:fldCharType="separate"/>
      </w:r>
      <w:r w:rsidR="001525E9" w:rsidRPr="000816D7">
        <w:t xml:space="preserve">Table </w:t>
      </w:r>
      <w:r w:rsidR="001525E9">
        <w:rPr>
          <w:noProof/>
        </w:rPr>
        <w:t>32</w:t>
      </w:r>
      <w:r w:rsidR="00B57160" w:rsidRPr="00B57160">
        <w:fldChar w:fldCharType="end"/>
      </w:r>
      <w:r w:rsidR="00B57160" w:rsidRPr="00B57160">
        <w:t xml:space="preserve"> and </w:t>
      </w:r>
      <w:r w:rsidR="00B57160" w:rsidRPr="00B57160">
        <w:fldChar w:fldCharType="begin"/>
      </w:r>
      <w:r w:rsidR="00B57160" w:rsidRPr="00B57160">
        <w:instrText xml:space="preserve"> REF _Ref138340013 \h </w:instrText>
      </w:r>
      <w:r w:rsidR="00B57160">
        <w:instrText xml:space="preserve"> \* MERGEFORMAT </w:instrText>
      </w:r>
      <w:r w:rsidR="00B57160" w:rsidRPr="00B57160">
        <w:fldChar w:fldCharType="separate"/>
      </w:r>
      <w:r w:rsidR="001525E9" w:rsidRPr="000816D7">
        <w:t xml:space="preserve">Table </w:t>
      </w:r>
      <w:r w:rsidR="001525E9">
        <w:rPr>
          <w:noProof/>
        </w:rPr>
        <w:t>33</w:t>
      </w:r>
      <w:r w:rsidR="00B57160" w:rsidRPr="00B57160">
        <w:fldChar w:fldCharType="end"/>
      </w:r>
      <w:r w:rsidRPr="00B57160">
        <w:t>),</w:t>
      </w:r>
      <w:r>
        <w:t xml:space="preserve"> </w:t>
      </w:r>
      <w:r w:rsidRPr="00B157EA">
        <w:t xml:space="preserve">with </w:t>
      </w:r>
      <w:r w:rsidR="00F42292">
        <w:t>estimates for the impact of the scheme on turnover and employment</w:t>
      </w:r>
      <w:r w:rsidRPr="00B157EA">
        <w:t xml:space="preserve"> outlined below. </w:t>
      </w:r>
    </w:p>
    <w:p w14:paraId="4ECF3C4D" w14:textId="53833EE8" w:rsidR="006A4BE8" w:rsidRPr="00B157EA" w:rsidRDefault="00B57160" w:rsidP="00B45E23">
      <w:r>
        <w:t>T</w:t>
      </w:r>
      <w:r w:rsidR="000E2DD4" w:rsidRPr="00B157EA">
        <w:t xml:space="preserve">o </w:t>
      </w:r>
      <w:r w:rsidR="00F42292">
        <w:t xml:space="preserve">account for the potential impact of other major pandemic support schemes, </w:t>
      </w:r>
      <w:r w:rsidR="00C044BA" w:rsidRPr="00B157EA">
        <w:t xml:space="preserve">the econometric model </w:t>
      </w:r>
      <w:r w:rsidR="00C218F0" w:rsidRPr="00B157EA">
        <w:t xml:space="preserve">is re-run </w:t>
      </w:r>
      <w:r w:rsidR="00F42292">
        <w:t>with additional controls for use of</w:t>
      </w:r>
      <w:r>
        <w:t xml:space="preserve"> </w:t>
      </w:r>
      <w:r w:rsidR="00C044BA" w:rsidRPr="00B157EA">
        <w:t xml:space="preserve">the </w:t>
      </w:r>
      <w:r w:rsidR="00B157EA" w:rsidRPr="00B157EA">
        <w:t>Covid-19 Loan Guarantee Schemes</w:t>
      </w:r>
      <w:r>
        <w:t xml:space="preserve"> </w:t>
      </w:r>
      <w:r w:rsidR="00F42292">
        <w:t>and</w:t>
      </w:r>
      <w:r w:rsidR="00B157EA" w:rsidRPr="00B157EA">
        <w:t xml:space="preserve"> the </w:t>
      </w:r>
      <w:r w:rsidR="007120B0" w:rsidRPr="00B157EA">
        <w:t>Coronavirus Job Retention Scheme (</w:t>
      </w:r>
      <w:r w:rsidR="00C044BA" w:rsidRPr="00B157EA">
        <w:t>CJRS</w:t>
      </w:r>
      <w:r w:rsidR="007120B0" w:rsidRPr="00B157EA">
        <w:t>)</w:t>
      </w:r>
      <w:r w:rsidR="00C044BA" w:rsidRPr="00B157EA">
        <w:t xml:space="preserve">. </w:t>
      </w:r>
    </w:p>
    <w:p w14:paraId="19B008C7" w14:textId="77777777" w:rsidR="00B157EA" w:rsidRPr="005B363B" w:rsidRDefault="00B157EA" w:rsidP="00B157EA">
      <w:pPr>
        <w:pStyle w:val="Heading4"/>
      </w:pPr>
      <w:r w:rsidRPr="005B363B">
        <w:t>Turnover</w:t>
      </w:r>
    </w:p>
    <w:p w14:paraId="114D7963" w14:textId="3BF96870" w:rsidR="00B157EA" w:rsidRPr="005B363B" w:rsidRDefault="0D1B4733" w:rsidP="00B157EA">
      <w:r>
        <w:t>The econometric analysis identifies a positive</w:t>
      </w:r>
      <w:r w:rsidR="775D339F">
        <w:t xml:space="preserve"> and</w:t>
      </w:r>
      <w:r>
        <w:t xml:space="preserve"> statistically significant impact of RLS 1.0 on borrowers’ turnover in the 2022-23 financial year. Looking first at the model which did not include controls related to participation in other schemes, the results suggest that borrowers’ turnover was approximately 16% higher (significant at the 5% level)</w:t>
      </w:r>
      <w:r w:rsidR="00C74001">
        <w:rPr>
          <w:rStyle w:val="FootnoteReference"/>
        </w:rPr>
        <w:footnoteReference w:id="54"/>
      </w:r>
      <w:r>
        <w:t xml:space="preserve"> than it would have been without borrowing through RLS 1.0. When including </w:t>
      </w:r>
      <w:r w:rsidR="018E2A4E">
        <w:t>the additional controls</w:t>
      </w:r>
      <w:r>
        <w:t xml:space="preserve">, the impact of the scheme on borrower’s turnover increased slightly to 17%, which was again significant </w:t>
      </w:r>
      <w:r w:rsidR="775D339F">
        <w:t>at</w:t>
      </w:r>
      <w:r>
        <w:t xml:space="preserve"> the 5% level. </w:t>
      </w:r>
      <w:r w:rsidR="0E2BA6A8">
        <w:t xml:space="preserve">It should be noted that </w:t>
      </w:r>
      <w:r w:rsidR="002A09F9">
        <w:t>t</w:t>
      </w:r>
      <w:r w:rsidR="0E2BA6A8">
        <w:t xml:space="preserve">his analysis was largely based on a sample of businesses that survived the pandemic. Therefore, these impacts do not include any turnover preserved by the fact that some businesses would have ceased trading without the finance they received under RLS 1.0 </w:t>
      </w:r>
      <w:r w:rsidR="0283539E">
        <w:t>(</w:t>
      </w:r>
      <w:r w:rsidR="0E2BA6A8">
        <w:t xml:space="preserve">as </w:t>
      </w:r>
      <w:r w:rsidR="0283539E">
        <w:t>discussed in the previous section).</w:t>
      </w:r>
    </w:p>
    <w:p w14:paraId="64367C31" w14:textId="770ECB3E" w:rsidR="00B157EA" w:rsidRPr="005B363B" w:rsidRDefault="00B157EA" w:rsidP="00B157EA">
      <w:pPr>
        <w:pStyle w:val="Heading5"/>
      </w:pPr>
      <w:bookmarkStart w:id="51" w:name="_Ref138339912"/>
      <w:r w:rsidRPr="005B363B">
        <w:t xml:space="preserve">Table </w:t>
      </w:r>
      <w:r w:rsidRPr="005B363B">
        <w:fldChar w:fldCharType="begin"/>
      </w:r>
      <w:r w:rsidRPr="005B363B">
        <w:instrText>SEQ Table \* ARABIC</w:instrText>
      </w:r>
      <w:r w:rsidRPr="005B363B">
        <w:fldChar w:fldCharType="separate"/>
      </w:r>
      <w:r w:rsidR="001525E9">
        <w:rPr>
          <w:noProof/>
        </w:rPr>
        <w:t>10</w:t>
      </w:r>
      <w:r w:rsidRPr="005B363B">
        <w:fldChar w:fldCharType="end"/>
      </w:r>
      <w:bookmarkEnd w:id="51"/>
      <w:r w:rsidRPr="005B363B">
        <w:t xml:space="preserve">: Percentage difference in turnover associated with borrowers’ use of </w:t>
      </w:r>
      <w:r w:rsidR="005B363B" w:rsidRPr="005B363B">
        <w:t>RLS 1.0</w:t>
      </w:r>
    </w:p>
    <w:tbl>
      <w:tblPr>
        <w:tblStyle w:val="TableGrid"/>
        <w:tblW w:w="5000" w:type="pct"/>
        <w:tblLook w:val="04A0" w:firstRow="1" w:lastRow="0" w:firstColumn="1" w:lastColumn="0" w:noHBand="0" w:noVBand="1"/>
      </w:tblPr>
      <w:tblGrid>
        <w:gridCol w:w="3404"/>
        <w:gridCol w:w="3375"/>
        <w:gridCol w:w="3375"/>
      </w:tblGrid>
      <w:tr w:rsidR="00B157EA" w:rsidRPr="005B363B" w14:paraId="3577C2E2" w14:textId="77777777" w:rsidTr="005B363B">
        <w:trPr>
          <w:cnfStyle w:val="100000000000" w:firstRow="1" w:lastRow="0" w:firstColumn="0" w:lastColumn="0" w:oddVBand="0" w:evenVBand="0" w:oddHBand="0" w:evenHBand="0" w:firstRowFirstColumn="0" w:firstRowLastColumn="0" w:lastRowFirstColumn="0" w:lastRowLastColumn="0"/>
          <w:tblHeader/>
        </w:trPr>
        <w:tc>
          <w:tcPr>
            <w:tcW w:w="1676" w:type="pct"/>
          </w:tcPr>
          <w:p w14:paraId="19474A9B" w14:textId="5AB14717" w:rsidR="00B157EA" w:rsidRPr="005B363B" w:rsidRDefault="005B363B" w:rsidP="00AB3D40">
            <w:pPr>
              <w:pStyle w:val="Tablecolumnheading-inkblue"/>
              <w:rPr>
                <w:b w:val="0"/>
                <w:color w:val="FFFFFF" w:themeColor="background1"/>
                <w:sz w:val="22"/>
                <w:szCs w:val="20"/>
              </w:rPr>
            </w:pPr>
            <w:r w:rsidRPr="005B363B">
              <w:rPr>
                <w:color w:val="FFFFFF" w:themeColor="background1"/>
              </w:rPr>
              <w:t>Variable of interest</w:t>
            </w:r>
          </w:p>
        </w:tc>
        <w:tc>
          <w:tcPr>
            <w:tcW w:w="1662" w:type="pct"/>
          </w:tcPr>
          <w:p w14:paraId="5F05D7E0" w14:textId="77777777" w:rsidR="00B157EA" w:rsidRPr="00B57160" w:rsidRDefault="00B157EA" w:rsidP="00B57160">
            <w:pPr>
              <w:pStyle w:val="Tablecolumnheading-inkblue"/>
              <w:jc w:val="right"/>
              <w:rPr>
                <w:color w:val="FFFFFF" w:themeColor="background1"/>
              </w:rPr>
            </w:pPr>
            <w:r w:rsidRPr="00B57160">
              <w:rPr>
                <w:color w:val="FFFFFF" w:themeColor="background1"/>
              </w:rPr>
              <w:t>Without controls</w:t>
            </w:r>
          </w:p>
        </w:tc>
        <w:tc>
          <w:tcPr>
            <w:tcW w:w="1662" w:type="pct"/>
          </w:tcPr>
          <w:p w14:paraId="7E3795B9" w14:textId="77777777" w:rsidR="00B157EA" w:rsidRPr="00B57160" w:rsidRDefault="00B157EA" w:rsidP="00B57160">
            <w:pPr>
              <w:pStyle w:val="Tablecolumnheading-inkblue"/>
              <w:jc w:val="right"/>
              <w:rPr>
                <w:color w:val="FFFFFF" w:themeColor="background1"/>
              </w:rPr>
            </w:pPr>
            <w:r w:rsidRPr="00B57160">
              <w:rPr>
                <w:color w:val="FFFFFF" w:themeColor="background1"/>
              </w:rPr>
              <w:t>With controls</w:t>
            </w:r>
          </w:p>
        </w:tc>
      </w:tr>
      <w:tr w:rsidR="00B157EA" w:rsidRPr="005B363B" w14:paraId="3BB203C2" w14:textId="77777777" w:rsidTr="005B363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76" w:type="pct"/>
            <w:tcBorders>
              <w:bottom w:val="single" w:sz="4" w:space="0" w:color="0054BA" w:themeColor="accent2"/>
            </w:tcBorders>
          </w:tcPr>
          <w:p w14:paraId="4E7C2880" w14:textId="6ACE1DF7" w:rsidR="00B157EA" w:rsidRPr="005B363B" w:rsidDel="000A1204" w:rsidRDefault="005B363B" w:rsidP="00AB3D40">
            <w:pPr>
              <w:pStyle w:val="Tabletext"/>
            </w:pPr>
            <w:r w:rsidRPr="005B363B">
              <w:t>Turnover</w:t>
            </w:r>
          </w:p>
        </w:tc>
        <w:tc>
          <w:tcPr>
            <w:tcW w:w="1662" w:type="pct"/>
            <w:tcBorders>
              <w:bottom w:val="single" w:sz="4" w:space="0" w:color="0054BA" w:themeColor="accent2"/>
            </w:tcBorders>
            <w:vAlign w:val="center"/>
          </w:tcPr>
          <w:p w14:paraId="0C2A8C85" w14:textId="2EAC5031" w:rsidR="00B157EA" w:rsidRPr="00D25B51" w:rsidRDefault="005B363B" w:rsidP="00AB3D40">
            <w:pPr>
              <w:pStyle w:val="Tabletext"/>
              <w:spacing w:before="0"/>
              <w:jc w:val="right"/>
              <w:rPr>
                <w:rStyle w:val="Bold"/>
                <w:b w:val="0"/>
              </w:rPr>
            </w:pPr>
            <w:r w:rsidRPr="00D25B51">
              <w:rPr>
                <w:rStyle w:val="Bold"/>
                <w:b w:val="0"/>
              </w:rPr>
              <w:t>16</w:t>
            </w:r>
            <w:r w:rsidR="00B157EA" w:rsidRPr="00D25B51">
              <w:rPr>
                <w:rStyle w:val="Bold"/>
                <w:b w:val="0"/>
              </w:rPr>
              <w:t>%</w:t>
            </w:r>
            <w:r w:rsidRPr="00D25B51">
              <w:rPr>
                <w:rStyle w:val="Bold"/>
                <w:b w:val="0"/>
              </w:rPr>
              <w:t>**</w:t>
            </w:r>
          </w:p>
        </w:tc>
        <w:tc>
          <w:tcPr>
            <w:tcW w:w="1662" w:type="pct"/>
            <w:tcBorders>
              <w:bottom w:val="single" w:sz="4" w:space="0" w:color="0054BA" w:themeColor="accent2"/>
            </w:tcBorders>
            <w:vAlign w:val="center"/>
          </w:tcPr>
          <w:p w14:paraId="575D91DF" w14:textId="6129B614" w:rsidR="00B157EA" w:rsidRPr="00D25B51" w:rsidRDefault="005B363B" w:rsidP="00AB3D40">
            <w:pPr>
              <w:pStyle w:val="Tabletext"/>
              <w:spacing w:before="0"/>
              <w:jc w:val="right"/>
              <w:rPr>
                <w:rStyle w:val="Bold"/>
                <w:b w:val="0"/>
              </w:rPr>
            </w:pPr>
            <w:r w:rsidRPr="00D25B51">
              <w:rPr>
                <w:rStyle w:val="Bold"/>
                <w:b w:val="0"/>
              </w:rPr>
              <w:t>17</w:t>
            </w:r>
            <w:r w:rsidR="00B157EA" w:rsidRPr="00D25B51">
              <w:rPr>
                <w:rStyle w:val="Bold"/>
                <w:b w:val="0"/>
              </w:rPr>
              <w:t>%</w:t>
            </w:r>
            <w:r w:rsidRPr="00D25B51">
              <w:rPr>
                <w:rStyle w:val="Bold"/>
                <w:b w:val="0"/>
              </w:rPr>
              <w:t>**</w:t>
            </w:r>
          </w:p>
        </w:tc>
      </w:tr>
    </w:tbl>
    <w:p w14:paraId="22596A77" w14:textId="632F93D4" w:rsidR="00B157EA" w:rsidRDefault="00B157EA" w:rsidP="00B157EA">
      <w:pPr>
        <w:pStyle w:val="Caption"/>
        <w:rPr>
          <w:rStyle w:val="Emphasis"/>
          <w:b w:val="0"/>
          <w:iCs/>
          <w:color w:val="555674"/>
        </w:rPr>
      </w:pPr>
      <w:r w:rsidRPr="005B363B">
        <w:t xml:space="preserve">Note: </w:t>
      </w:r>
      <w:r w:rsidRPr="005B363B">
        <w:rPr>
          <w:rStyle w:val="Emphasis"/>
          <w:b w:val="0"/>
          <w:iCs/>
          <w:color w:val="555674"/>
        </w:rPr>
        <w:t>*** p-value&lt;0.01, ** p-value&lt;0.05, * p-value&lt;0.1</w:t>
      </w:r>
      <w:r w:rsidR="005B363B" w:rsidRPr="005B363B">
        <w:rPr>
          <w:rStyle w:val="Emphasis"/>
          <w:b w:val="0"/>
          <w:iCs/>
          <w:color w:val="555674"/>
        </w:rPr>
        <w:t xml:space="preserve">. </w:t>
      </w:r>
      <w:r w:rsidRPr="005B363B">
        <w:rPr>
          <w:rStyle w:val="Emphasis"/>
          <w:b w:val="0"/>
          <w:iCs/>
          <w:color w:val="555674"/>
        </w:rPr>
        <w:t xml:space="preserve">Full results are provided in </w:t>
      </w:r>
      <w:r w:rsidR="00B57160">
        <w:rPr>
          <w:rStyle w:val="Emphasis"/>
          <w:b w:val="0"/>
          <w:iCs/>
          <w:color w:val="555674"/>
        </w:rPr>
        <w:fldChar w:fldCharType="begin"/>
      </w:r>
      <w:r w:rsidR="00B57160">
        <w:rPr>
          <w:rStyle w:val="Emphasis"/>
          <w:b w:val="0"/>
          <w:iCs/>
          <w:color w:val="555674"/>
        </w:rPr>
        <w:instrText xml:space="preserve"> REF _Ref138341082 \h </w:instrText>
      </w:r>
      <w:r w:rsidR="00B57160">
        <w:rPr>
          <w:rStyle w:val="Emphasis"/>
          <w:b w:val="0"/>
          <w:iCs/>
          <w:color w:val="555674"/>
        </w:rPr>
      </w:r>
      <w:r w:rsidR="00B57160">
        <w:rPr>
          <w:rStyle w:val="Emphasis"/>
          <w:b w:val="0"/>
          <w:iCs/>
          <w:color w:val="555674"/>
        </w:rPr>
        <w:fldChar w:fldCharType="separate"/>
      </w:r>
      <w:r w:rsidR="001525E9" w:rsidRPr="000816D7">
        <w:t xml:space="preserve">Table </w:t>
      </w:r>
      <w:r w:rsidR="001525E9">
        <w:rPr>
          <w:noProof/>
        </w:rPr>
        <w:t>32</w:t>
      </w:r>
      <w:r w:rsidR="00B57160">
        <w:rPr>
          <w:rStyle w:val="Emphasis"/>
          <w:b w:val="0"/>
          <w:iCs/>
          <w:color w:val="555674"/>
        </w:rPr>
        <w:fldChar w:fldCharType="end"/>
      </w:r>
      <w:r w:rsidR="00B57160">
        <w:rPr>
          <w:rStyle w:val="Emphasis"/>
          <w:b w:val="0"/>
          <w:iCs/>
          <w:color w:val="555674"/>
        </w:rPr>
        <w:t xml:space="preserve"> </w:t>
      </w:r>
      <w:r w:rsidRPr="005B363B">
        <w:t xml:space="preserve">in </w:t>
      </w:r>
      <w:r w:rsidR="00E27136">
        <w:rPr>
          <w:highlight w:val="yellow"/>
        </w:rPr>
        <w:fldChar w:fldCharType="begin"/>
      </w:r>
      <w:r w:rsidR="00E27136">
        <w:instrText xml:space="preserve"> REF _Ref90811574 \h </w:instrText>
      </w:r>
      <w:r w:rsidR="00E27136">
        <w:rPr>
          <w:highlight w:val="yellow"/>
        </w:rPr>
      </w:r>
      <w:r w:rsidR="00E27136">
        <w:rPr>
          <w:highlight w:val="yellow"/>
        </w:rPr>
        <w:fldChar w:fldCharType="separate"/>
      </w:r>
      <w:r w:rsidR="001525E9" w:rsidRPr="00E27136">
        <w:t>Annex 4</w:t>
      </w:r>
      <w:r w:rsidR="00E27136">
        <w:rPr>
          <w:highlight w:val="yellow"/>
        </w:rPr>
        <w:fldChar w:fldCharType="end"/>
      </w:r>
      <w:r w:rsidRPr="005B363B">
        <w:t xml:space="preserve">. </w:t>
      </w:r>
      <w:r w:rsidRPr="005B363B">
        <w:rPr>
          <w:lang w:val="en-US"/>
        </w:rPr>
        <w:t xml:space="preserve">Given that the dependent variable of the regression is expressed in logarithmic form, the percentage change in turnover associated with borrowers’ use of </w:t>
      </w:r>
      <w:r w:rsidR="005B363B" w:rsidRPr="005B363B">
        <w:rPr>
          <w:lang w:val="en-US"/>
        </w:rPr>
        <w:t>RLS 1.0</w:t>
      </w:r>
      <w:r w:rsidRPr="005B363B">
        <w:rPr>
          <w:lang w:val="en-US"/>
        </w:rPr>
        <w:t xml:space="preserve"> (denoted by the variable “</w:t>
      </w:r>
      <w:r w:rsidR="00B57160">
        <w:rPr>
          <w:lang w:val="en-US"/>
        </w:rPr>
        <w:t>Borrower, post-intervention</w:t>
      </w:r>
      <w:r w:rsidRPr="005B363B">
        <w:rPr>
          <w:lang w:val="en-US"/>
        </w:rPr>
        <w:t xml:space="preserve">”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sidRPr="005B363B">
        <w:rPr>
          <w:rFonts w:eastAsiaTheme="minorEastAsia"/>
          <w:lang w:val="en-US"/>
        </w:rPr>
        <w:t xml:space="preserve">, where </w:t>
      </w:r>
      <m:oMath>
        <m:r>
          <w:rPr>
            <w:rFonts w:ascii="Cambria Math" w:hAnsi="Cambria Math"/>
          </w:rPr>
          <m:t>λ</m:t>
        </m:r>
      </m:oMath>
      <w:r w:rsidRPr="005B363B">
        <w:rPr>
          <w:rFonts w:eastAsiaTheme="minorEastAsia"/>
          <w:lang w:val="en-US"/>
        </w:rPr>
        <w:t xml:space="preserve"> is the regression coefficient of that variable (e.g., in the case of the </w:t>
      </w:r>
      <w:r w:rsidR="005B363B" w:rsidRPr="005B363B">
        <w:rPr>
          <w:rFonts w:eastAsiaTheme="minorEastAsia"/>
          <w:lang w:val="en-US"/>
        </w:rPr>
        <w:t>turnover</w:t>
      </w:r>
      <w:r w:rsidRPr="005B363B">
        <w:rPr>
          <w:rFonts w:eastAsiaTheme="minorEastAsia"/>
          <w:lang w:val="en-US"/>
        </w:rPr>
        <w:t xml:space="preserve"> with no controls,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0.150</m:t>
            </m:r>
          </m:sup>
        </m:sSup>
        <m:r>
          <w:rPr>
            <w:rFonts w:ascii="Cambria Math" w:hAnsi="Cambria Math"/>
            <w:lang w:val="en-US"/>
          </w:rPr>
          <m:t>-1)×100</m:t>
        </m:r>
      </m:oMath>
      <w:r w:rsidRPr="005B363B">
        <w:rPr>
          <w:rFonts w:eastAsiaTheme="minorEastAsia"/>
          <w:lang w:val="en-US"/>
        </w:rPr>
        <w:t xml:space="preserve"> = 1</w:t>
      </w:r>
      <w:r w:rsidR="005B363B" w:rsidRPr="005B363B">
        <w:rPr>
          <w:rFonts w:eastAsiaTheme="minorEastAsia"/>
          <w:lang w:val="en-US"/>
        </w:rPr>
        <w:t>6</w:t>
      </w:r>
      <w:r w:rsidRPr="005B363B">
        <w:rPr>
          <w:rFonts w:eastAsiaTheme="minorEastAsia"/>
          <w:lang w:val="en-US"/>
        </w:rPr>
        <w:t xml:space="preserve">%). </w:t>
      </w:r>
      <w:r w:rsidRPr="005B363B">
        <w:rPr>
          <w:rStyle w:val="Emphasis"/>
          <w:b w:val="0"/>
          <w:iCs/>
          <w:color w:val="555674"/>
        </w:rPr>
        <w:t>Source: London Economics’ analysis of survey data.</w:t>
      </w:r>
    </w:p>
    <w:p w14:paraId="5E601A67" w14:textId="2238BABE" w:rsidR="003503DA" w:rsidRPr="003503DA" w:rsidRDefault="003503DA" w:rsidP="002E562D">
      <w:r>
        <w:t>The positive impact of the scheme on turnover should be interpreted in the context of the previous discussion that some of the finance under RLS 1.0 was not additional or may have been displaced from other firms in the economy. In this sense, additionality and displacement need to be taken into account when the overall value for money of the scheme is assessed in the future.</w:t>
      </w:r>
    </w:p>
    <w:p w14:paraId="56885835" w14:textId="77777777" w:rsidR="00B157EA" w:rsidRPr="00D25B51" w:rsidRDefault="00B157EA" w:rsidP="00B157EA">
      <w:pPr>
        <w:pStyle w:val="Heading4"/>
      </w:pPr>
      <w:r w:rsidRPr="00D25B51">
        <w:t>Employment</w:t>
      </w:r>
    </w:p>
    <w:p w14:paraId="47ACC1BE" w14:textId="711CD853" w:rsidR="00B157EA" w:rsidRPr="00D25B51" w:rsidRDefault="00B157EA" w:rsidP="00B157EA">
      <w:r w:rsidRPr="00D25B51">
        <w:t xml:space="preserve">The econometric analysis does not identify a statistically significant impact of </w:t>
      </w:r>
      <w:r w:rsidR="00D25B51" w:rsidRPr="00D25B51">
        <w:t xml:space="preserve">Recovery Loan Scheme 1.0 </w:t>
      </w:r>
      <w:r w:rsidRPr="00D25B51">
        <w:t xml:space="preserve">on the number of people employed by borrowers in the </w:t>
      </w:r>
      <w:r w:rsidR="00D25B51" w:rsidRPr="00D25B51">
        <w:t>2022-23 financial year</w:t>
      </w:r>
      <w:r w:rsidRPr="00D25B51">
        <w:t xml:space="preserve"> (</w:t>
      </w:r>
      <w:r w:rsidRPr="00D25B51">
        <w:fldChar w:fldCharType="begin"/>
      </w:r>
      <w:r w:rsidRPr="00D25B51">
        <w:instrText xml:space="preserve"> REF _Ref138341329 \h  \* MERGEFORMAT </w:instrText>
      </w:r>
      <w:r w:rsidRPr="00D25B51">
        <w:fldChar w:fldCharType="separate"/>
      </w:r>
      <w:r w:rsidR="001525E9" w:rsidRPr="00D25B51">
        <w:t xml:space="preserve">Table </w:t>
      </w:r>
      <w:r w:rsidR="001525E9">
        <w:rPr>
          <w:noProof/>
        </w:rPr>
        <w:t>11</w:t>
      </w:r>
      <w:r w:rsidRPr="00D25B51">
        <w:fldChar w:fldCharType="end"/>
      </w:r>
      <w:r w:rsidRPr="00D25B51">
        <w:t xml:space="preserve">). As above, it should be noted that this impact mostly excludes the impact on employment </w:t>
      </w:r>
      <w:r w:rsidR="00974496">
        <w:t>through</w:t>
      </w:r>
      <w:r w:rsidRPr="00D25B51">
        <w:t xml:space="preserve"> businesses that would have ceased trading permanently in the absence of </w:t>
      </w:r>
      <w:r w:rsidR="00D25B51" w:rsidRPr="00D25B51">
        <w:t>RLS 1.0</w:t>
      </w:r>
      <w:r w:rsidRPr="00D25B51">
        <w:t xml:space="preserve">. </w:t>
      </w:r>
    </w:p>
    <w:p w14:paraId="499183B8" w14:textId="2CE5B006" w:rsidR="00B157EA" w:rsidRPr="00D25B51" w:rsidRDefault="00B157EA" w:rsidP="00B157EA">
      <w:r w:rsidRPr="00D25B51">
        <w:t xml:space="preserve">The inclusion of variables related to participation in other business support schemes such as </w:t>
      </w:r>
      <w:r w:rsidR="00D25B51" w:rsidRPr="00D25B51">
        <w:t xml:space="preserve">the Covid-19 Loan Guarantee Schemes and </w:t>
      </w:r>
      <w:r w:rsidRPr="00D25B51">
        <w:t xml:space="preserve">the CJRS do not change the statistical significance of the estimated impacts.  </w:t>
      </w:r>
    </w:p>
    <w:p w14:paraId="6E7700AF" w14:textId="7DE13A10" w:rsidR="00B157EA" w:rsidRPr="00D25B51" w:rsidRDefault="0283539E" w:rsidP="00B157EA">
      <w:r w:rsidRPr="00D25B51">
        <w:t xml:space="preserve">For context, the UK employment rate (the proportion of </w:t>
      </w:r>
      <w:r w:rsidR="153D071C" w:rsidRPr="00D25B51">
        <w:t>16–64</w:t>
      </w:r>
      <w:r w:rsidR="004A09BE">
        <w:t xml:space="preserve"> </w:t>
      </w:r>
      <w:r w:rsidR="153D071C" w:rsidRPr="00D25B51">
        <w:t>year-olds</w:t>
      </w:r>
      <w:r w:rsidRPr="00D25B51">
        <w:t xml:space="preserve"> in work) </w:t>
      </w:r>
      <w:r w:rsidR="4EB78A9D">
        <w:t>was</w:t>
      </w:r>
      <w:r w:rsidRPr="00D25B51">
        <w:t xml:space="preserve"> at 76.6% before the onset of the pandemic in January 2020, </w:t>
      </w:r>
      <w:r w:rsidR="66B5D215" w:rsidRPr="00D25B51">
        <w:t xml:space="preserve">and had fallen </w:t>
      </w:r>
      <w:r w:rsidRPr="00D25B51">
        <w:t xml:space="preserve">to 74.6% </w:t>
      </w:r>
      <w:r w:rsidR="66B5D215" w:rsidRPr="00D25B51">
        <w:t>by</w:t>
      </w:r>
      <w:r w:rsidRPr="00D25B51">
        <w:t xml:space="preserve"> </w:t>
      </w:r>
      <w:r w:rsidR="66B5D215" w:rsidRPr="00D25B51">
        <w:t>the end of</w:t>
      </w:r>
      <w:r w:rsidRPr="00D25B51">
        <w:t xml:space="preserve"> 2020</w:t>
      </w:r>
      <w:r w:rsidR="66B5D215" w:rsidRPr="00D25B51">
        <w:t>. Throughout 2021</w:t>
      </w:r>
      <w:r w:rsidR="66B5D215">
        <w:t xml:space="preserve"> (</w:t>
      </w:r>
      <w:r w:rsidR="66B5D215" w:rsidRPr="00D25B51">
        <w:t>when RLS 1.0 was in operation</w:t>
      </w:r>
      <w:r w:rsidR="66B5D215">
        <w:t>)</w:t>
      </w:r>
      <w:r w:rsidR="66B5D215" w:rsidRPr="00D25B51">
        <w:t xml:space="preserve"> the employment rate increased, reaching 75.4% by December 2021</w:t>
      </w:r>
      <w:r w:rsidRPr="00D25B51">
        <w:t>.</w:t>
      </w:r>
      <w:r w:rsidR="66B5D215">
        <w:t xml:space="preserve"> Since then, the employment rate has remained relatively stable, although had increased </w:t>
      </w:r>
      <w:r w:rsidR="018E2A4E">
        <w:t xml:space="preserve">slightly </w:t>
      </w:r>
      <w:r w:rsidR="66B5D215">
        <w:t>to 75.7% by December 2022.</w:t>
      </w:r>
      <w:r w:rsidR="00B157EA" w:rsidRPr="00D25B51">
        <w:rPr>
          <w:rStyle w:val="FootnoteReference"/>
        </w:rPr>
        <w:footnoteReference w:id="55"/>
      </w:r>
      <w:r w:rsidRPr="00D25B51">
        <w:t xml:space="preserve"> </w:t>
      </w:r>
    </w:p>
    <w:p w14:paraId="6662276B" w14:textId="070DA1B5" w:rsidR="00B157EA" w:rsidRPr="00D25B51" w:rsidRDefault="00B157EA" w:rsidP="00B157EA">
      <w:pPr>
        <w:pStyle w:val="Heading5"/>
      </w:pPr>
      <w:bookmarkStart w:id="52" w:name="_Ref138341329"/>
      <w:r w:rsidRPr="00D25B51">
        <w:t xml:space="preserve">Table </w:t>
      </w:r>
      <w:r w:rsidRPr="00D25B51">
        <w:fldChar w:fldCharType="begin"/>
      </w:r>
      <w:r w:rsidRPr="00D25B51">
        <w:instrText>SEQ Table \* ARABIC</w:instrText>
      </w:r>
      <w:r w:rsidRPr="00D25B51">
        <w:fldChar w:fldCharType="separate"/>
      </w:r>
      <w:r w:rsidR="001525E9">
        <w:rPr>
          <w:noProof/>
        </w:rPr>
        <w:t>11</w:t>
      </w:r>
      <w:r w:rsidRPr="00D25B51">
        <w:fldChar w:fldCharType="end"/>
      </w:r>
      <w:bookmarkEnd w:id="52"/>
      <w:r w:rsidRPr="00D25B51">
        <w:t xml:space="preserve">: Percentage difference in employment associated with borrowers’ use of </w:t>
      </w:r>
      <w:r w:rsidR="005B363B" w:rsidRPr="00D25B51">
        <w:t>RLS 1.0</w:t>
      </w:r>
    </w:p>
    <w:tbl>
      <w:tblPr>
        <w:tblStyle w:val="TableGrid"/>
        <w:tblW w:w="5000" w:type="pct"/>
        <w:tblLook w:val="04A0" w:firstRow="1" w:lastRow="0" w:firstColumn="1" w:lastColumn="0" w:noHBand="0" w:noVBand="1"/>
      </w:tblPr>
      <w:tblGrid>
        <w:gridCol w:w="3404"/>
        <w:gridCol w:w="3375"/>
        <w:gridCol w:w="3375"/>
      </w:tblGrid>
      <w:tr w:rsidR="00B157EA" w:rsidRPr="00D25B51" w14:paraId="2ECF0E2A" w14:textId="77777777" w:rsidTr="005B363B">
        <w:trPr>
          <w:cnfStyle w:val="100000000000" w:firstRow="1" w:lastRow="0" w:firstColumn="0" w:lastColumn="0" w:oddVBand="0" w:evenVBand="0" w:oddHBand="0" w:evenHBand="0" w:firstRowFirstColumn="0" w:firstRowLastColumn="0" w:lastRowFirstColumn="0" w:lastRowLastColumn="0"/>
          <w:tblHeader/>
        </w:trPr>
        <w:tc>
          <w:tcPr>
            <w:tcW w:w="1676" w:type="pct"/>
          </w:tcPr>
          <w:p w14:paraId="5E8F18CC" w14:textId="77777777" w:rsidR="00B157EA" w:rsidRPr="00D25B51" w:rsidRDefault="00B157EA" w:rsidP="00AB3D40">
            <w:pPr>
              <w:pStyle w:val="Tablecolumnheading-inkblue"/>
              <w:rPr>
                <w:b w:val="0"/>
                <w:color w:val="FFFFFF" w:themeColor="background1"/>
                <w:sz w:val="22"/>
                <w:szCs w:val="20"/>
              </w:rPr>
            </w:pPr>
            <w:r w:rsidRPr="00D25B51">
              <w:rPr>
                <w:color w:val="FFFFFF" w:themeColor="background1"/>
              </w:rPr>
              <w:t>Scheme</w:t>
            </w:r>
          </w:p>
        </w:tc>
        <w:tc>
          <w:tcPr>
            <w:tcW w:w="1662" w:type="pct"/>
          </w:tcPr>
          <w:p w14:paraId="32B73DA6" w14:textId="77777777" w:rsidR="00B157EA" w:rsidRPr="00D25B51" w:rsidRDefault="00B157EA" w:rsidP="00AB3D40">
            <w:pPr>
              <w:pStyle w:val="Tablecolumnheading-inkblue"/>
              <w:jc w:val="right"/>
              <w:rPr>
                <w:bCs/>
                <w:color w:val="FFFFFF" w:themeColor="background1"/>
                <w:sz w:val="22"/>
                <w:szCs w:val="20"/>
              </w:rPr>
            </w:pPr>
            <w:r w:rsidRPr="00D25B51">
              <w:rPr>
                <w:bCs/>
                <w:color w:val="FFFFFF" w:themeColor="background1"/>
                <w:sz w:val="22"/>
                <w:szCs w:val="20"/>
              </w:rPr>
              <w:t>Without controls</w:t>
            </w:r>
          </w:p>
        </w:tc>
        <w:tc>
          <w:tcPr>
            <w:tcW w:w="1662" w:type="pct"/>
          </w:tcPr>
          <w:p w14:paraId="3AC4E697" w14:textId="77777777" w:rsidR="00B157EA" w:rsidRPr="00D25B51" w:rsidRDefault="00B157EA" w:rsidP="00AB3D40">
            <w:pPr>
              <w:pStyle w:val="Tablecolumnheading-inkblue"/>
              <w:jc w:val="right"/>
              <w:rPr>
                <w:bCs/>
                <w:color w:val="FFFFFF" w:themeColor="background1"/>
                <w:sz w:val="22"/>
                <w:szCs w:val="20"/>
              </w:rPr>
            </w:pPr>
            <w:r w:rsidRPr="00D25B51">
              <w:rPr>
                <w:bCs/>
                <w:color w:val="FFFFFF" w:themeColor="background1"/>
                <w:sz w:val="22"/>
                <w:szCs w:val="20"/>
              </w:rPr>
              <w:t>With controls</w:t>
            </w:r>
          </w:p>
        </w:tc>
      </w:tr>
      <w:tr w:rsidR="005B363B" w:rsidRPr="00D25B51" w14:paraId="26F76FF5" w14:textId="77777777" w:rsidTr="005B363B">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676" w:type="pct"/>
            <w:tcBorders>
              <w:bottom w:val="single" w:sz="4" w:space="0" w:color="0054BA" w:themeColor="accent2"/>
            </w:tcBorders>
          </w:tcPr>
          <w:p w14:paraId="585F3CE5" w14:textId="260E1168" w:rsidR="005B363B" w:rsidRPr="00D25B51" w:rsidDel="000A1204" w:rsidRDefault="005B363B" w:rsidP="005B363B">
            <w:pPr>
              <w:pStyle w:val="Tabletext"/>
            </w:pPr>
            <w:r w:rsidRPr="00D25B51">
              <w:t>Employment</w:t>
            </w:r>
          </w:p>
        </w:tc>
        <w:tc>
          <w:tcPr>
            <w:tcW w:w="1662" w:type="pct"/>
            <w:tcBorders>
              <w:bottom w:val="single" w:sz="4" w:space="0" w:color="0054BA" w:themeColor="accent2"/>
            </w:tcBorders>
            <w:vAlign w:val="center"/>
          </w:tcPr>
          <w:p w14:paraId="58AFFCA6" w14:textId="1CAE526A" w:rsidR="005B363B" w:rsidRPr="00D25B51" w:rsidRDefault="005B363B" w:rsidP="005B363B">
            <w:pPr>
              <w:pStyle w:val="Tabletext"/>
              <w:spacing w:before="0"/>
              <w:jc w:val="right"/>
              <w:rPr>
                <w:rStyle w:val="Bold"/>
                <w:b w:val="0"/>
              </w:rPr>
            </w:pPr>
            <w:r w:rsidRPr="00D25B51">
              <w:rPr>
                <w:rStyle w:val="Bold"/>
                <w:b w:val="0"/>
              </w:rPr>
              <w:t>-6%</w:t>
            </w:r>
          </w:p>
        </w:tc>
        <w:tc>
          <w:tcPr>
            <w:tcW w:w="1662" w:type="pct"/>
            <w:tcBorders>
              <w:bottom w:val="single" w:sz="4" w:space="0" w:color="0054BA" w:themeColor="accent2"/>
            </w:tcBorders>
            <w:vAlign w:val="center"/>
          </w:tcPr>
          <w:p w14:paraId="727C55E0" w14:textId="1A4B9F01" w:rsidR="005B363B" w:rsidRPr="00D25B51" w:rsidRDefault="005B363B" w:rsidP="005B363B">
            <w:pPr>
              <w:pStyle w:val="Tabletext"/>
              <w:spacing w:before="0"/>
              <w:jc w:val="right"/>
              <w:rPr>
                <w:rStyle w:val="Bold"/>
                <w:b w:val="0"/>
              </w:rPr>
            </w:pPr>
            <w:r w:rsidRPr="00D25B51">
              <w:rPr>
                <w:rStyle w:val="Bold"/>
                <w:b w:val="0"/>
              </w:rPr>
              <w:t>-6%</w:t>
            </w:r>
          </w:p>
        </w:tc>
      </w:tr>
    </w:tbl>
    <w:p w14:paraId="13BF6614" w14:textId="3FE38BDF" w:rsidR="00B157EA" w:rsidRPr="00D25B51" w:rsidRDefault="00B157EA" w:rsidP="00B157EA">
      <w:pPr>
        <w:pStyle w:val="Caption"/>
      </w:pPr>
      <w:r w:rsidRPr="00D25B51">
        <w:t xml:space="preserve">Note: </w:t>
      </w:r>
      <w:r w:rsidRPr="00D25B51">
        <w:rPr>
          <w:rStyle w:val="Emphasis"/>
          <w:b w:val="0"/>
          <w:iCs/>
          <w:color w:val="555674"/>
        </w:rPr>
        <w:t xml:space="preserve">*** p-value&lt;0.01, ** p-value&lt;0.05, * p-value&lt;0.1. Full results are provided in </w:t>
      </w:r>
      <w:r w:rsidR="00B57160">
        <w:rPr>
          <w:rStyle w:val="Emphasis"/>
          <w:b w:val="0"/>
          <w:iCs/>
          <w:color w:val="555674"/>
        </w:rPr>
        <w:fldChar w:fldCharType="begin"/>
      </w:r>
      <w:r w:rsidR="00B57160">
        <w:rPr>
          <w:rStyle w:val="Emphasis"/>
          <w:b w:val="0"/>
          <w:iCs/>
          <w:color w:val="555674"/>
        </w:rPr>
        <w:instrText xml:space="preserve"> REF _Ref138340013 \h </w:instrText>
      </w:r>
      <w:r w:rsidR="00B57160">
        <w:rPr>
          <w:rStyle w:val="Emphasis"/>
          <w:b w:val="0"/>
          <w:iCs/>
          <w:color w:val="555674"/>
        </w:rPr>
      </w:r>
      <w:r w:rsidR="00B57160">
        <w:rPr>
          <w:rStyle w:val="Emphasis"/>
          <w:b w:val="0"/>
          <w:iCs/>
          <w:color w:val="555674"/>
        </w:rPr>
        <w:fldChar w:fldCharType="separate"/>
      </w:r>
      <w:r w:rsidR="001525E9" w:rsidRPr="000816D7">
        <w:t xml:space="preserve">Table </w:t>
      </w:r>
      <w:r w:rsidR="001525E9">
        <w:rPr>
          <w:noProof/>
        </w:rPr>
        <w:t>33</w:t>
      </w:r>
      <w:r w:rsidR="00B57160">
        <w:rPr>
          <w:rStyle w:val="Emphasis"/>
          <w:b w:val="0"/>
          <w:iCs/>
          <w:color w:val="555674"/>
        </w:rPr>
        <w:fldChar w:fldCharType="end"/>
      </w:r>
      <w:r w:rsidR="00B57160">
        <w:rPr>
          <w:rStyle w:val="Emphasis"/>
          <w:b w:val="0"/>
          <w:iCs/>
          <w:color w:val="555674"/>
        </w:rPr>
        <w:t xml:space="preserve"> in </w:t>
      </w:r>
      <w:r w:rsidR="00E27136">
        <w:rPr>
          <w:rStyle w:val="Emphasis"/>
          <w:b w:val="0"/>
          <w:iCs/>
          <w:color w:val="555674"/>
        </w:rPr>
        <w:fldChar w:fldCharType="begin"/>
      </w:r>
      <w:r w:rsidR="00E27136">
        <w:rPr>
          <w:rStyle w:val="Emphasis"/>
          <w:b w:val="0"/>
          <w:iCs/>
          <w:color w:val="555674"/>
        </w:rPr>
        <w:instrText xml:space="preserve"> REF _Ref90811574 \h </w:instrText>
      </w:r>
      <w:r w:rsidR="00E27136">
        <w:rPr>
          <w:rStyle w:val="Emphasis"/>
          <w:b w:val="0"/>
          <w:iCs/>
          <w:color w:val="555674"/>
        </w:rPr>
      </w:r>
      <w:r w:rsidR="00E27136">
        <w:rPr>
          <w:rStyle w:val="Emphasis"/>
          <w:b w:val="0"/>
          <w:iCs/>
          <w:color w:val="555674"/>
        </w:rPr>
        <w:fldChar w:fldCharType="separate"/>
      </w:r>
      <w:r w:rsidR="001525E9" w:rsidRPr="00E27136">
        <w:t>Annex 4</w:t>
      </w:r>
      <w:r w:rsidR="00E27136">
        <w:rPr>
          <w:rStyle w:val="Emphasis"/>
          <w:b w:val="0"/>
          <w:iCs/>
          <w:color w:val="555674"/>
        </w:rPr>
        <w:fldChar w:fldCharType="end"/>
      </w:r>
      <w:r w:rsidRPr="00D25B51">
        <w:t xml:space="preserve">. </w:t>
      </w:r>
      <w:r w:rsidRPr="00D25B51">
        <w:rPr>
          <w:lang w:val="en-US"/>
        </w:rPr>
        <w:t xml:space="preserve">Given that the dependent variable of the regression is expressed in logarithmic form, the percentage change in turnover associated with borrowers’ use of </w:t>
      </w:r>
      <w:r w:rsidR="00B57160">
        <w:rPr>
          <w:lang w:val="en-US"/>
        </w:rPr>
        <w:t>RLS 1.0</w:t>
      </w:r>
      <w:r w:rsidRPr="00D25B51">
        <w:rPr>
          <w:lang w:val="en-US"/>
        </w:rPr>
        <w:t xml:space="preserve"> (denoted by the variable “</w:t>
      </w:r>
      <w:r w:rsidR="00B57160">
        <w:rPr>
          <w:lang w:val="en-US"/>
        </w:rPr>
        <w:t>Borrower, post-intervention</w:t>
      </w:r>
      <w:r w:rsidRPr="00D25B51">
        <w:rPr>
          <w:lang w:val="en-US"/>
        </w:rPr>
        <w:t xml:space="preserve">” taking the value of 1) is approximately equal to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λ</m:t>
            </m:r>
          </m:sup>
        </m:sSup>
        <m:r>
          <w:rPr>
            <w:rFonts w:ascii="Cambria Math" w:hAnsi="Cambria Math"/>
            <w:lang w:val="en-US"/>
          </w:rPr>
          <m:t>-1)×100</m:t>
        </m:r>
      </m:oMath>
      <w:r w:rsidRPr="00D25B51">
        <w:rPr>
          <w:rFonts w:eastAsiaTheme="minorEastAsia"/>
          <w:lang w:val="en-US"/>
        </w:rPr>
        <w:t xml:space="preserve">, where </w:t>
      </w:r>
      <m:oMath>
        <m:r>
          <w:rPr>
            <w:rFonts w:ascii="Cambria Math" w:hAnsi="Cambria Math"/>
          </w:rPr>
          <m:t>λ</m:t>
        </m:r>
      </m:oMath>
      <w:r w:rsidRPr="00D25B51">
        <w:rPr>
          <w:rFonts w:eastAsiaTheme="minorEastAsia"/>
          <w:lang w:val="en-US"/>
        </w:rPr>
        <w:t xml:space="preserve"> is the regression coefficient of that variable. </w:t>
      </w:r>
      <w:r w:rsidRPr="00D25B51">
        <w:rPr>
          <w:rStyle w:val="Emphasis"/>
          <w:b w:val="0"/>
          <w:iCs/>
          <w:color w:val="555674"/>
        </w:rPr>
        <w:t>Source: London Economics’ analysis of survey data.</w:t>
      </w:r>
    </w:p>
    <w:p w14:paraId="54F94A95" w14:textId="1F332D40" w:rsidR="00D83E07" w:rsidRDefault="00E666EA" w:rsidP="002E562D">
      <w:r>
        <w:t>The fact that the analysis identifies an impact of RLS 1.0 on turnover and not employment is indicative of a possible impact of the scheme on productivity, however a formal econometric analysis of the productivity impacts of finance under RLS 1.0 is beyond the scope of this evaluation. Additionally, the contrasting results for the turnover and employment analyses</w:t>
      </w:r>
      <w:r w:rsidR="00D83E07">
        <w:t xml:space="preserve"> is consistent with the reported use of finance</w:t>
      </w:r>
      <w:r>
        <w:t xml:space="preserve"> of borrowers</w:t>
      </w:r>
      <w:r w:rsidR="00D83E07">
        <w:t xml:space="preserve">. </w:t>
      </w:r>
      <w:r>
        <w:t>The</w:t>
      </w:r>
      <w:r w:rsidR="00D83E07">
        <w:t xml:space="preserve"> fact that the most common uses of the finance </w:t>
      </w:r>
      <w:r>
        <w:t>extended</w:t>
      </w:r>
      <w:r w:rsidR="00D83E07">
        <w:t xml:space="preserve"> under RLS 1.0 were to pay day</w:t>
      </w:r>
      <w:r w:rsidR="00DF7D6F">
        <w:t>-</w:t>
      </w:r>
      <w:r w:rsidR="00D83E07">
        <w:t>to</w:t>
      </w:r>
      <w:r w:rsidR="00DF7D6F">
        <w:t>-</w:t>
      </w:r>
      <w:r w:rsidR="00D83E07">
        <w:t>day expenses and purchase goods and materials sugg</w:t>
      </w:r>
      <w:r>
        <w:t>ests that borrowers</w:t>
      </w:r>
      <w:r w:rsidR="002E562D">
        <w:t>’</w:t>
      </w:r>
      <w:r>
        <w:t xml:space="preserve"> focus was on ensuring continued production, whilst (as discussed in the next section) the growth plans of borrowers appear to be focused more on new processes, goods and services rather than just upscaling their existing business model by hiring more employees. </w:t>
      </w:r>
    </w:p>
    <w:p w14:paraId="74FEE0F7" w14:textId="217D0A1A" w:rsidR="00B44BB7" w:rsidRPr="0083008F" w:rsidRDefault="00FD29BB" w:rsidP="00B44BB7">
      <w:pPr>
        <w:pStyle w:val="Heading3"/>
      </w:pPr>
      <w:r w:rsidRPr="0083008F">
        <w:t>Other impacts</w:t>
      </w:r>
    </w:p>
    <w:p w14:paraId="2D9537FD" w14:textId="43D84173" w:rsidR="004C3EE2" w:rsidRPr="0083008F" w:rsidRDefault="008D29B1" w:rsidP="008D29B1">
      <w:r w:rsidRPr="0083008F">
        <w:t xml:space="preserve">This subsection </w:t>
      </w:r>
      <w:r w:rsidR="00482CF5">
        <w:t>explores the kinds of innovative</w:t>
      </w:r>
      <w:r w:rsidRPr="0083008F">
        <w:t xml:space="preserve"> activities undertaken by borrow</w:t>
      </w:r>
      <w:r w:rsidR="00416D93" w:rsidRPr="0083008F">
        <w:t>ing</w:t>
      </w:r>
      <w:r w:rsidRPr="0083008F">
        <w:t xml:space="preserve"> businesses</w:t>
      </w:r>
      <w:r w:rsidR="00482CF5">
        <w:t xml:space="preserve"> after receiving finance under RLS 1.0</w:t>
      </w:r>
      <w:r w:rsidR="0083008F">
        <w:t xml:space="preserve">. </w:t>
      </w:r>
      <w:r w:rsidR="0083008F" w:rsidRPr="0083008F">
        <w:t xml:space="preserve">The most common activities were the development of new processes (46%) and the development of new goods and services (44%). </w:t>
      </w:r>
      <w:r w:rsidR="00482CF5">
        <w:t>Additionally</w:t>
      </w:r>
      <w:r w:rsidR="0083008F" w:rsidRPr="0083008F">
        <w:t xml:space="preserve">, over a third of borrowers reported that they undertook new Research and Development activities (36%) or took actions to reduce their carbon emissions (38%). </w:t>
      </w:r>
      <w:r w:rsidR="00FD1927">
        <w:t>The</w:t>
      </w:r>
      <w:r w:rsidR="00482CF5">
        <w:t xml:space="preserve"> fact that borrowers reported that their primary use of the finance received under RLS 1.0 </w:t>
      </w:r>
      <w:r w:rsidR="00FD1927">
        <w:t xml:space="preserve">relate to paying bills and expenses (see </w:t>
      </w:r>
      <w:r w:rsidR="00FD1927">
        <w:fldChar w:fldCharType="begin"/>
      </w:r>
      <w:r w:rsidR="00FD1927">
        <w:instrText xml:space="preserve"> REF _Ref152232364 \h </w:instrText>
      </w:r>
      <w:r w:rsidR="00FD1927">
        <w:fldChar w:fldCharType="separate"/>
      </w:r>
      <w:r w:rsidR="001525E9" w:rsidRPr="00AF7606">
        <w:t xml:space="preserve">Figure </w:t>
      </w:r>
      <w:r w:rsidR="001525E9">
        <w:rPr>
          <w:noProof/>
        </w:rPr>
        <w:t>14</w:t>
      </w:r>
      <w:r w:rsidR="00FD1927">
        <w:fldChar w:fldCharType="end"/>
      </w:r>
      <w:r w:rsidR="00FD1927">
        <w:t xml:space="preserve">), suggests that RLS 1.0 had an important role in providing borrowers with the funds needed to continue paying their bills </w:t>
      </w:r>
      <w:r w:rsidR="00D12004">
        <w:t>whilst continuing to innovate.</w:t>
      </w:r>
      <w:r w:rsidR="00482CF5">
        <w:t xml:space="preserve"> </w:t>
      </w:r>
      <w:r w:rsidR="00F42292">
        <w:t>As such it will be important to conduct a further evaluation in future to capture the longer-term impacts</w:t>
      </w:r>
      <w:r w:rsidR="00FD1927">
        <w:t xml:space="preserve"> of RLS 1.0</w:t>
      </w:r>
      <w:r w:rsidR="00F42292">
        <w:t>.</w:t>
      </w:r>
    </w:p>
    <w:p w14:paraId="6CCD7C18" w14:textId="6A745FDE" w:rsidR="0083008F" w:rsidRPr="00AF7606" w:rsidRDefault="0083008F" w:rsidP="0083008F">
      <w:pPr>
        <w:pStyle w:val="Heading5"/>
      </w:pPr>
      <w:bookmarkStart w:id="53" w:name="_Ref151648674"/>
      <w:r w:rsidRPr="00AF7606">
        <w:t xml:space="preserve">Figure </w:t>
      </w:r>
      <w:r>
        <w:fldChar w:fldCharType="begin"/>
      </w:r>
      <w:r>
        <w:instrText xml:space="preserve"> SEQ Figure \* ARABIC </w:instrText>
      </w:r>
      <w:r>
        <w:fldChar w:fldCharType="separate"/>
      </w:r>
      <w:r w:rsidR="001525E9">
        <w:rPr>
          <w:noProof/>
        </w:rPr>
        <w:t>17</w:t>
      </w:r>
      <w:r>
        <w:rPr>
          <w:noProof/>
        </w:rPr>
        <w:fldChar w:fldCharType="end"/>
      </w:r>
      <w:bookmarkEnd w:id="53"/>
      <w:r w:rsidRPr="00AF7606">
        <w:t xml:space="preserve">: </w:t>
      </w:r>
      <w:r>
        <w:t>Activities undertaken by borrowers since accessing finance under RLS 1.0</w:t>
      </w:r>
    </w:p>
    <w:p w14:paraId="765F9236" w14:textId="040A0E6A" w:rsidR="000E6A00" w:rsidRPr="0083008F" w:rsidRDefault="00A83806" w:rsidP="0083008F">
      <w:r>
        <w:rPr>
          <w:noProof/>
        </w:rPr>
        <w:drawing>
          <wp:inline distT="0" distB="0" distL="0" distR="0" wp14:anchorId="11F4EC0A" wp14:editId="7091CD9A">
            <wp:extent cx="6004560" cy="4449170"/>
            <wp:effectExtent l="0" t="0" r="0" b="8890"/>
            <wp:docPr id="1489844470" name="Picture 9" descr="This figure shows the activities undertaken by borrowers since accessing finance under RLS 1.0. Since accessing finance under RLS 1.0, 46% of RLS 1.0 borrowers surveyed indicated that they had undertaken development of new processes, 44% said that they had since undertaken development of new goods and services, 38% said that they had since undertaken actions to reduce carbon emissions and 36% said that they had undertaken research and development activities. Also, 29% said that they had undertaken none of the above and 1% answered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44470" name="Picture 9" descr="This figure shows the activities undertaken by borrowers since accessing finance under RLS 1.0. Since accessing finance under RLS 1.0, 46% of RLS 1.0 borrowers surveyed indicated that they had undertaken development of new processes, 44% said that they had since undertaken development of new goods and services, 38% said that they had since undertaken actions to reduce carbon emissions and 36% said that they had undertaken research and development activities. Also, 29% said that they had undertaken none of the above and 1% answered don't know."/>
                    <pic:cNvPicPr>
                      <a:picLocks noChangeAspect="1" noChangeArrowheads="1"/>
                    </pic:cNvPicPr>
                  </pic:nvPicPr>
                  <pic:blipFill rotWithShape="1">
                    <a:blip r:embed="rId24">
                      <a:extLst>
                        <a:ext uri="{28A0092B-C50C-407E-A947-70E740481C1C}">
                          <a14:useLocalDpi xmlns:a14="http://schemas.microsoft.com/office/drawing/2010/main" val="0"/>
                        </a:ext>
                      </a:extLst>
                    </a:blip>
                    <a:srcRect l="3526" t="2425" r="3937" b="3225"/>
                    <a:stretch/>
                  </pic:blipFill>
                  <pic:spPr bwMode="auto">
                    <a:xfrm>
                      <a:off x="0" y="0"/>
                      <a:ext cx="6012601" cy="4455128"/>
                    </a:xfrm>
                    <a:prstGeom prst="rect">
                      <a:avLst/>
                    </a:prstGeom>
                    <a:noFill/>
                    <a:ln>
                      <a:noFill/>
                    </a:ln>
                    <a:extLst>
                      <a:ext uri="{53640926-AAD7-44D8-BBD7-CCE9431645EC}">
                        <a14:shadowObscured xmlns:a14="http://schemas.microsoft.com/office/drawing/2010/main"/>
                      </a:ext>
                    </a:extLst>
                  </pic:spPr>
                </pic:pic>
              </a:graphicData>
            </a:graphic>
          </wp:inline>
        </w:drawing>
      </w:r>
    </w:p>
    <w:p w14:paraId="4D11ED45" w14:textId="518C5F51" w:rsidR="000E6A00" w:rsidRDefault="000E6A00" w:rsidP="000E6A00">
      <w:pPr>
        <w:pStyle w:val="Caption"/>
      </w:pPr>
      <w:r w:rsidRPr="0083008F">
        <w:t>Source: London Economics’ and Ipsos’ analysis of survey data</w:t>
      </w:r>
      <w:r w:rsidR="002B18A5">
        <w:t xml:space="preserve">. </w:t>
      </w:r>
      <w:r w:rsidR="002B18A5" w:rsidRPr="00D0457A">
        <w:t>Base: All RLS</w:t>
      </w:r>
      <w:r w:rsidR="002B18A5">
        <w:t xml:space="preserve"> 1.0</w:t>
      </w:r>
      <w:r w:rsidR="002B18A5" w:rsidRPr="00D0457A">
        <w:t xml:space="preserve"> borrowers (242)</w:t>
      </w:r>
      <w:r w:rsidR="002B18A5">
        <w:t>.</w:t>
      </w:r>
    </w:p>
    <w:p w14:paraId="759AD042" w14:textId="603F11D9" w:rsidR="00942201" w:rsidRPr="00942201" w:rsidRDefault="6F2FB3FB" w:rsidP="002E562D">
      <w:r>
        <w:t>Data on the propensity of non-borrowers to undertake these kinds of activities was not collected in the survey, and therefore we do not have a fully comparable counterfactual to compare against and therefore it is not possible to assess the extent to which these activities would have been undertaken without the finance made available by RLS 1.0. Despite this, there is some insight that can be gained from comparing these results to information on R&amp;D activities within the BICS. It is found that only 10% of businesses carried out any in-house R&amp;D in 2021, which increases to 19% when excluding businesses with fewer than 10 employees.</w:t>
      </w:r>
      <w:r w:rsidR="00942201">
        <w:rPr>
          <w:rStyle w:val="FootnoteReference"/>
        </w:rPr>
        <w:footnoteReference w:id="56"/>
      </w:r>
      <w:r>
        <w:t xml:space="preserve"> Both of these estimates are substantially lower than the proportion of RLS 1.0 borrowers that undertook R&amp;D activities as found in this study.</w:t>
      </w:r>
    </w:p>
    <w:p w14:paraId="0B22CE23" w14:textId="26BA10A9" w:rsidR="00666B06" w:rsidRPr="00666B06" w:rsidRDefault="00666B06" w:rsidP="00666B06">
      <w:pPr>
        <w:pStyle w:val="Heading2"/>
      </w:pPr>
      <w:bookmarkStart w:id="54" w:name="_Toc161327590"/>
      <w:r w:rsidRPr="00666B06">
        <w:t>Lender response to scheme parameters</w:t>
      </w:r>
      <w:bookmarkEnd w:id="54"/>
    </w:p>
    <w:p w14:paraId="3BEDB8C4" w14:textId="1C9C81B7" w:rsidR="00CD238D" w:rsidRDefault="00CD238D" w:rsidP="003B2EF1">
      <w:bookmarkStart w:id="55" w:name="_Ref92921797"/>
      <w:bookmarkStart w:id="56" w:name="_Ref91005921"/>
      <w:bookmarkStart w:id="57" w:name="_Ref91068117"/>
      <w:bookmarkStart w:id="58" w:name="_Ref91068280"/>
      <w:bookmarkStart w:id="59" w:name="_Ref91068316"/>
      <w:bookmarkStart w:id="60" w:name="_Ref91068455"/>
      <w:r>
        <w:t xml:space="preserve">The changes to the scheme parameters, compared to CBILS, had an impact on lenders. These included changes to the fees for providing the lending, rates charged, the continuation of personal guarantees not being required and the introduction of an additionality test. The most significant impact on lenders was on the scale of lending and the types of business they were providing lending to through the scheme. Accredited lenders reported that during the period in which </w:t>
      </w:r>
      <w:r w:rsidR="00A10525">
        <w:t>Covid</w:t>
      </w:r>
      <w:r>
        <w:t xml:space="preserve">-19 </w:t>
      </w:r>
      <w:r w:rsidR="00B37DA9">
        <w:t>Loan Guarantee</w:t>
      </w:r>
      <w:r>
        <w:t xml:space="preserve"> </w:t>
      </w:r>
      <w:r w:rsidR="00632327">
        <w:t>S</w:t>
      </w:r>
      <w:r>
        <w:t>chemes were in existence, as a result of the BIP, the lower levels of lender fee and partially because of the lack of an additionality test, the majority of lending they were providing was through guaranteed schemes (around 80% of business lending). This was because the terms offered through the schemes were more appealing to businesses than those offered through commercial lending. However, the changes to the parameters highlighted in the Process evaluation section meant that commercial lending was a more appealing offer than the terms that would be offered through RLS 1.0 for most businesses, as the removal of the BIP and higher lender fees meant that the rates offered on RLS facilities were often higher than for commercial lending.</w:t>
      </w:r>
    </w:p>
    <w:p w14:paraId="29D602CF" w14:textId="792B9AF5" w:rsidR="00CD238D" w:rsidRDefault="00CD238D">
      <w:r>
        <w:t>For bank lenders, the change in scheme parameters impacted on the quantity of facilities they were providing (fewer facilities). For non-bank lenders, the change in scheme parameters also impacted upon the quantity of lending, but there were other impacts reported. One non-bank lender reported that the changes to the scheme parameters, compared to CBILS, had a positive impact on their ability to participate in the scheme. For CBILS, they were unable to use their primary source of funding (which was publicly funded) as it was not permitted by the scheme rules – as this was changed for RLS 1.0 the lender did not have to source additional finance, which helped them in their ability to provide the scheme to businesses.</w:t>
      </w:r>
    </w:p>
    <w:p w14:paraId="4F6F7649" w14:textId="2083710A" w:rsidR="00CD238D" w:rsidRDefault="00CD238D" w:rsidP="003B2EF1">
      <w:r>
        <w:t xml:space="preserve">Although the interest rates offered by accredited lenders were generally higher than the average commercial rates for bank lending, these rates reflected the fact that RLS </w:t>
      </w:r>
      <w:r w:rsidR="002E562D">
        <w:t xml:space="preserve">1.0 </w:t>
      </w:r>
      <w:r>
        <w:t xml:space="preserve">was designed to offer finance to businesses that could not access commercial lending (or not on the same terms) without RLS. Therefore, the businesses accessing finance through RLS </w:t>
      </w:r>
      <w:r w:rsidR="002E562D">
        <w:t xml:space="preserve">1.0 </w:t>
      </w:r>
      <w:r>
        <w:t>were generally at greater risk of default than those accessing commercial lending, and the prices offered through RLS</w:t>
      </w:r>
      <w:r w:rsidR="002E562D">
        <w:t xml:space="preserve"> 1.0</w:t>
      </w:r>
      <w:r>
        <w:t xml:space="preserve"> reflect this risk of default. The scheme parameters still required lenders to pass on the economic benefit of the guarantee to the borrowers. Despite the portfolio having a greater risk of default than a commercial portfolio and the existence of a guarantee, lenders reported not offering lending to all businesses. The lenders still assessed the relative risk of the business in terms of ability to repay. This was because the scheme design still left lenders with some exposure to risk. The lenders reported offering facilities through the scheme only to businesses that could not access commercial finance, but based on their assessment were close to the threshold of accessing commercial finance.</w:t>
      </w:r>
    </w:p>
    <w:p w14:paraId="0219A24B" w14:textId="43DB38F3" w:rsidR="00CD238D" w:rsidRDefault="67ACDDD3" w:rsidP="003B2EF1">
      <w:r>
        <w:t xml:space="preserve">This is demonstrated by the estimated proportion of total business lending that RLS 1.0 represented. The </w:t>
      </w:r>
      <w:r w:rsidR="3C580A7C">
        <w:t>Covid</w:t>
      </w:r>
      <w:r>
        <w:t xml:space="preserve">-19 </w:t>
      </w:r>
      <w:r w:rsidR="1ACDD46D">
        <w:t xml:space="preserve">Loan Guarantee </w:t>
      </w:r>
      <w:r w:rsidR="005D76E4">
        <w:t>S</w:t>
      </w:r>
      <w:r>
        <w:t>chemes represented a majority of business lending in 2020 (around 80%), but RLS 1.0 lending appears to represent under 3% of total business lending in 2021.</w:t>
      </w:r>
      <w:r w:rsidR="00CD238D">
        <w:rPr>
          <w:rStyle w:val="FootnoteReference"/>
        </w:rPr>
        <w:footnoteReference w:id="57"/>
      </w:r>
      <w:r>
        <w:t xml:space="preserve">  </w:t>
      </w:r>
    </w:p>
    <w:p w14:paraId="2C73CD92" w14:textId="2048B230" w:rsidR="00CD238D" w:rsidRDefault="00CD238D" w:rsidP="003B2EF1">
      <w:r>
        <w:t xml:space="preserve">As the scale of business lending through RLS 1.0 was relatively low, it was reported to have had a very limited impact on competition in the SME finance market. Accredited lenders that were consulted confirmed that RLS 1.0 lending represented a low proportion of their total lending portfolio and felt that it had not impacted the market significantly, or their position within the market.  </w:t>
      </w:r>
    </w:p>
    <w:p w14:paraId="71A227F7" w14:textId="6FCA969F" w:rsidR="00CD238D" w:rsidRDefault="00CD238D" w:rsidP="003B2EF1">
      <w:r>
        <w:t>In conclusion, the key scheme parameters have had an impact on the quantity of facilities lenders have provided through RLS</w:t>
      </w:r>
      <w:r w:rsidR="002E562D">
        <w:t xml:space="preserve"> 1.0</w:t>
      </w:r>
      <w:r>
        <w:t xml:space="preserve"> compared to CBILS, and although this is generally true across all lenders, one non-bank lender</w:t>
      </w:r>
      <w:r w:rsidR="00676989">
        <w:t xml:space="preserve"> </w:t>
      </w:r>
      <w:r>
        <w:t xml:space="preserve">reported a positive impact on their ability to provide finance due to changes in the type of funding they were able to use in the scheme. The </w:t>
      </w:r>
      <w:r w:rsidR="0004041F">
        <w:t>rates</w:t>
      </w:r>
      <w:r>
        <w:t xml:space="preserve"> offered through RLS</w:t>
      </w:r>
      <w:r w:rsidR="002E562D">
        <w:t xml:space="preserve"> 1.0</w:t>
      </w:r>
      <w:r>
        <w:t xml:space="preserve"> appear to be higher than average commercial bank lending rates – however it was reported by lenders that this was due to the types of customers that accessed finance through the scheme being riskier (in terms of default risk) than those obtaining commercial finance, therefore the pricing reflected this risk. Although the scale of lending through RLS</w:t>
      </w:r>
      <w:r w:rsidR="002E562D">
        <w:t xml:space="preserve"> 1.0</w:t>
      </w:r>
      <w:r>
        <w:t xml:space="preserve"> has been a lot lower than for the </w:t>
      </w:r>
      <w:r w:rsidR="00A10525">
        <w:t>Covid</w:t>
      </w:r>
      <w:r>
        <w:t xml:space="preserve">-19 </w:t>
      </w:r>
      <w:r w:rsidR="00B37DA9">
        <w:t>Loan Guarantee</w:t>
      </w:r>
      <w:r>
        <w:t xml:space="preserve"> Schemes, it is not possible to quantify the impact of the changes (or each of the changes individually) on lending through the scheme.</w:t>
      </w:r>
    </w:p>
    <w:p w14:paraId="74E41BF9" w14:textId="52673374" w:rsidR="00CD238D" w:rsidRDefault="00CD238D">
      <w:r>
        <w:br w:type="page"/>
      </w:r>
    </w:p>
    <w:p w14:paraId="7B02DF7E" w14:textId="27A98134" w:rsidR="00942201" w:rsidRDefault="00942201" w:rsidP="00942201">
      <w:pPr>
        <w:pStyle w:val="Heading1"/>
      </w:pPr>
      <w:bookmarkStart w:id="61" w:name="_Toc161327591"/>
      <w:r>
        <w:t>Concluding remarks</w:t>
      </w:r>
      <w:bookmarkEnd w:id="61"/>
    </w:p>
    <w:p w14:paraId="3844CD4D" w14:textId="2AA4B077" w:rsidR="00942201" w:rsidRDefault="00942201" w:rsidP="00942201">
      <w:r>
        <w:t xml:space="preserve">This report presents the findings of the first evaluation of RLS 1.0, covering both the processes involved and impact of the scheme. </w:t>
      </w:r>
    </w:p>
    <w:p w14:paraId="3059B0BE" w14:textId="660386AE" w:rsidR="00942201" w:rsidRDefault="0035509C" w:rsidP="00942201">
      <w:r>
        <w:t xml:space="preserve">The findings from the process evaluation demonstrate that learnings have been taken from the delivery of CBILS, with improvements in efficiency in terms of the accreditation process and amendments to the scheme design meaning the majority of SME lending was provided through commercial lending rather than guaranteed lending, enhancing the additionality </w:t>
      </w:r>
      <w:r w:rsidR="002E562D">
        <w:t>of RLS 1.0</w:t>
      </w:r>
      <w:r w:rsidR="00C236F3">
        <w:t>.</w:t>
      </w:r>
      <w:r w:rsidR="002E562D">
        <w:t xml:space="preserve"> The </w:t>
      </w:r>
      <w:r>
        <w:t>ability to plan the design and launch of RLS 1.0 over a longer period than was available for the Covid-19 Loan Guarantee Schemes was helpful. Data collection and monitoring approaches continued from the Covid-19 Loan Guarantee Schemes and was seen as being appropriate and proportionate.</w:t>
      </w:r>
    </w:p>
    <w:p w14:paraId="79085D31" w14:textId="4F5E2FC2" w:rsidR="00012C10" w:rsidRDefault="00942201" w:rsidP="00942201">
      <w:r>
        <w:t xml:space="preserve">The findings of the impact evaluation </w:t>
      </w:r>
      <w:r w:rsidR="003A0129">
        <w:t>highlight the importance and value</w:t>
      </w:r>
      <w:r w:rsidR="00C471D1">
        <w:t xml:space="preserve"> of continued support for businesses following a major crisis</w:t>
      </w:r>
      <w:r w:rsidR="00012C10">
        <w:t xml:space="preserve">. </w:t>
      </w:r>
      <w:r w:rsidR="00C471D1">
        <w:t>Whilst the Covid-19 Loan Guarantee Schemes did a good job</w:t>
      </w:r>
      <w:r w:rsidR="00E34D12">
        <w:t xml:space="preserve"> of supporting businesses during the depth of the pandemic, </w:t>
      </w:r>
      <w:r w:rsidR="00EB05CF">
        <w:t xml:space="preserve">businesses faced many challenges even after the end of full lockdown. The evaluation provides strong evidence in support of the idea that RLS 1.0 was successful </w:t>
      </w:r>
      <w:r w:rsidR="002E562D">
        <w:t xml:space="preserve">in meeting its </w:t>
      </w:r>
      <w:r w:rsidR="00EB05CF">
        <w:t>overarching objective of supporting recovery and growth in the aftermath of the pandemic. In particular, the high level of additionality of the scheme combined with the fact that RLS 1.0 was estimated to have such a substantial impact on both turnover and survival of participating businesses.</w:t>
      </w:r>
    </w:p>
    <w:p w14:paraId="684E1194" w14:textId="74C9BE48" w:rsidR="00C471D1" w:rsidRDefault="00012C10" w:rsidP="00942201">
      <w:r>
        <w:t xml:space="preserve">Finally, it should be noted that a further evaluation of RLS 1.0, designed to capture the medium- to long-term impacts of RLS 1.0 and incorporate a wider range of data sources will be undertaken in the years that follow. </w:t>
      </w:r>
      <w:r w:rsidR="00C471D1">
        <w:t>Such a future evaluation could also usefully explore the following to build an even more complete picture of the effects of RLS 1.0</w:t>
      </w:r>
      <w:r w:rsidR="00E34D12">
        <w:t xml:space="preserve"> and improve future policymaking</w:t>
      </w:r>
      <w:r w:rsidR="00C471D1">
        <w:t>:</w:t>
      </w:r>
    </w:p>
    <w:p w14:paraId="2E1CD2AA" w14:textId="6B0608D6" w:rsidR="007755B5" w:rsidRDefault="007755B5" w:rsidP="00C471D1">
      <w:pPr>
        <w:pStyle w:val="ListBullet"/>
      </w:pPr>
      <w:r>
        <w:t>Evaluation of the debt recovery process in place for RLS 1.0 as well as further assessment of the monitoring and data collection processes.</w:t>
      </w:r>
    </w:p>
    <w:p w14:paraId="20830BF4" w14:textId="59AF1DF3" w:rsidR="00C471D1" w:rsidRDefault="00C471D1" w:rsidP="00C471D1">
      <w:pPr>
        <w:pStyle w:val="ListBullet"/>
      </w:pPr>
      <w:r>
        <w:t>Additional analysis of the impacts of RLS 1.0 on turnover, employment, and business survival using secondary data (as it becomes available) to obtain estimates that do not rely on self-reported data and so that a much larger proportion of RLS 1.0 borrowers can be included in the analysis.</w:t>
      </w:r>
    </w:p>
    <w:p w14:paraId="5E5A1307" w14:textId="08457002" w:rsidR="00E34D12" w:rsidRDefault="00E34D12" w:rsidP="00C471D1">
      <w:pPr>
        <w:pStyle w:val="ListBullet"/>
      </w:pPr>
      <w:r>
        <w:t xml:space="preserve">Additional exploration of how the impacts of RLS 1.0 may have varied across sectors and regions, as well as for businesses that have a high representation of individuals with protected characteristics in their senior management. </w:t>
      </w:r>
    </w:p>
    <w:p w14:paraId="08952ECA" w14:textId="00BBE7D8" w:rsidR="00C471D1" w:rsidRDefault="00C471D1" w:rsidP="00C471D1">
      <w:pPr>
        <w:pStyle w:val="ListBullet"/>
      </w:pPr>
      <w:r>
        <w:t xml:space="preserve">Further econometric modelling and case study interviews to understand how RLS 1.0 may have impacted on the productivity of borrowers. </w:t>
      </w:r>
    </w:p>
    <w:p w14:paraId="7DA452FC" w14:textId="3CAEDF07" w:rsidR="00C471D1" w:rsidRDefault="00C471D1" w:rsidP="00C471D1">
      <w:pPr>
        <w:pStyle w:val="ListBullet"/>
      </w:pPr>
      <w:r>
        <w:t xml:space="preserve">An analysis of the value for money of RLS 1.0, comparing the major benefits (in terms of business growth and survival) of the scheme to its major costs (unrecovered loans and administrative </w:t>
      </w:r>
      <w:r w:rsidR="00E34D12">
        <w:t>expenses</w:t>
      </w:r>
      <w:r>
        <w:t xml:space="preserve">). </w:t>
      </w:r>
    </w:p>
    <w:p w14:paraId="5A626CD7" w14:textId="5CD81297" w:rsidR="00942201" w:rsidRPr="005F3E99" w:rsidRDefault="00942201" w:rsidP="00942201">
      <w:r>
        <w:br w:type="page"/>
      </w:r>
    </w:p>
    <w:p w14:paraId="4E58E4D0" w14:textId="51BB7122" w:rsidR="00121260" w:rsidRDefault="00121260" w:rsidP="003B2EF1">
      <w:pPr>
        <w:pStyle w:val="Heading1"/>
      </w:pPr>
      <w:bookmarkStart w:id="62" w:name="_Toc161327592"/>
      <w:r w:rsidRPr="006C43DA">
        <w:t>Annex 1</w:t>
      </w:r>
      <w:bookmarkEnd w:id="55"/>
      <w:bookmarkEnd w:id="62"/>
    </w:p>
    <w:p w14:paraId="751EEB61" w14:textId="31C39CF5" w:rsidR="00696D69" w:rsidRPr="00D52A4A" w:rsidRDefault="00696D69" w:rsidP="00696D69">
      <w:r>
        <w:t xml:space="preserve">This annex provides a description of the design of </w:t>
      </w:r>
      <w:r w:rsidR="006C43DA">
        <w:t>RLS 1.0</w:t>
      </w:r>
      <w:r>
        <w:t xml:space="preserve"> as well as the </w:t>
      </w:r>
      <w:r w:rsidR="004B11BF">
        <w:t>framework for the process evaluation and assessing the impact of scheme parameters</w:t>
      </w:r>
      <w:r>
        <w:t xml:space="preserve"> that was </w:t>
      </w:r>
      <w:r w:rsidRPr="00D52A4A">
        <w:t xml:space="preserve">developed following a comprehensive review of </w:t>
      </w:r>
      <w:r>
        <w:t>key</w:t>
      </w:r>
      <w:r w:rsidRPr="00D52A4A">
        <w:t xml:space="preserve"> documentation and wider published information, interviews</w:t>
      </w:r>
      <w:r w:rsidR="00DD3C07">
        <w:t>,</w:t>
      </w:r>
      <w:r w:rsidRPr="00D52A4A">
        <w:t xml:space="preserve"> </w:t>
      </w:r>
      <w:r>
        <w:t xml:space="preserve">and </w:t>
      </w:r>
      <w:r w:rsidR="006C43DA">
        <w:t>workshops</w:t>
      </w:r>
      <w:r>
        <w:t xml:space="preserve"> </w:t>
      </w:r>
      <w:r w:rsidRPr="00D52A4A">
        <w:t>with key stakeholders.</w:t>
      </w:r>
    </w:p>
    <w:p w14:paraId="4C391228" w14:textId="2FC75BC7" w:rsidR="000D7A05" w:rsidRPr="006C43DA" w:rsidRDefault="000D7A05" w:rsidP="001E57EE">
      <w:pPr>
        <w:pStyle w:val="Heading2"/>
      </w:pPr>
      <w:bookmarkStart w:id="63" w:name="_Toc161327593"/>
      <w:r w:rsidRPr="006C43DA">
        <w:t>Final design</w:t>
      </w:r>
      <w:r w:rsidR="00D73D6A" w:rsidRPr="006C43DA">
        <w:t xml:space="preserve"> of </w:t>
      </w:r>
      <w:r w:rsidR="006C43DA" w:rsidRPr="006C43DA">
        <w:t>RLS 1.0</w:t>
      </w:r>
      <w:bookmarkEnd w:id="63"/>
    </w:p>
    <w:p w14:paraId="5941B020" w14:textId="3D8C40AA" w:rsidR="00D73D6A" w:rsidRPr="006C43DA" w:rsidRDefault="00D73D6A" w:rsidP="00E547ED">
      <w:r w:rsidRPr="006C43DA">
        <w:fldChar w:fldCharType="begin"/>
      </w:r>
      <w:r w:rsidRPr="006C43DA">
        <w:instrText xml:space="preserve"> REF _Ref97794589 \h </w:instrText>
      </w:r>
      <w:r w:rsidR="008D779D" w:rsidRPr="006C43DA">
        <w:instrText xml:space="preserve"> \* MERGEFORMAT </w:instrText>
      </w:r>
      <w:r w:rsidRPr="006C43DA">
        <w:fldChar w:fldCharType="separate"/>
      </w:r>
      <w:r w:rsidR="001525E9" w:rsidRPr="006C43DA">
        <w:t xml:space="preserve">Table </w:t>
      </w:r>
      <w:r w:rsidR="001525E9">
        <w:rPr>
          <w:noProof/>
        </w:rPr>
        <w:t>12</w:t>
      </w:r>
      <w:r w:rsidRPr="006C43DA">
        <w:fldChar w:fldCharType="end"/>
      </w:r>
      <w:r w:rsidRPr="006C43DA">
        <w:t xml:space="preserve"> describes the final design of </w:t>
      </w:r>
      <w:r w:rsidR="006C43DA" w:rsidRPr="006C43DA">
        <w:t>RLS 1.0</w:t>
      </w:r>
      <w:r w:rsidRPr="006C43DA">
        <w:t>.</w:t>
      </w:r>
    </w:p>
    <w:p w14:paraId="63684E7C" w14:textId="1B57D030" w:rsidR="00D73D6A" w:rsidRPr="006C43DA" w:rsidRDefault="00D73D6A" w:rsidP="00E547ED">
      <w:pPr>
        <w:pStyle w:val="Heading5"/>
      </w:pPr>
      <w:bookmarkStart w:id="64" w:name="_Ref97794589"/>
      <w:r w:rsidRPr="006C43DA">
        <w:t xml:space="preserve">Table </w:t>
      </w:r>
      <w:r>
        <w:fldChar w:fldCharType="begin"/>
      </w:r>
      <w:r>
        <w:instrText xml:space="preserve"> SEQ Table \* ARABIC </w:instrText>
      </w:r>
      <w:r>
        <w:fldChar w:fldCharType="separate"/>
      </w:r>
      <w:r w:rsidR="001525E9">
        <w:rPr>
          <w:noProof/>
        </w:rPr>
        <w:t>12</w:t>
      </w:r>
      <w:r>
        <w:rPr>
          <w:noProof/>
        </w:rPr>
        <w:fldChar w:fldCharType="end"/>
      </w:r>
      <w:bookmarkEnd w:id="64"/>
      <w:r w:rsidR="000E7BDD">
        <w:rPr>
          <w:noProof/>
        </w:rPr>
        <w:t>:</w:t>
      </w:r>
      <w:r w:rsidRPr="006C43DA">
        <w:t xml:space="preserve"> Final design of </w:t>
      </w:r>
      <w:r w:rsidR="006C43DA" w:rsidRPr="006C43DA">
        <w:t>RLS 1.0</w:t>
      </w:r>
    </w:p>
    <w:tbl>
      <w:tblPr>
        <w:tblStyle w:val="TableGrid"/>
        <w:tblW w:w="5000" w:type="pct"/>
        <w:tblLook w:val="04A0" w:firstRow="1" w:lastRow="0" w:firstColumn="1" w:lastColumn="0" w:noHBand="0" w:noVBand="1"/>
      </w:tblPr>
      <w:tblGrid>
        <w:gridCol w:w="2646"/>
        <w:gridCol w:w="7508"/>
      </w:tblGrid>
      <w:tr w:rsidR="006C43DA" w:rsidRPr="008D779D" w14:paraId="6FA32673" w14:textId="77777777" w:rsidTr="02AC3778">
        <w:trPr>
          <w:cnfStyle w:val="100000000000" w:firstRow="1" w:lastRow="0" w:firstColumn="0" w:lastColumn="0" w:oddVBand="0" w:evenVBand="0" w:oddHBand="0" w:evenHBand="0" w:firstRowFirstColumn="0" w:firstRowLastColumn="0" w:lastRowFirstColumn="0" w:lastRowLastColumn="0"/>
          <w:tblHeader/>
        </w:trPr>
        <w:tc>
          <w:tcPr>
            <w:tcW w:w="1303" w:type="pct"/>
          </w:tcPr>
          <w:p w14:paraId="70AFB9ED" w14:textId="77777777" w:rsidR="006C43DA" w:rsidRPr="006C43DA" w:rsidRDefault="006C43DA" w:rsidP="00E547ED">
            <w:pPr>
              <w:pStyle w:val="Tablecolumnheading-inkblue"/>
              <w:rPr>
                <w:b w:val="0"/>
              </w:rPr>
            </w:pPr>
            <w:r w:rsidRPr="006C43DA">
              <w:rPr>
                <w:color w:val="FFFFFF" w:themeColor="background1"/>
              </w:rPr>
              <w:t>Design feature</w:t>
            </w:r>
          </w:p>
        </w:tc>
        <w:tc>
          <w:tcPr>
            <w:tcW w:w="3697" w:type="pct"/>
          </w:tcPr>
          <w:p w14:paraId="207CBCC0" w14:textId="2D708A3D" w:rsidR="006C43DA" w:rsidRPr="006C43DA" w:rsidRDefault="00744E99" w:rsidP="00E547ED">
            <w:pPr>
              <w:pStyle w:val="Tablecolumnheading-inkblue"/>
              <w:rPr>
                <w:b w:val="0"/>
              </w:rPr>
            </w:pPr>
            <w:r>
              <w:rPr>
                <w:color w:val="FFFFFF" w:themeColor="background2"/>
              </w:rPr>
              <w:t>R</w:t>
            </w:r>
            <w:r w:rsidR="006C43DA" w:rsidRPr="652BF4BE">
              <w:rPr>
                <w:color w:val="FFFFFF" w:themeColor="background2"/>
              </w:rPr>
              <w:t>LS</w:t>
            </w:r>
            <w:r>
              <w:rPr>
                <w:color w:val="FFFFFF" w:themeColor="background2"/>
              </w:rPr>
              <w:t xml:space="preserve"> 1.0</w:t>
            </w:r>
          </w:p>
        </w:tc>
      </w:tr>
      <w:tr w:rsidR="006C43DA" w:rsidRPr="008D779D" w14:paraId="6554FB77"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03" w:type="pct"/>
            <w:vAlign w:val="center"/>
          </w:tcPr>
          <w:p w14:paraId="1141CA3B" w14:textId="77777777" w:rsidR="006C43DA" w:rsidRPr="006C43DA" w:rsidRDefault="006C43DA" w:rsidP="00E547ED">
            <w:pPr>
              <w:pStyle w:val="Tabletext"/>
            </w:pPr>
            <w:r w:rsidRPr="006C43DA">
              <w:t>Eligible sectors</w:t>
            </w:r>
          </w:p>
        </w:tc>
        <w:tc>
          <w:tcPr>
            <w:tcW w:w="3697" w:type="pct"/>
            <w:vAlign w:val="center"/>
          </w:tcPr>
          <w:p w14:paraId="23F7E4AB" w14:textId="5DD9A1FB" w:rsidR="006C43DA" w:rsidRPr="006C43DA" w:rsidRDefault="006C43DA" w:rsidP="00E547ED">
            <w:pPr>
              <w:pStyle w:val="Tabletext"/>
            </w:pPr>
            <w:r w:rsidRPr="006C43DA">
              <w:t xml:space="preserve">All </w:t>
            </w:r>
            <w:r>
              <w:t>except banks, building societies, insurers, reinsurers, public-sector bodies and state-funded primary or secondary schools</w:t>
            </w:r>
          </w:p>
        </w:tc>
      </w:tr>
      <w:tr w:rsidR="006C43DA" w:rsidRPr="008D779D" w14:paraId="78B022AD" w14:textId="77777777" w:rsidTr="02AC3778">
        <w:tblPrEx>
          <w:tblCellMar>
            <w:left w:w="108" w:type="dxa"/>
            <w:right w:w="108" w:type="dxa"/>
          </w:tblCellMar>
        </w:tblPrEx>
        <w:tc>
          <w:tcPr>
            <w:tcW w:w="1303" w:type="pct"/>
            <w:vAlign w:val="center"/>
          </w:tcPr>
          <w:p w14:paraId="3D910EE5" w14:textId="77777777" w:rsidR="006C43DA" w:rsidRPr="006C43DA" w:rsidRDefault="006C43DA" w:rsidP="00E547ED">
            <w:pPr>
              <w:pStyle w:val="Tabletext"/>
            </w:pPr>
            <w:r w:rsidRPr="006C43DA">
              <w:t>Business turnover limit</w:t>
            </w:r>
          </w:p>
        </w:tc>
        <w:tc>
          <w:tcPr>
            <w:tcW w:w="3697" w:type="pct"/>
            <w:vAlign w:val="center"/>
          </w:tcPr>
          <w:p w14:paraId="00F5489A" w14:textId="62E094A4" w:rsidR="006C43DA" w:rsidRPr="006C43DA" w:rsidRDefault="006C43DA" w:rsidP="00E547ED">
            <w:pPr>
              <w:pStyle w:val="Tabletext"/>
            </w:pPr>
            <w:r>
              <w:t>Any size</w:t>
            </w:r>
          </w:p>
        </w:tc>
      </w:tr>
      <w:tr w:rsidR="006C43DA" w:rsidRPr="008D779D" w14:paraId="3C85CB24"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03" w:type="pct"/>
            <w:vAlign w:val="center"/>
          </w:tcPr>
          <w:p w14:paraId="1008B83C" w14:textId="4B88C62C" w:rsidR="006C43DA" w:rsidRPr="006C43DA" w:rsidRDefault="006C43DA" w:rsidP="00E547ED">
            <w:pPr>
              <w:pStyle w:val="Tabletext"/>
            </w:pPr>
            <w:r>
              <w:t>Status</w:t>
            </w:r>
          </w:p>
        </w:tc>
        <w:tc>
          <w:tcPr>
            <w:tcW w:w="3697" w:type="pct"/>
            <w:vAlign w:val="center"/>
          </w:tcPr>
          <w:p w14:paraId="3990A0A7" w14:textId="001FA6EA" w:rsidR="006C43DA" w:rsidRPr="006C43DA" w:rsidRDefault="006C43DA" w:rsidP="00E547ED">
            <w:pPr>
              <w:pStyle w:val="Tabletext"/>
            </w:pPr>
            <w:r>
              <w:t>Must be trading in the UK and demonstrate that they would be viable were it not for the pandemic, have experienced challenges or opportunities as a result of the pandemic and are not in collective insolvency proceedings (unless the business is in scope of the Northern Ireland Protocol in which case different eligibility rules may apply)</w:t>
            </w:r>
          </w:p>
        </w:tc>
      </w:tr>
      <w:tr w:rsidR="006C43DA" w:rsidRPr="008D779D" w14:paraId="19CE60DA" w14:textId="77777777" w:rsidTr="02AC3778">
        <w:tblPrEx>
          <w:tblCellMar>
            <w:left w:w="108" w:type="dxa"/>
            <w:right w:w="108" w:type="dxa"/>
          </w:tblCellMar>
        </w:tblPrEx>
        <w:tc>
          <w:tcPr>
            <w:tcW w:w="1303" w:type="pct"/>
            <w:vAlign w:val="center"/>
          </w:tcPr>
          <w:p w14:paraId="0B794762" w14:textId="77777777" w:rsidR="006C43DA" w:rsidRPr="006C43DA" w:rsidRDefault="006C43DA" w:rsidP="00E547ED">
            <w:pPr>
              <w:pStyle w:val="Tabletext"/>
            </w:pPr>
            <w:r w:rsidRPr="006C43DA">
              <w:t>Guarantee to the lender</w:t>
            </w:r>
          </w:p>
        </w:tc>
        <w:tc>
          <w:tcPr>
            <w:tcW w:w="3697" w:type="pct"/>
            <w:vAlign w:val="center"/>
          </w:tcPr>
          <w:p w14:paraId="46B43A5E" w14:textId="77777777" w:rsidR="006C43DA" w:rsidRPr="006C43DA" w:rsidRDefault="006C43DA" w:rsidP="00E547ED">
            <w:pPr>
              <w:pStyle w:val="Tabletext"/>
            </w:pPr>
            <w:r w:rsidRPr="006C43DA">
              <w:t>80%</w:t>
            </w:r>
          </w:p>
        </w:tc>
      </w:tr>
      <w:tr w:rsidR="006C43DA" w:rsidRPr="008D779D" w14:paraId="049DFBF6"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03" w:type="pct"/>
            <w:vAlign w:val="center"/>
          </w:tcPr>
          <w:p w14:paraId="5B686CBC" w14:textId="37E2EAD5" w:rsidR="006C43DA" w:rsidRPr="006C43DA" w:rsidRDefault="006C43DA" w:rsidP="00E547ED">
            <w:pPr>
              <w:pStyle w:val="Tabletext"/>
            </w:pPr>
            <w:r>
              <w:t>Finance available</w:t>
            </w:r>
          </w:p>
        </w:tc>
        <w:tc>
          <w:tcPr>
            <w:tcW w:w="3697" w:type="pct"/>
            <w:vAlign w:val="center"/>
          </w:tcPr>
          <w:p w14:paraId="50205D09" w14:textId="514AA38A" w:rsidR="006C43DA" w:rsidRPr="006C43DA" w:rsidRDefault="006C43DA" w:rsidP="00E547ED">
            <w:pPr>
              <w:pStyle w:val="Tabletext"/>
            </w:pPr>
            <w:r>
              <w:t>Term loans or overdrafts of between £25,001 and £10 million per business and invoice or asset finance between £1,000 and £10 million per business, with a business group limit of £30 million</w:t>
            </w:r>
          </w:p>
        </w:tc>
      </w:tr>
      <w:tr w:rsidR="006C43DA" w:rsidRPr="008D779D" w14:paraId="6EB467BD" w14:textId="77777777" w:rsidTr="02AC3778">
        <w:tblPrEx>
          <w:tblCellMar>
            <w:left w:w="108" w:type="dxa"/>
            <w:right w:w="108" w:type="dxa"/>
          </w:tblCellMar>
        </w:tblPrEx>
        <w:tc>
          <w:tcPr>
            <w:tcW w:w="1303" w:type="pct"/>
            <w:vAlign w:val="center"/>
          </w:tcPr>
          <w:p w14:paraId="3BD7D01A" w14:textId="6CC2814C" w:rsidR="006C43DA" w:rsidRPr="006C43DA" w:rsidRDefault="006C43DA" w:rsidP="00E547ED">
            <w:pPr>
              <w:pStyle w:val="Tabletext"/>
            </w:pPr>
            <w:r>
              <w:t>Personal guarantees</w:t>
            </w:r>
          </w:p>
        </w:tc>
        <w:tc>
          <w:tcPr>
            <w:tcW w:w="3697" w:type="pct"/>
            <w:vAlign w:val="center"/>
          </w:tcPr>
          <w:p w14:paraId="61575713" w14:textId="64EFF157" w:rsidR="006C43DA" w:rsidRPr="006C43DA" w:rsidRDefault="006C43DA" w:rsidP="00E547ED">
            <w:pPr>
              <w:pStyle w:val="Tabletext"/>
            </w:pPr>
            <w:r>
              <w:t>No personal guarantees taken on facilities up to £250,000, and a borrower’s principal private residence cannot be taken as security</w:t>
            </w:r>
          </w:p>
        </w:tc>
      </w:tr>
      <w:tr w:rsidR="006C43DA" w:rsidRPr="008D779D" w14:paraId="427B6415"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03" w:type="pct"/>
            <w:vAlign w:val="center"/>
          </w:tcPr>
          <w:p w14:paraId="6B1C2A2D" w14:textId="280B12A1" w:rsidR="006C43DA" w:rsidRPr="006C43DA" w:rsidRDefault="006C43DA" w:rsidP="00E547ED">
            <w:pPr>
              <w:pStyle w:val="Tabletext"/>
            </w:pPr>
            <w:r w:rsidRPr="006C43DA">
              <w:t>Interest rate</w:t>
            </w:r>
          </w:p>
        </w:tc>
        <w:tc>
          <w:tcPr>
            <w:tcW w:w="3697" w:type="pct"/>
            <w:vAlign w:val="center"/>
          </w:tcPr>
          <w:p w14:paraId="328AF889" w14:textId="1BFCD22A" w:rsidR="006C43DA" w:rsidRPr="006C43DA" w:rsidRDefault="006C43DA" w:rsidP="00E547ED">
            <w:pPr>
              <w:pStyle w:val="Tabletext"/>
            </w:pPr>
            <w:r>
              <w:t>Up to lender but capped at 14.99%</w:t>
            </w:r>
            <w:r w:rsidR="486B3B79">
              <w:t xml:space="preserve"> per annum</w:t>
            </w:r>
          </w:p>
        </w:tc>
      </w:tr>
      <w:tr w:rsidR="006C43DA" w:rsidRPr="008D779D" w14:paraId="04D39F80" w14:textId="77777777" w:rsidTr="02AC3778">
        <w:tblPrEx>
          <w:tblCellMar>
            <w:left w:w="108" w:type="dxa"/>
            <w:right w:w="108" w:type="dxa"/>
          </w:tblCellMar>
        </w:tblPrEx>
        <w:tc>
          <w:tcPr>
            <w:tcW w:w="1303" w:type="pct"/>
            <w:vAlign w:val="center"/>
          </w:tcPr>
          <w:p w14:paraId="268B0C8D" w14:textId="77777777" w:rsidR="006C43DA" w:rsidRPr="006C43DA" w:rsidRDefault="6BC9C405" w:rsidP="00E547ED">
            <w:pPr>
              <w:pStyle w:val="Tabletext"/>
            </w:pPr>
            <w:r w:rsidRPr="006C43DA">
              <w:t>Fee payable to HMT (for businesses)</w:t>
            </w:r>
            <w:r w:rsidR="006C43DA" w:rsidRPr="006C43DA">
              <w:rPr>
                <w:rStyle w:val="FootnoteReference"/>
                <w:sz w:val="18"/>
                <w:szCs w:val="18"/>
              </w:rPr>
              <w:footnoteReference w:id="58"/>
            </w:r>
          </w:p>
        </w:tc>
        <w:tc>
          <w:tcPr>
            <w:tcW w:w="3697" w:type="pct"/>
            <w:vAlign w:val="center"/>
          </w:tcPr>
          <w:p w14:paraId="3F6D557D" w14:textId="77777777" w:rsidR="006C43DA" w:rsidRPr="006C43DA" w:rsidRDefault="006C43DA" w:rsidP="00E547ED">
            <w:pPr>
              <w:pStyle w:val="Tabletext"/>
            </w:pPr>
            <w:r w:rsidRPr="006C43DA">
              <w:t>Zero</w:t>
            </w:r>
          </w:p>
        </w:tc>
      </w:tr>
      <w:tr w:rsidR="006C43DA" w:rsidRPr="008D779D" w14:paraId="43673F8C"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03" w:type="pct"/>
            <w:vAlign w:val="center"/>
          </w:tcPr>
          <w:p w14:paraId="2E01D1C9" w14:textId="37BEA14E" w:rsidR="006C43DA" w:rsidRPr="006C43DA" w:rsidRDefault="006C43DA" w:rsidP="00E547ED">
            <w:pPr>
              <w:pStyle w:val="Tabletext"/>
            </w:pPr>
            <w:r>
              <w:t>Portfolio cap on lender claims</w:t>
            </w:r>
          </w:p>
        </w:tc>
        <w:tc>
          <w:tcPr>
            <w:tcW w:w="3697" w:type="pct"/>
            <w:vAlign w:val="center"/>
          </w:tcPr>
          <w:p w14:paraId="16D9C591" w14:textId="4426EE4E" w:rsidR="006C43DA" w:rsidRPr="006C43DA" w:rsidRDefault="006C43DA" w:rsidP="00E547ED">
            <w:pPr>
              <w:pStyle w:val="Tabletext"/>
            </w:pPr>
            <w:r w:rsidRPr="006C43DA">
              <w:t>No</w:t>
            </w:r>
          </w:p>
        </w:tc>
      </w:tr>
      <w:tr w:rsidR="006C43DA" w:rsidRPr="008D779D" w14:paraId="4667ECA9" w14:textId="77777777" w:rsidTr="02AC3778">
        <w:tblPrEx>
          <w:tblCellMar>
            <w:left w:w="108" w:type="dxa"/>
            <w:right w:w="108" w:type="dxa"/>
          </w:tblCellMar>
        </w:tblPrEx>
        <w:tc>
          <w:tcPr>
            <w:tcW w:w="1303" w:type="pct"/>
            <w:vAlign w:val="center"/>
          </w:tcPr>
          <w:p w14:paraId="3D40AD00" w14:textId="77777777" w:rsidR="006C43DA" w:rsidRPr="006C43DA" w:rsidRDefault="006C43DA" w:rsidP="00E547ED">
            <w:pPr>
              <w:pStyle w:val="Tabletext"/>
            </w:pPr>
            <w:r w:rsidRPr="006C43DA">
              <w:t>Cap on refinancing</w:t>
            </w:r>
          </w:p>
        </w:tc>
        <w:tc>
          <w:tcPr>
            <w:tcW w:w="3697" w:type="pct"/>
            <w:vAlign w:val="center"/>
          </w:tcPr>
          <w:p w14:paraId="7539B828" w14:textId="1AA01BA2" w:rsidR="006C43DA" w:rsidRPr="006C43DA" w:rsidRDefault="006C43DA" w:rsidP="00E547ED">
            <w:pPr>
              <w:pStyle w:val="Tabletext"/>
            </w:pPr>
            <w:r>
              <w:t xml:space="preserve">20% </w:t>
            </w:r>
            <w:r w:rsidR="6970C28E">
              <w:t>(amounts applied to refinance BBLS, CBILS, CLBILS or EFG facilities are not included in this limit)</w:t>
            </w:r>
          </w:p>
        </w:tc>
      </w:tr>
      <w:tr w:rsidR="00DD20DA" w14:paraId="049C67E3"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70"/>
        </w:trPr>
        <w:tc>
          <w:tcPr>
            <w:tcW w:w="1303" w:type="pct"/>
            <w:vAlign w:val="center"/>
          </w:tcPr>
          <w:p w14:paraId="45BF8875" w14:textId="52EF1BCB" w:rsidR="00DD20DA" w:rsidRPr="006C43DA" w:rsidRDefault="00DD20DA" w:rsidP="00DD20DA">
            <w:pPr>
              <w:pStyle w:val="Tabletext"/>
            </w:pPr>
            <w:r>
              <w:t>Repayment period</w:t>
            </w:r>
          </w:p>
        </w:tc>
        <w:tc>
          <w:tcPr>
            <w:tcW w:w="3697" w:type="pct"/>
            <w:vAlign w:val="center"/>
          </w:tcPr>
          <w:p w14:paraId="5FE2D821" w14:textId="430DEC56" w:rsidR="00DD20DA" w:rsidRPr="006C43DA" w:rsidRDefault="00DD20DA" w:rsidP="00DD20DA">
            <w:pPr>
              <w:pStyle w:val="Tabletext"/>
            </w:pPr>
            <w:r>
              <w:t>Up to 3 years for overdrafts/revolving credit facilities and invoice finance facilities and up to 6 years for term loans and asset finance facilities</w:t>
            </w:r>
          </w:p>
        </w:tc>
      </w:tr>
    </w:tbl>
    <w:p w14:paraId="3F53FA98" w14:textId="77777777" w:rsidR="00D73D6A" w:rsidRPr="00D73D6A" w:rsidRDefault="00D73D6A" w:rsidP="00E547ED"/>
    <w:p w14:paraId="4E62A361" w14:textId="77777777" w:rsidR="004D146C" w:rsidRDefault="004D146C" w:rsidP="001E57EE">
      <w:pPr>
        <w:pStyle w:val="Heading2"/>
        <w:sectPr w:rsidR="004D146C" w:rsidSect="00A21374">
          <w:pgSz w:w="11906" w:h="16838" w:code="9"/>
          <w:pgMar w:top="1701" w:right="845" w:bottom="1531" w:left="907" w:header="624" w:footer="454" w:gutter="0"/>
          <w:cols w:space="284"/>
          <w:titlePg/>
          <w:docGrid w:linePitch="360"/>
        </w:sectPr>
      </w:pPr>
    </w:p>
    <w:p w14:paraId="1E214133" w14:textId="68D97CB6" w:rsidR="00121260" w:rsidRDefault="004B11BF" w:rsidP="001E57EE">
      <w:pPr>
        <w:pStyle w:val="Heading2"/>
      </w:pPr>
      <w:bookmarkStart w:id="65" w:name="_Toc161327594"/>
      <w:r>
        <w:t>Framework for process evaluation and assessing the impact of scheme parameters</w:t>
      </w:r>
      <w:bookmarkEnd w:id="65"/>
    </w:p>
    <w:p w14:paraId="1D7C79AD" w14:textId="19B7CEF3" w:rsidR="0015450C" w:rsidRDefault="0015450C" w:rsidP="0015450C">
      <w:pPr>
        <w:pStyle w:val="Heading5"/>
      </w:pPr>
      <w:r>
        <w:t xml:space="preserve">Table </w:t>
      </w:r>
      <w:r>
        <w:fldChar w:fldCharType="begin"/>
      </w:r>
      <w:r>
        <w:instrText xml:space="preserve"> SEQ Table \* ARABIC </w:instrText>
      </w:r>
      <w:r>
        <w:fldChar w:fldCharType="separate"/>
      </w:r>
      <w:r w:rsidR="001525E9">
        <w:rPr>
          <w:noProof/>
        </w:rPr>
        <w:t>13</w:t>
      </w:r>
      <w:r>
        <w:rPr>
          <w:noProof/>
        </w:rPr>
        <w:fldChar w:fldCharType="end"/>
      </w:r>
      <w:r w:rsidR="0098347E">
        <w:rPr>
          <w:noProof/>
        </w:rPr>
        <w:t>:</w:t>
      </w:r>
      <w:r>
        <w:t xml:space="preserve"> Process evaluation framework</w:t>
      </w:r>
    </w:p>
    <w:tbl>
      <w:tblPr>
        <w:tblStyle w:val="TableGrid"/>
        <w:tblW w:w="5000" w:type="pct"/>
        <w:tblLayout w:type="fixed"/>
        <w:tblLook w:val="04A0" w:firstRow="1" w:lastRow="0" w:firstColumn="1" w:lastColumn="0" w:noHBand="0" w:noVBand="1"/>
      </w:tblPr>
      <w:tblGrid>
        <w:gridCol w:w="1503"/>
        <w:gridCol w:w="4393"/>
        <w:gridCol w:w="2700"/>
        <w:gridCol w:w="700"/>
        <w:gridCol w:w="702"/>
        <w:gridCol w:w="703"/>
        <w:gridCol w:w="704"/>
        <w:gridCol w:w="700"/>
        <w:gridCol w:w="779"/>
        <w:gridCol w:w="722"/>
      </w:tblGrid>
      <w:tr w:rsidR="004D146C" w14:paraId="043C30E7" w14:textId="77777777" w:rsidTr="02AC3778">
        <w:trPr>
          <w:cnfStyle w:val="100000000000" w:firstRow="1" w:lastRow="0" w:firstColumn="0" w:lastColumn="0" w:oddVBand="0" w:evenVBand="0" w:oddHBand="0" w:evenHBand="0" w:firstRowFirstColumn="0" w:firstRowLastColumn="0" w:lastRowFirstColumn="0" w:lastRowLastColumn="0"/>
          <w:cantSplit/>
          <w:trHeight w:val="50"/>
          <w:tblHeader/>
        </w:trPr>
        <w:tc>
          <w:tcPr>
            <w:tcW w:w="1503" w:type="dxa"/>
            <w:vMerge w:val="restart"/>
          </w:tcPr>
          <w:p w14:paraId="19E0222D" w14:textId="77777777" w:rsidR="004D146C" w:rsidRPr="004D146C" w:rsidRDefault="004D146C" w:rsidP="00AB3D40">
            <w:pPr>
              <w:pStyle w:val="04ABodyText"/>
              <w:spacing w:before="0" w:after="0" w:line="240" w:lineRule="auto"/>
              <w:rPr>
                <w:rFonts w:ascii="Arial" w:hAnsi="Arial"/>
                <w:b w:val="0"/>
                <w:bCs/>
                <w:color w:val="auto"/>
                <w:sz w:val="22"/>
                <w:szCs w:val="22"/>
              </w:rPr>
            </w:pPr>
            <w:bookmarkStart w:id="66" w:name="_Ref92922539"/>
            <w:bookmarkStart w:id="67" w:name="_Ref92922795"/>
            <w:bookmarkStart w:id="68" w:name="_Ref92923288"/>
            <w:bookmarkStart w:id="69" w:name="_Ref92923384"/>
            <w:bookmarkStart w:id="70" w:name="_Ref92923519"/>
            <w:r w:rsidRPr="004D146C">
              <w:rPr>
                <w:rFonts w:ascii="Arial" w:hAnsi="Arial"/>
                <w:bCs/>
                <w:color w:val="auto"/>
                <w:sz w:val="22"/>
                <w:szCs w:val="22"/>
              </w:rPr>
              <w:t>Process group</w:t>
            </w:r>
          </w:p>
        </w:tc>
        <w:tc>
          <w:tcPr>
            <w:tcW w:w="4393" w:type="dxa"/>
            <w:vMerge w:val="restart"/>
          </w:tcPr>
          <w:p w14:paraId="468BE440" w14:textId="77777777" w:rsidR="004D146C" w:rsidRPr="004D146C" w:rsidRDefault="004D146C" w:rsidP="00AB3D40">
            <w:pPr>
              <w:pStyle w:val="04ABodyText"/>
              <w:spacing w:before="0" w:after="0" w:line="240" w:lineRule="auto"/>
              <w:rPr>
                <w:rFonts w:ascii="Arial" w:hAnsi="Arial"/>
                <w:b w:val="0"/>
                <w:bCs/>
                <w:color w:val="auto"/>
                <w:sz w:val="22"/>
                <w:szCs w:val="22"/>
              </w:rPr>
            </w:pPr>
            <w:r w:rsidRPr="004D146C">
              <w:rPr>
                <w:rFonts w:ascii="Arial" w:hAnsi="Arial"/>
                <w:bCs/>
                <w:color w:val="auto"/>
                <w:sz w:val="22"/>
                <w:szCs w:val="22"/>
              </w:rPr>
              <w:t>Evaluation question</w:t>
            </w:r>
          </w:p>
        </w:tc>
        <w:tc>
          <w:tcPr>
            <w:tcW w:w="2700" w:type="dxa"/>
            <w:vMerge w:val="restart"/>
          </w:tcPr>
          <w:p w14:paraId="7FC04529" w14:textId="77777777" w:rsidR="004D146C" w:rsidRPr="004D146C" w:rsidRDefault="004D146C" w:rsidP="00AB3D40">
            <w:pPr>
              <w:pStyle w:val="04ABodyText"/>
              <w:spacing w:before="0" w:after="0" w:line="240" w:lineRule="auto"/>
              <w:rPr>
                <w:rFonts w:ascii="Arial" w:hAnsi="Arial"/>
                <w:b w:val="0"/>
                <w:bCs/>
                <w:color w:val="auto"/>
                <w:sz w:val="22"/>
                <w:szCs w:val="22"/>
              </w:rPr>
            </w:pPr>
            <w:r w:rsidRPr="004D146C">
              <w:rPr>
                <w:rFonts w:ascii="Arial" w:hAnsi="Arial"/>
                <w:bCs/>
                <w:color w:val="auto"/>
                <w:sz w:val="22"/>
                <w:szCs w:val="22"/>
              </w:rPr>
              <w:t>Key metrics</w:t>
            </w:r>
          </w:p>
        </w:tc>
        <w:tc>
          <w:tcPr>
            <w:tcW w:w="5010" w:type="dxa"/>
            <w:gridSpan w:val="7"/>
            <w:vAlign w:val="center"/>
          </w:tcPr>
          <w:p w14:paraId="0E2A34E7" w14:textId="4B01AD9A" w:rsidR="004D146C" w:rsidRPr="004D146C" w:rsidRDefault="004D146C" w:rsidP="00AB3D40">
            <w:pPr>
              <w:pStyle w:val="04ABodyText"/>
              <w:spacing w:before="0" w:after="0" w:line="240" w:lineRule="auto"/>
              <w:jc w:val="center"/>
              <w:rPr>
                <w:rFonts w:ascii="Arial" w:hAnsi="Arial"/>
                <w:b w:val="0"/>
                <w:bCs/>
                <w:color w:val="auto"/>
                <w:sz w:val="22"/>
                <w:szCs w:val="22"/>
              </w:rPr>
            </w:pPr>
            <w:r w:rsidRPr="004D146C">
              <w:rPr>
                <w:rFonts w:ascii="Arial" w:hAnsi="Arial"/>
                <w:bCs/>
                <w:color w:val="auto"/>
                <w:sz w:val="22"/>
                <w:szCs w:val="22"/>
              </w:rPr>
              <w:t>Sources of evidence</w:t>
            </w:r>
          </w:p>
        </w:tc>
      </w:tr>
      <w:tr w:rsidR="004D146C" w14:paraId="49D6D7E5" w14:textId="77777777" w:rsidTr="00EB6884">
        <w:trPr>
          <w:cnfStyle w:val="100000000000" w:firstRow="1" w:lastRow="0" w:firstColumn="0" w:lastColumn="0" w:oddVBand="0" w:evenVBand="0" w:oddHBand="0" w:evenHBand="0" w:firstRowFirstColumn="0" w:firstRowLastColumn="0" w:lastRowFirstColumn="0" w:lastRowLastColumn="0"/>
          <w:cantSplit/>
          <w:trHeight w:val="2449"/>
          <w:tblHeader/>
        </w:trPr>
        <w:tc>
          <w:tcPr>
            <w:tcW w:w="1503" w:type="dxa"/>
            <w:vMerge/>
            <w:tcBorders>
              <w:bottom w:val="single" w:sz="4" w:space="0" w:color="auto"/>
            </w:tcBorders>
          </w:tcPr>
          <w:p w14:paraId="142CBD20" w14:textId="77777777" w:rsidR="004D146C" w:rsidRPr="004D146C" w:rsidRDefault="004D146C" w:rsidP="00AB3D40">
            <w:pPr>
              <w:pStyle w:val="04ABodyText"/>
              <w:spacing w:before="0" w:after="0" w:line="240" w:lineRule="auto"/>
              <w:rPr>
                <w:rFonts w:ascii="Arial" w:hAnsi="Arial"/>
                <w:b w:val="0"/>
                <w:bCs/>
                <w:color w:val="auto"/>
                <w:sz w:val="22"/>
                <w:szCs w:val="22"/>
              </w:rPr>
            </w:pPr>
          </w:p>
        </w:tc>
        <w:tc>
          <w:tcPr>
            <w:tcW w:w="4393" w:type="dxa"/>
            <w:vMerge/>
          </w:tcPr>
          <w:p w14:paraId="136038BD" w14:textId="77777777" w:rsidR="004D146C" w:rsidRPr="004D146C" w:rsidRDefault="004D146C" w:rsidP="00AB3D40">
            <w:pPr>
              <w:pStyle w:val="04ABodyText"/>
              <w:spacing w:before="0" w:after="0" w:line="240" w:lineRule="auto"/>
              <w:rPr>
                <w:rFonts w:ascii="Arial" w:hAnsi="Arial"/>
                <w:b w:val="0"/>
                <w:bCs/>
                <w:color w:val="auto"/>
                <w:sz w:val="22"/>
                <w:szCs w:val="22"/>
              </w:rPr>
            </w:pPr>
          </w:p>
        </w:tc>
        <w:tc>
          <w:tcPr>
            <w:tcW w:w="2700" w:type="dxa"/>
            <w:vMerge/>
          </w:tcPr>
          <w:p w14:paraId="6D6D6268" w14:textId="77777777" w:rsidR="004D146C" w:rsidRPr="004D146C" w:rsidRDefault="004D146C" w:rsidP="00AB3D40">
            <w:pPr>
              <w:pStyle w:val="04ABodyText"/>
              <w:spacing w:before="0" w:after="0" w:line="240" w:lineRule="auto"/>
              <w:rPr>
                <w:rFonts w:ascii="Arial" w:hAnsi="Arial"/>
                <w:b w:val="0"/>
                <w:bCs/>
                <w:color w:val="auto"/>
                <w:sz w:val="22"/>
                <w:szCs w:val="22"/>
              </w:rPr>
            </w:pPr>
          </w:p>
        </w:tc>
        <w:tc>
          <w:tcPr>
            <w:tcW w:w="700" w:type="dxa"/>
            <w:tcBorders>
              <w:bottom w:val="single" w:sz="4" w:space="0" w:color="auto"/>
            </w:tcBorders>
            <w:textDirection w:val="tbRl"/>
            <w:vAlign w:val="center"/>
          </w:tcPr>
          <w:p w14:paraId="18650F05" w14:textId="77777777" w:rsidR="004D146C" w:rsidRPr="004D146C" w:rsidRDefault="004D146C" w:rsidP="00AB3D40">
            <w:pPr>
              <w:pStyle w:val="04ABodyText"/>
              <w:spacing w:before="0" w:after="0" w:line="240" w:lineRule="auto"/>
              <w:ind w:left="113" w:right="113"/>
              <w:jc w:val="center"/>
              <w:rPr>
                <w:rFonts w:ascii="Arial" w:hAnsi="Arial"/>
                <w:b w:val="0"/>
                <w:bCs/>
                <w:color w:val="auto"/>
                <w:sz w:val="22"/>
                <w:szCs w:val="22"/>
              </w:rPr>
            </w:pPr>
            <w:r w:rsidRPr="004D146C">
              <w:rPr>
                <w:rFonts w:ascii="Arial" w:hAnsi="Arial"/>
                <w:bCs/>
                <w:color w:val="auto"/>
                <w:sz w:val="22"/>
                <w:szCs w:val="22"/>
              </w:rPr>
              <w:t>Monitoring data</w:t>
            </w:r>
          </w:p>
        </w:tc>
        <w:tc>
          <w:tcPr>
            <w:tcW w:w="702" w:type="dxa"/>
            <w:tcBorders>
              <w:bottom w:val="single" w:sz="4" w:space="0" w:color="auto"/>
            </w:tcBorders>
            <w:textDirection w:val="tbRl"/>
            <w:vAlign w:val="center"/>
          </w:tcPr>
          <w:p w14:paraId="77FDE132" w14:textId="77777777" w:rsidR="004D146C" w:rsidRPr="004D146C" w:rsidRDefault="004D146C" w:rsidP="00AB3D40">
            <w:pPr>
              <w:pStyle w:val="04ABodyText"/>
              <w:spacing w:before="0" w:after="0" w:line="240" w:lineRule="auto"/>
              <w:ind w:left="113" w:right="113"/>
              <w:jc w:val="center"/>
              <w:rPr>
                <w:rFonts w:ascii="Arial" w:hAnsi="Arial"/>
                <w:b w:val="0"/>
                <w:bCs/>
                <w:color w:val="auto"/>
                <w:sz w:val="22"/>
                <w:szCs w:val="22"/>
              </w:rPr>
            </w:pPr>
            <w:r w:rsidRPr="004D146C">
              <w:rPr>
                <w:rFonts w:ascii="Arial" w:hAnsi="Arial"/>
                <w:bCs/>
                <w:color w:val="auto"/>
                <w:sz w:val="22"/>
                <w:szCs w:val="22"/>
              </w:rPr>
              <w:t>BBB documentation</w:t>
            </w:r>
          </w:p>
        </w:tc>
        <w:tc>
          <w:tcPr>
            <w:tcW w:w="703" w:type="dxa"/>
            <w:tcBorders>
              <w:bottom w:val="single" w:sz="4" w:space="0" w:color="auto"/>
            </w:tcBorders>
            <w:textDirection w:val="tbRl"/>
            <w:vAlign w:val="center"/>
          </w:tcPr>
          <w:p w14:paraId="61B525B6" w14:textId="6C558F61" w:rsidR="004D146C" w:rsidRPr="004D146C" w:rsidRDefault="004D146C" w:rsidP="00AB3D40">
            <w:pPr>
              <w:pStyle w:val="04ABodyText"/>
              <w:spacing w:before="0" w:after="0" w:line="240" w:lineRule="auto"/>
              <w:ind w:left="113" w:right="113"/>
              <w:jc w:val="center"/>
              <w:rPr>
                <w:rFonts w:ascii="Arial" w:hAnsi="Arial"/>
                <w:b w:val="0"/>
                <w:bCs/>
                <w:color w:val="auto"/>
                <w:sz w:val="22"/>
                <w:szCs w:val="22"/>
              </w:rPr>
            </w:pPr>
            <w:r w:rsidRPr="004D146C">
              <w:rPr>
                <w:rFonts w:ascii="Arial" w:hAnsi="Arial"/>
                <w:bCs/>
                <w:color w:val="auto"/>
                <w:sz w:val="22"/>
                <w:szCs w:val="22"/>
              </w:rPr>
              <w:t xml:space="preserve">Literature review </w:t>
            </w:r>
          </w:p>
        </w:tc>
        <w:tc>
          <w:tcPr>
            <w:tcW w:w="704" w:type="dxa"/>
            <w:tcBorders>
              <w:bottom w:val="single" w:sz="4" w:space="0" w:color="auto"/>
            </w:tcBorders>
            <w:textDirection w:val="tbRl"/>
            <w:vAlign w:val="center"/>
          </w:tcPr>
          <w:p w14:paraId="7D749C58" w14:textId="02FF66E2" w:rsidR="004D146C" w:rsidRPr="004D146C" w:rsidRDefault="004D146C" w:rsidP="00AB3D40">
            <w:pPr>
              <w:pStyle w:val="04ABodyText"/>
              <w:spacing w:before="0" w:after="0" w:line="240" w:lineRule="auto"/>
              <w:ind w:left="113" w:right="113"/>
              <w:jc w:val="center"/>
              <w:rPr>
                <w:rFonts w:ascii="Arial" w:hAnsi="Arial"/>
                <w:b w:val="0"/>
                <w:bCs/>
                <w:color w:val="auto"/>
                <w:sz w:val="22"/>
                <w:szCs w:val="22"/>
              </w:rPr>
            </w:pPr>
            <w:r w:rsidRPr="004D146C">
              <w:rPr>
                <w:rFonts w:ascii="Arial" w:hAnsi="Arial"/>
                <w:bCs/>
                <w:color w:val="auto"/>
                <w:sz w:val="22"/>
                <w:szCs w:val="22"/>
              </w:rPr>
              <w:t>BBB/</w:t>
            </w:r>
            <w:r w:rsidR="007A1031">
              <w:rPr>
                <w:rFonts w:ascii="Arial" w:hAnsi="Arial"/>
                <w:bCs/>
                <w:color w:val="auto"/>
                <w:sz w:val="22"/>
                <w:szCs w:val="22"/>
              </w:rPr>
              <w:t>DBT</w:t>
            </w:r>
            <w:r w:rsidRPr="004D146C">
              <w:rPr>
                <w:rFonts w:ascii="Arial" w:hAnsi="Arial"/>
                <w:bCs/>
                <w:color w:val="auto"/>
                <w:sz w:val="22"/>
                <w:szCs w:val="22"/>
              </w:rPr>
              <w:t>/HMT</w:t>
            </w:r>
          </w:p>
        </w:tc>
        <w:tc>
          <w:tcPr>
            <w:tcW w:w="700" w:type="dxa"/>
            <w:tcBorders>
              <w:bottom w:val="single" w:sz="4" w:space="0" w:color="auto"/>
            </w:tcBorders>
            <w:textDirection w:val="tbRl"/>
            <w:vAlign w:val="center"/>
          </w:tcPr>
          <w:p w14:paraId="7D9EC504" w14:textId="78773C11" w:rsidR="004D146C" w:rsidRPr="004D146C" w:rsidRDefault="004D146C" w:rsidP="00AB3D40">
            <w:pPr>
              <w:pStyle w:val="04ABodyText"/>
              <w:spacing w:before="0" w:after="0" w:line="240" w:lineRule="auto"/>
              <w:ind w:left="113" w:right="113"/>
              <w:jc w:val="center"/>
              <w:rPr>
                <w:rFonts w:ascii="Arial" w:hAnsi="Arial"/>
                <w:b w:val="0"/>
                <w:bCs/>
                <w:color w:val="auto"/>
                <w:sz w:val="22"/>
                <w:szCs w:val="22"/>
              </w:rPr>
            </w:pPr>
            <w:r w:rsidRPr="004D146C">
              <w:rPr>
                <w:rFonts w:ascii="Arial" w:hAnsi="Arial"/>
                <w:bCs/>
                <w:color w:val="auto"/>
                <w:sz w:val="22"/>
                <w:szCs w:val="22"/>
              </w:rPr>
              <w:t xml:space="preserve">Wider stakeholders </w:t>
            </w:r>
          </w:p>
        </w:tc>
        <w:tc>
          <w:tcPr>
            <w:tcW w:w="779" w:type="dxa"/>
            <w:tcBorders>
              <w:bottom w:val="single" w:sz="4" w:space="0" w:color="auto"/>
            </w:tcBorders>
            <w:textDirection w:val="tbRl"/>
            <w:vAlign w:val="center"/>
          </w:tcPr>
          <w:p w14:paraId="45F7D706" w14:textId="4EBDD53A" w:rsidR="004D146C" w:rsidRPr="004D146C" w:rsidRDefault="004D146C" w:rsidP="00AB3D40">
            <w:pPr>
              <w:pStyle w:val="04ABodyText"/>
              <w:spacing w:before="0" w:after="0" w:line="240" w:lineRule="auto"/>
              <w:ind w:left="113" w:right="113"/>
              <w:jc w:val="center"/>
              <w:rPr>
                <w:rFonts w:ascii="Arial" w:hAnsi="Arial"/>
                <w:b w:val="0"/>
                <w:bCs/>
                <w:color w:val="auto"/>
                <w:sz w:val="22"/>
                <w:szCs w:val="22"/>
              </w:rPr>
            </w:pPr>
            <w:r w:rsidRPr="004D146C">
              <w:rPr>
                <w:rFonts w:ascii="Arial" w:hAnsi="Arial"/>
                <w:bCs/>
                <w:color w:val="auto"/>
                <w:sz w:val="22"/>
                <w:szCs w:val="22"/>
              </w:rPr>
              <w:t xml:space="preserve">Lenders </w:t>
            </w:r>
          </w:p>
        </w:tc>
        <w:tc>
          <w:tcPr>
            <w:tcW w:w="722" w:type="dxa"/>
            <w:tcBorders>
              <w:bottom w:val="single" w:sz="4" w:space="0" w:color="auto"/>
            </w:tcBorders>
            <w:textDirection w:val="tbRl"/>
            <w:vAlign w:val="center"/>
          </w:tcPr>
          <w:p w14:paraId="5000CD75" w14:textId="72C22C0E" w:rsidR="004D146C" w:rsidRPr="004D146C" w:rsidRDefault="004D146C" w:rsidP="00AB3D40">
            <w:pPr>
              <w:pStyle w:val="04ABodyText"/>
              <w:spacing w:before="0" w:after="0" w:line="240" w:lineRule="auto"/>
              <w:ind w:left="113" w:right="113"/>
              <w:jc w:val="center"/>
              <w:rPr>
                <w:rFonts w:ascii="Arial" w:hAnsi="Arial"/>
                <w:b w:val="0"/>
                <w:bCs/>
                <w:color w:val="auto"/>
                <w:sz w:val="22"/>
                <w:szCs w:val="22"/>
              </w:rPr>
            </w:pPr>
            <w:r w:rsidRPr="004D146C">
              <w:rPr>
                <w:rFonts w:ascii="Arial" w:hAnsi="Arial"/>
                <w:bCs/>
                <w:color w:val="auto"/>
                <w:sz w:val="22"/>
                <w:szCs w:val="22"/>
              </w:rPr>
              <w:t xml:space="preserve">Secondary data </w:t>
            </w:r>
          </w:p>
        </w:tc>
      </w:tr>
      <w:tr w:rsidR="001A2303" w14:paraId="6B6CD636" w14:textId="77777777" w:rsidTr="00156C15">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2255697" w14:textId="218B9809"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Scheme design</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D77B5FE"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effectively did government provide strategic direction in setting the objectives of the schemes?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48DDAF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11716B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DCF5F9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793206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24E56F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26C571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B7B8DD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CEF14" w14:textId="77777777" w:rsidR="004D146C" w:rsidRPr="004D146C" w:rsidRDefault="004D146C" w:rsidP="00AB3D40">
            <w:pPr>
              <w:pStyle w:val="04ABodyText"/>
              <w:spacing w:before="0" w:after="0" w:line="240" w:lineRule="auto"/>
              <w:rPr>
                <w:rFonts w:ascii="Arial" w:hAnsi="Arial"/>
                <w:sz w:val="22"/>
                <w:szCs w:val="22"/>
              </w:rPr>
            </w:pPr>
          </w:p>
        </w:tc>
      </w:tr>
      <w:tr w:rsidR="001A2303" w14:paraId="75BAA117"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4962D0E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EF3F392"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Were all potentially viable funding instruments considered?</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FD40BD9"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 xml:space="preserve">Debt market interventions adopted by other advanced economies </w:t>
            </w:r>
          </w:p>
          <w:p w14:paraId="24D73536"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Alternatives to debt market interventions (e.g. grant funding interventions) adopted by other advanced economies</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F2126F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5E1B7F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F5B428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B1490B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F0145A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tcPr>
          <w:p w14:paraId="6913056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9C355AE" w14:textId="77777777" w:rsidR="004D146C" w:rsidRPr="004D146C" w:rsidRDefault="004D146C" w:rsidP="00AB3D40">
            <w:pPr>
              <w:pStyle w:val="04ABodyText"/>
              <w:spacing w:before="0" w:after="0" w:line="240" w:lineRule="auto"/>
              <w:rPr>
                <w:rFonts w:ascii="Arial" w:hAnsi="Arial"/>
                <w:sz w:val="22"/>
                <w:szCs w:val="22"/>
              </w:rPr>
            </w:pPr>
          </w:p>
        </w:tc>
      </w:tr>
      <w:tr w:rsidR="001A2303" w14:paraId="67222BB9"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13C2E7F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74ABFD5" w14:textId="11B0450E"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 xml:space="preserve">How effectively was learning from the Covid-19 </w:t>
            </w:r>
            <w:r w:rsidR="002C1F00">
              <w:rPr>
                <w:rFonts w:ascii="Arial" w:hAnsi="Arial"/>
                <w:sz w:val="22"/>
                <w:szCs w:val="22"/>
              </w:rPr>
              <w:t>L</w:t>
            </w:r>
            <w:r w:rsidRPr="004D146C">
              <w:rPr>
                <w:rFonts w:ascii="Arial" w:hAnsi="Arial"/>
                <w:sz w:val="22"/>
                <w:szCs w:val="22"/>
              </w:rPr>
              <w:t xml:space="preserve">oan </w:t>
            </w:r>
            <w:r w:rsidR="002C1F00">
              <w:rPr>
                <w:rFonts w:ascii="Arial" w:hAnsi="Arial"/>
                <w:sz w:val="22"/>
                <w:szCs w:val="22"/>
              </w:rPr>
              <w:t>Guarantee S</w:t>
            </w:r>
            <w:r w:rsidRPr="004D146C">
              <w:rPr>
                <w:rFonts w:ascii="Arial" w:hAnsi="Arial"/>
                <w:sz w:val="22"/>
                <w:szCs w:val="22"/>
              </w:rPr>
              <w:t>chemes used to design RLS</w:t>
            </w:r>
            <w:r w:rsidR="0039115D">
              <w:rPr>
                <w:rFonts w:ascii="Arial" w:hAnsi="Arial"/>
                <w:sz w:val="22"/>
                <w:szCs w:val="22"/>
              </w:rPr>
              <w:t xml:space="preserve"> 1.0</w:t>
            </w:r>
            <w:r w:rsidRPr="004D146C">
              <w:rPr>
                <w:rFonts w:ascii="Arial" w:hAnsi="Arial"/>
                <w:sz w:val="22"/>
                <w:szCs w:val="22"/>
              </w:rPr>
              <w:t>?</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9AE2FE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A71D0B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B601395" w14:textId="77777777" w:rsidR="004D146C" w:rsidRPr="004D146C" w:rsidRDefault="004D146C" w:rsidP="00AB3D40">
            <w:pPr>
              <w:pStyle w:val="04ABodyText"/>
              <w:spacing w:before="0" w:after="0" w:line="240" w:lineRule="auto"/>
              <w:ind w:left="180"/>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FDC099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768536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28553C5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77E28D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DF26539" w14:textId="77777777" w:rsidR="004D146C" w:rsidRPr="004D146C" w:rsidRDefault="004D146C" w:rsidP="00AB3D40">
            <w:pPr>
              <w:pStyle w:val="04ABodyText"/>
              <w:spacing w:before="0" w:after="0" w:line="240" w:lineRule="auto"/>
              <w:rPr>
                <w:rFonts w:ascii="Arial" w:hAnsi="Arial"/>
                <w:sz w:val="22"/>
                <w:szCs w:val="22"/>
              </w:rPr>
            </w:pPr>
          </w:p>
        </w:tc>
      </w:tr>
      <w:tr w:rsidR="004D146C" w14:paraId="694586A2"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24F4474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A5E436F"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 xml:space="preserve">Was there an optimal mix of expertise involved in the development of the scheme? </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D4DC35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B4C3F3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72213E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16310A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082172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tcPr>
          <w:p w14:paraId="29BE25A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tcPr>
          <w:p w14:paraId="3848BB4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tcPr>
          <w:p w14:paraId="5945E3EB" w14:textId="77777777" w:rsidR="004D146C" w:rsidRPr="004D146C" w:rsidRDefault="004D146C" w:rsidP="00AB3D40">
            <w:pPr>
              <w:pStyle w:val="04ABodyText"/>
              <w:spacing w:before="0" w:after="0" w:line="240" w:lineRule="auto"/>
              <w:rPr>
                <w:rFonts w:ascii="Arial" w:hAnsi="Arial"/>
                <w:sz w:val="22"/>
                <w:szCs w:val="22"/>
              </w:rPr>
            </w:pPr>
          </w:p>
        </w:tc>
      </w:tr>
      <w:tr w:rsidR="001A2303" w14:paraId="1E2A5BBC"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43"/>
        </w:trPr>
        <w:tc>
          <w:tcPr>
            <w:tcW w:w="0" w:type="dxa"/>
            <w:vMerge/>
            <w:tcBorders>
              <w:left w:val="single" w:sz="4" w:space="0" w:color="auto"/>
              <w:bottom w:val="single" w:sz="4" w:space="0" w:color="auto"/>
            </w:tcBorders>
            <w:shd w:val="clear" w:color="auto" w:fill="FFFFFF" w:themeFill="background1"/>
          </w:tcPr>
          <w:p w14:paraId="2B4AF40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57FAD91"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Were lenders adequately engaged in the design of the scheme?</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E32806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274921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D1619D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3E9DC2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DB024A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97AFC0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861DE0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D8EE66A" w14:textId="77777777" w:rsidR="004D146C" w:rsidRPr="004D146C" w:rsidRDefault="004D146C" w:rsidP="00AB3D40">
            <w:pPr>
              <w:pStyle w:val="04ABodyText"/>
              <w:spacing w:before="0" w:after="0" w:line="240" w:lineRule="auto"/>
              <w:rPr>
                <w:rFonts w:ascii="Arial" w:hAnsi="Arial"/>
                <w:sz w:val="22"/>
                <w:szCs w:val="22"/>
              </w:rPr>
            </w:pPr>
          </w:p>
        </w:tc>
      </w:tr>
      <w:tr w:rsidR="001A2303" w14:paraId="07CE388D"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5A0DEC1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3267841" w14:textId="567593AE"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To what extent does the business case capture all of the outcomes and impacts of RLS</w:t>
            </w:r>
            <w:r w:rsidR="0039115D">
              <w:rPr>
                <w:rFonts w:ascii="Arial" w:hAnsi="Arial"/>
                <w:sz w:val="22"/>
                <w:szCs w:val="22"/>
              </w:rPr>
              <w:t xml:space="preserve"> 1.0</w:t>
            </w:r>
            <w:r w:rsidRPr="004D146C">
              <w:rPr>
                <w:rFonts w:ascii="Arial" w:hAnsi="Arial"/>
                <w:sz w:val="22"/>
                <w:szCs w:val="22"/>
              </w:rPr>
              <w:t>?</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5E0504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9744E2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DE79F1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9CE01A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F23340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48F8C6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ECABA3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257A7D3" w14:textId="77777777" w:rsidR="004D146C" w:rsidRPr="004D146C" w:rsidRDefault="004D146C" w:rsidP="00AB3D40">
            <w:pPr>
              <w:pStyle w:val="04ABodyText"/>
              <w:spacing w:before="0" w:after="0" w:line="240" w:lineRule="auto"/>
              <w:rPr>
                <w:rFonts w:ascii="Arial" w:hAnsi="Arial"/>
                <w:sz w:val="22"/>
                <w:szCs w:val="22"/>
              </w:rPr>
            </w:pPr>
          </w:p>
        </w:tc>
      </w:tr>
      <w:tr w:rsidR="001A2303" w14:paraId="7CA52E0A"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0D5C261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32EAC15"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accurate was the business case in estimating the scale of the scheme?</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08C660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533614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F26C95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5E07CAF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6C01C82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1B67A3D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680D263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5B80F0DD" w14:textId="77777777" w:rsidR="004D146C" w:rsidRPr="004D146C" w:rsidRDefault="004D146C" w:rsidP="00AB3D40">
            <w:pPr>
              <w:pStyle w:val="04ABodyText"/>
              <w:spacing w:before="0" w:after="0" w:line="240" w:lineRule="auto"/>
              <w:rPr>
                <w:rFonts w:ascii="Arial" w:hAnsi="Arial"/>
                <w:sz w:val="22"/>
                <w:szCs w:val="22"/>
              </w:rPr>
            </w:pPr>
          </w:p>
        </w:tc>
      </w:tr>
      <w:tr w:rsidR="004D146C" w14:paraId="4B3A0647"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67E43B1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9BB5B70" w14:textId="77AF6581"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far did the initial risk register capture relevant risks about RLS</w:t>
            </w:r>
            <w:r w:rsidR="0039115D">
              <w:rPr>
                <w:rFonts w:ascii="Arial" w:hAnsi="Arial"/>
                <w:sz w:val="22"/>
                <w:szCs w:val="22"/>
              </w:rPr>
              <w:t xml:space="preserve"> 1.0</w:t>
            </w:r>
            <w:r w:rsidRPr="004D146C">
              <w:rPr>
                <w:rFonts w:ascii="Arial" w:hAnsi="Arial"/>
                <w:sz w:val="22"/>
                <w:szCs w:val="22"/>
              </w:rPr>
              <w:t>?</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3AFA41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437D0D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C54907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33616F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D1AF7D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tcPr>
          <w:p w14:paraId="7EA3AAB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tcPr>
          <w:p w14:paraId="25AC7D6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tcPr>
          <w:p w14:paraId="65536441" w14:textId="77777777" w:rsidR="004D146C" w:rsidRPr="004D146C" w:rsidRDefault="004D146C" w:rsidP="00AB3D40">
            <w:pPr>
              <w:pStyle w:val="04ABodyText"/>
              <w:spacing w:before="0" w:after="0" w:line="240" w:lineRule="auto"/>
              <w:rPr>
                <w:rFonts w:ascii="Arial" w:hAnsi="Arial"/>
                <w:sz w:val="22"/>
                <w:szCs w:val="22"/>
              </w:rPr>
            </w:pPr>
          </w:p>
        </w:tc>
      </w:tr>
      <w:tr w:rsidR="001A2303" w14:paraId="1E47AE41"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0C0FA48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F2723CF"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far did the scheme complement other current and previous government programmes designed to promote survival of firms?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B959D75"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Number of borrowers obtaining funds from parallel programmes</w:t>
            </w:r>
          </w:p>
          <w:p w14:paraId="25C66281"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 of borrowers accessing parallel programmes to fund similar costs</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6BDAFE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611FDD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2B451C6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55F142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B94DE4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FB60F2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671293B" w14:textId="77777777" w:rsidR="004D146C" w:rsidRPr="004D146C" w:rsidRDefault="004D146C" w:rsidP="00AB3D40">
            <w:pPr>
              <w:pStyle w:val="04ABodyText"/>
              <w:spacing w:before="0" w:after="0" w:line="240" w:lineRule="auto"/>
              <w:rPr>
                <w:rFonts w:ascii="Arial" w:hAnsi="Arial"/>
                <w:sz w:val="22"/>
                <w:szCs w:val="22"/>
              </w:rPr>
            </w:pPr>
          </w:p>
        </w:tc>
      </w:tr>
      <w:tr w:rsidR="001A2303" w14:paraId="43F6037C"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3EF4A3B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A3994D9"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far did addressable gaps in access to finance remain following the introduction of the scheme?</w:t>
            </w:r>
          </w:p>
          <w:p w14:paraId="1E101BD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B095DE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1651DD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F37C6A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9CD024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8DD69A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12C3D2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tcPr>
          <w:p w14:paraId="439D293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F42E271" w14:textId="77777777" w:rsidR="004D146C" w:rsidRPr="004D146C" w:rsidRDefault="004D146C" w:rsidP="00AB3D40">
            <w:pPr>
              <w:pStyle w:val="04ABodyText"/>
              <w:spacing w:before="0" w:after="0" w:line="240" w:lineRule="auto"/>
              <w:rPr>
                <w:rFonts w:ascii="Arial" w:hAnsi="Arial"/>
                <w:sz w:val="22"/>
                <w:szCs w:val="22"/>
              </w:rPr>
            </w:pPr>
          </w:p>
        </w:tc>
      </w:tr>
      <w:tr w:rsidR="001A2303" w14:paraId="063E7916"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4FF07E6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82DB411" w14:textId="77777777" w:rsidR="004D146C" w:rsidRPr="004D146C" w:rsidRDefault="004D146C" w:rsidP="00AB3D40">
            <w:pPr>
              <w:pStyle w:val="04ABodyText"/>
              <w:spacing w:before="0" w:after="0" w:line="240" w:lineRule="auto"/>
              <w:rPr>
                <w:rFonts w:ascii="Arial" w:hAnsi="Arial"/>
                <w:sz w:val="22"/>
                <w:szCs w:val="22"/>
              </w:rPr>
            </w:pPr>
            <w:bookmarkStart w:id="71" w:name="_Hlk137639833"/>
            <w:r w:rsidRPr="004D146C">
              <w:rPr>
                <w:rFonts w:ascii="Arial" w:hAnsi="Arial"/>
                <w:sz w:val="22"/>
                <w:szCs w:val="22"/>
              </w:rPr>
              <w:t>To what extent did the additionality assessment requirement impact upon lending?</w:t>
            </w:r>
            <w:bookmarkEnd w:id="71"/>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C61E609"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 of applications converted to facilities</w:t>
            </w:r>
          </w:p>
          <w:p w14:paraId="02C2DCC3"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Comparison to CBILS / CLBILS conversion rate</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89BD12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CB2798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5EC92F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FCEC60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A8ED7A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9EB769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23596" w14:textId="77777777" w:rsidR="004D146C" w:rsidRPr="004D146C" w:rsidRDefault="004D146C" w:rsidP="00AB3D40">
            <w:pPr>
              <w:pStyle w:val="04ABodyText"/>
              <w:spacing w:before="0" w:after="0" w:line="240" w:lineRule="auto"/>
              <w:rPr>
                <w:rFonts w:ascii="Arial" w:hAnsi="Arial"/>
                <w:sz w:val="22"/>
                <w:szCs w:val="22"/>
              </w:rPr>
            </w:pPr>
          </w:p>
        </w:tc>
      </w:tr>
      <w:tr w:rsidR="001A2303" w14:paraId="16F747B9" w14:textId="77777777" w:rsidTr="00EB6884">
        <w:tblPrEx>
          <w:tblCellMar>
            <w:left w:w="108" w:type="dxa"/>
            <w:right w:w="108" w:type="dxa"/>
          </w:tblCellMar>
        </w:tblPrEx>
        <w:tc>
          <w:tcPr>
            <w:tcW w:w="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5B8004F"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Lender accreditation process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EF09CD6" w14:textId="1ED60A44"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Did the communication with lenders lead to a sufficiently large and diverse pool of lenders applying to take part in RLS</w:t>
            </w:r>
            <w:r w:rsidR="0039115D">
              <w:rPr>
                <w:rFonts w:ascii="Arial" w:hAnsi="Arial"/>
                <w:sz w:val="22"/>
                <w:szCs w:val="22"/>
              </w:rPr>
              <w:t xml:space="preserve"> 1.0</w:t>
            </w:r>
            <w:r w:rsidRPr="004D146C">
              <w:rPr>
                <w:rFonts w:ascii="Arial" w:hAnsi="Arial"/>
                <w:sz w:val="22"/>
                <w:szCs w:val="22"/>
              </w:rPr>
              <w:t>?</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D71D2"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Number of applications for accreditation received from (non) CBILS lenders</w:t>
            </w:r>
          </w:p>
          <w:p w14:paraId="71C441FA"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Type and size of lenders making applications for accreditation</w:t>
            </w:r>
          </w:p>
          <w:p w14:paraId="112418F9"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 xml:space="preserve">Number and characteristics of non-applications from CBILS lenders </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0DEB36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A94E03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C6B66F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F5AE82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D88FDE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EC2B4A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E986212" w14:textId="77777777" w:rsidR="004D146C" w:rsidRPr="004D146C" w:rsidRDefault="004D146C" w:rsidP="00AB3D40">
            <w:pPr>
              <w:pStyle w:val="04ABodyText"/>
              <w:spacing w:before="0" w:after="0" w:line="240" w:lineRule="auto"/>
              <w:rPr>
                <w:rFonts w:ascii="Arial" w:hAnsi="Arial"/>
                <w:sz w:val="22"/>
                <w:szCs w:val="22"/>
              </w:rPr>
            </w:pPr>
          </w:p>
        </w:tc>
      </w:tr>
      <w:tr w:rsidR="001A2303" w14:paraId="5EDA5867"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27874F5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CFC5D62"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effectively did communications articulate the requirements of participation?</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8972DB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AC20A1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10A062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89B9C7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4CDD92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810337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649D35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93E1C8D" w14:textId="77777777" w:rsidR="004D146C" w:rsidRPr="004D146C" w:rsidRDefault="004D146C" w:rsidP="00AB3D40">
            <w:pPr>
              <w:pStyle w:val="04ABodyText"/>
              <w:spacing w:before="0" w:after="0" w:line="240" w:lineRule="auto"/>
              <w:rPr>
                <w:rFonts w:ascii="Arial" w:hAnsi="Arial"/>
                <w:sz w:val="22"/>
                <w:szCs w:val="22"/>
              </w:rPr>
            </w:pPr>
          </w:p>
        </w:tc>
      </w:tr>
      <w:tr w:rsidR="001A2303" w14:paraId="38750224"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797E3D5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B04D95F"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Did the application form collect all relevant information to inform a decision about accrediting a lender and whether a lender should be “fast-tracked”?</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414018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E8B872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9CD180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6C204A4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DCDFE9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2AD230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167F32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BE9191A" w14:textId="77777777" w:rsidR="004D146C" w:rsidRPr="004D146C" w:rsidRDefault="004D146C" w:rsidP="00AB3D40">
            <w:pPr>
              <w:pStyle w:val="04ABodyText"/>
              <w:spacing w:before="0" w:after="0" w:line="240" w:lineRule="auto"/>
              <w:rPr>
                <w:rFonts w:ascii="Arial" w:hAnsi="Arial"/>
                <w:sz w:val="22"/>
                <w:szCs w:val="22"/>
              </w:rPr>
            </w:pPr>
          </w:p>
        </w:tc>
      </w:tr>
      <w:tr w:rsidR="001A2303" w14:paraId="653BE17F"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7BDFF71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A182425"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effectively did the accreditation process utilise information already held about CBILS lenders?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B2F8F2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A93EB1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7ADB6A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1E4414F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4E4C60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78D0DB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5F01BA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76267FC" w14:textId="77777777" w:rsidR="004D146C" w:rsidRPr="004D146C" w:rsidRDefault="004D146C" w:rsidP="00AB3D40">
            <w:pPr>
              <w:pStyle w:val="04ABodyText"/>
              <w:spacing w:before="0" w:after="0" w:line="240" w:lineRule="auto"/>
              <w:rPr>
                <w:rFonts w:ascii="Arial" w:hAnsi="Arial"/>
                <w:sz w:val="22"/>
                <w:szCs w:val="22"/>
              </w:rPr>
            </w:pPr>
          </w:p>
        </w:tc>
      </w:tr>
      <w:tr w:rsidR="001A2303" w14:paraId="40DE973E"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4546B2C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4448C5A"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Was an accreditation decision made in a timely manner to allow the schemes to proceed quickly and at scale?</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4C9244D"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Timescales for approval for fast tracked and standard accreditation process</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3825C0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B10C83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DDDB9C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E2BD77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2F4B19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4E7424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6E596FF" w14:textId="77777777" w:rsidR="004D146C" w:rsidRPr="004D146C" w:rsidRDefault="004D146C" w:rsidP="00AB3D40">
            <w:pPr>
              <w:pStyle w:val="04ABodyText"/>
              <w:spacing w:before="0" w:after="0" w:line="240" w:lineRule="auto"/>
              <w:rPr>
                <w:rFonts w:ascii="Arial" w:hAnsi="Arial"/>
                <w:sz w:val="22"/>
                <w:szCs w:val="22"/>
              </w:rPr>
            </w:pPr>
          </w:p>
        </w:tc>
      </w:tr>
      <w:tr w:rsidR="001A2303" w14:paraId="3E29972E"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365D00D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8F6E1DF"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Was an appropriate level of support made available to lenders during the application for accreditation process?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3FBB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251C247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3B0080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32FE43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F538B6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318557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21136A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96B22FA" w14:textId="77777777" w:rsidR="004D146C" w:rsidRPr="004D146C" w:rsidRDefault="004D146C" w:rsidP="00AB3D40">
            <w:pPr>
              <w:pStyle w:val="04ABodyText"/>
              <w:spacing w:before="0" w:after="0" w:line="240" w:lineRule="auto"/>
              <w:rPr>
                <w:rFonts w:ascii="Arial" w:hAnsi="Arial"/>
                <w:sz w:val="22"/>
                <w:szCs w:val="22"/>
              </w:rPr>
            </w:pPr>
          </w:p>
        </w:tc>
      </w:tr>
      <w:tr w:rsidR="001A2303" w14:paraId="0514438D"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5C9988B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91DC4FF"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far did the lender accreditation process ensure that lenders took on appropriate levels of risk?</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61B242E"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Default rates on guaranteed and unguaranteed lending</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A47E5B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3451BC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D47DA9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899B44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BA54D4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BED2F6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15414C2E" w14:textId="77777777" w:rsidR="004D146C" w:rsidRPr="004D146C" w:rsidRDefault="004D146C" w:rsidP="00AB3D40">
            <w:pPr>
              <w:pStyle w:val="04ABodyText"/>
              <w:spacing w:before="0" w:after="0" w:line="240" w:lineRule="auto"/>
              <w:rPr>
                <w:rFonts w:ascii="Arial" w:hAnsi="Arial"/>
                <w:sz w:val="22"/>
                <w:szCs w:val="22"/>
              </w:rPr>
            </w:pPr>
          </w:p>
        </w:tc>
      </w:tr>
      <w:tr w:rsidR="001A2303" w14:paraId="22E5E6E3"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75702C9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B6BC225" w14:textId="145484AF"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effectively did the contract agreement control the risks associated with the delivery of RLS</w:t>
            </w:r>
            <w:r w:rsidR="0039115D">
              <w:rPr>
                <w:rFonts w:ascii="Arial" w:hAnsi="Arial"/>
                <w:sz w:val="22"/>
                <w:szCs w:val="22"/>
              </w:rPr>
              <w:t xml:space="preserve"> 1.0</w:t>
            </w:r>
            <w:r w:rsidRPr="004D146C">
              <w:rPr>
                <w:rFonts w:ascii="Arial" w:hAnsi="Arial"/>
                <w:sz w:val="22"/>
                <w:szCs w:val="22"/>
              </w:rPr>
              <w:t>?</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003FA42"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Outcomes of post-accreditation audits</w:t>
            </w:r>
          </w:p>
          <w:p w14:paraId="53A47058"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 xml:space="preserve">Number of actions taken by lenders following audit </w:t>
            </w:r>
          </w:p>
          <w:p w14:paraId="6676CCE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6A00AE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4CEBD8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A49785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F9AD0D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14B82A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B6DDBF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09D056D" w14:textId="77777777" w:rsidR="004D146C" w:rsidRPr="004D146C" w:rsidRDefault="004D146C" w:rsidP="00AB3D40">
            <w:pPr>
              <w:pStyle w:val="04ABodyText"/>
              <w:spacing w:before="0" w:after="0" w:line="240" w:lineRule="auto"/>
              <w:rPr>
                <w:rFonts w:ascii="Arial" w:hAnsi="Arial"/>
                <w:sz w:val="22"/>
                <w:szCs w:val="22"/>
              </w:rPr>
            </w:pPr>
          </w:p>
        </w:tc>
      </w:tr>
      <w:tr w:rsidR="001A2303" w14:paraId="4AD0E523"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68D7667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A829399"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Did the lender accreditation process lead to on-going effects on competition in the lending market?</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E6524C1"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Market share of accredited lenders</w:t>
            </w:r>
          </w:p>
          <w:p w14:paraId="393FE797" w14:textId="77777777" w:rsidR="004D146C" w:rsidRPr="004D146C" w:rsidRDefault="004D146C" w:rsidP="00AB3D40">
            <w:pPr>
              <w:pStyle w:val="04ABodyText"/>
              <w:spacing w:before="0" w:after="0" w:line="240" w:lineRule="auto"/>
              <w:ind w:left="180"/>
              <w:rPr>
                <w:rFonts w:ascii="Arial" w:hAnsi="Arial"/>
                <w:sz w:val="22"/>
                <w:szCs w:val="22"/>
              </w:rPr>
            </w:pPr>
            <w:r w:rsidRPr="004D146C">
              <w:rPr>
                <w:rFonts w:ascii="Arial" w:hAnsi="Arial"/>
                <w:sz w:val="22"/>
                <w:szCs w:val="22"/>
              </w:rPr>
              <w:t xml:space="preserve"> </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3A45FD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3FDF96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1568C2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04BD84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8B4543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6A90A9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3E07C301" w14:textId="77777777" w:rsidR="004D146C" w:rsidRPr="004D146C" w:rsidRDefault="004D146C" w:rsidP="00AB3D40">
            <w:pPr>
              <w:pStyle w:val="04ABodyText"/>
              <w:spacing w:before="0" w:after="0" w:line="240" w:lineRule="auto"/>
              <w:rPr>
                <w:rFonts w:ascii="Arial" w:hAnsi="Arial"/>
                <w:sz w:val="22"/>
                <w:szCs w:val="22"/>
              </w:rPr>
            </w:pPr>
          </w:p>
        </w:tc>
      </w:tr>
      <w:tr w:rsidR="001A2303" w14:paraId="494A76D5"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4AF35F8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5A3D85D"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far did the lender scheme payment process create additional burden for lenders?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0555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CC666E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267BC7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0B6BCF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D7CE483" w14:textId="77777777" w:rsidR="004D146C" w:rsidRPr="004D146C" w:rsidRDefault="004D146C" w:rsidP="00AB3D40">
            <w:pPr>
              <w:pStyle w:val="04ABodyText"/>
              <w:spacing w:before="0" w:after="0" w:line="240" w:lineRule="auto"/>
              <w:rPr>
                <w:rFonts w:ascii="Arial" w:hAnsi="Arial"/>
                <w:color w:val="142855" w:themeColor="text2"/>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6B57750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A2EA54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2A88484D" w14:textId="77777777" w:rsidR="004D146C" w:rsidRPr="004D146C" w:rsidRDefault="004D146C" w:rsidP="00AB3D40">
            <w:pPr>
              <w:pStyle w:val="04ABodyText"/>
              <w:spacing w:before="0" w:after="0" w:line="240" w:lineRule="auto"/>
              <w:rPr>
                <w:rFonts w:ascii="Arial" w:hAnsi="Arial"/>
                <w:sz w:val="22"/>
                <w:szCs w:val="22"/>
              </w:rPr>
            </w:pPr>
          </w:p>
        </w:tc>
      </w:tr>
      <w:tr w:rsidR="001A2303" w14:paraId="3CD005E8"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48BDA07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DC111CD"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Was the lender accreditation process proportionate?</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2D4BDE3"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Time spent by BBB staff on accreditation</w:t>
            </w:r>
          </w:p>
          <w:p w14:paraId="16859432"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Time spent by lenders on accreditation</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D92F6C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A11845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D0DB2F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198DAD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010743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973F17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00361EA" w14:textId="77777777" w:rsidR="004D146C" w:rsidRPr="004D146C" w:rsidRDefault="004D146C" w:rsidP="00AB3D40">
            <w:pPr>
              <w:pStyle w:val="04ABodyText"/>
              <w:spacing w:before="0" w:after="0" w:line="240" w:lineRule="auto"/>
              <w:rPr>
                <w:rFonts w:ascii="Arial" w:hAnsi="Arial"/>
                <w:sz w:val="22"/>
                <w:szCs w:val="22"/>
              </w:rPr>
            </w:pPr>
          </w:p>
        </w:tc>
      </w:tr>
      <w:tr w:rsidR="001A2303" w14:paraId="4F897164"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37F5C17"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Communication with businesses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7FCAAC9" w14:textId="0972E6F9"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 was the communication strategy in making businesses aware of RLS</w:t>
            </w:r>
            <w:r w:rsidR="0039115D">
              <w:rPr>
                <w:rFonts w:ascii="Arial" w:hAnsi="Arial"/>
                <w:sz w:val="22"/>
                <w:szCs w:val="22"/>
              </w:rPr>
              <w:t xml:space="preserve"> 1.0</w:t>
            </w:r>
            <w:r w:rsidRPr="004D146C">
              <w:rPr>
                <w:rFonts w:ascii="Arial" w:hAnsi="Arial"/>
                <w:sz w:val="22"/>
                <w:szCs w:val="22"/>
              </w:rPr>
              <w:t>?</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3309EFC" w14:textId="1813972E"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 of firms aware of RLS</w:t>
            </w:r>
            <w:r w:rsidR="0039115D">
              <w:rPr>
                <w:rFonts w:ascii="Arial" w:hAnsi="Arial"/>
                <w:sz w:val="22"/>
                <w:szCs w:val="22"/>
              </w:rPr>
              <w:t xml:space="preserve"> 1.0</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B500BB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8DDD04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08C367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E126B0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3A1497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DD7DDC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D64CFEC" w14:textId="77777777" w:rsidR="004D146C" w:rsidRPr="004D146C" w:rsidRDefault="004D146C" w:rsidP="00AB3D40">
            <w:pPr>
              <w:pStyle w:val="04ABodyText"/>
              <w:spacing w:before="0" w:after="0" w:line="240" w:lineRule="auto"/>
              <w:rPr>
                <w:rFonts w:ascii="Arial" w:hAnsi="Arial"/>
                <w:sz w:val="22"/>
                <w:szCs w:val="22"/>
              </w:rPr>
            </w:pPr>
          </w:p>
        </w:tc>
      </w:tr>
      <w:tr w:rsidR="001A2303" w14:paraId="414FF3FF" w14:textId="77777777" w:rsidTr="005268BD">
        <w:tblPrEx>
          <w:tblCellMar>
            <w:left w:w="108" w:type="dxa"/>
            <w:right w:w="108" w:type="dxa"/>
          </w:tblCellMar>
        </w:tblPrEx>
        <w:tc>
          <w:tcPr>
            <w:tcW w:w="0" w:type="dxa"/>
            <w:vMerge/>
            <w:tcBorders>
              <w:top w:val="single" w:sz="4" w:space="0" w:color="auto"/>
              <w:left w:val="single" w:sz="4" w:space="0" w:color="auto"/>
              <w:bottom w:val="single" w:sz="4" w:space="0" w:color="auto"/>
            </w:tcBorders>
            <w:shd w:val="clear" w:color="auto" w:fill="FFFFFF" w:themeFill="background1"/>
            <w:vAlign w:val="center"/>
          </w:tcPr>
          <w:p w14:paraId="66CFEF74" w14:textId="77777777" w:rsidR="004D146C" w:rsidRPr="004D146C" w:rsidRDefault="004D146C" w:rsidP="00F85FEA">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2222515"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Did the communication strategy provide sufficient information to businesses about the schemes?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2F57EB5"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Number of ineligible / declined applicants</w:t>
            </w:r>
            <w:r w:rsidRPr="004D146C" w:rsidDel="00F902F3">
              <w:rPr>
                <w:rFonts w:ascii="Arial" w:hAnsi="Arial"/>
                <w:sz w:val="22"/>
                <w:szCs w:val="22"/>
              </w:rPr>
              <w:t xml:space="preserve"> </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F0AA4B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65D0A5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A61CB7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4C7B92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D16B8A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5985D1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1396120" w14:textId="77777777" w:rsidR="004D146C" w:rsidRPr="004D146C" w:rsidRDefault="004D146C" w:rsidP="00AB3D40">
            <w:pPr>
              <w:pStyle w:val="04ABodyText"/>
              <w:spacing w:before="0" w:after="0" w:line="240" w:lineRule="auto"/>
              <w:rPr>
                <w:rFonts w:ascii="Arial" w:hAnsi="Arial"/>
                <w:sz w:val="22"/>
                <w:szCs w:val="22"/>
              </w:rPr>
            </w:pPr>
          </w:p>
        </w:tc>
      </w:tr>
      <w:tr w:rsidR="001A2303" w14:paraId="33C50BA6" w14:textId="77777777" w:rsidTr="003D549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35062B7"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Business application and assessment process and fund transfer</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DE7E198"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 was the information and guidance provided in explaining the requirements of the application process?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3C6594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B5B3F6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69C00A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9D1BCE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E494A5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cPr>
          <w:p w14:paraId="1CB552E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AD14A8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A2620CC" w14:textId="77777777" w:rsidR="004D146C" w:rsidRPr="004D146C" w:rsidRDefault="004D146C" w:rsidP="00AB3D40">
            <w:pPr>
              <w:pStyle w:val="04ABodyText"/>
              <w:spacing w:before="0" w:after="0" w:line="240" w:lineRule="auto"/>
              <w:rPr>
                <w:rFonts w:ascii="Arial" w:hAnsi="Arial"/>
                <w:sz w:val="22"/>
                <w:szCs w:val="22"/>
              </w:rPr>
            </w:pPr>
          </w:p>
        </w:tc>
      </w:tr>
      <w:tr w:rsidR="001A2303" w14:paraId="01F1C2BD"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295CBB7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590AE1A"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Was the time required to complete applications proportionate?</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A740E8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15E779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01F6D6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0B5823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E51DB8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560094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BADB977" w14:textId="77777777" w:rsidR="004D146C" w:rsidRPr="004D146C" w:rsidRDefault="004D146C" w:rsidP="00AB3D40">
            <w:pPr>
              <w:pStyle w:val="04ABodyText"/>
              <w:spacing w:before="0" w:after="0" w:line="240" w:lineRule="auto"/>
              <w:rPr>
                <w:rFonts w:ascii="Arial" w:hAnsi="Arial"/>
                <w:color w:val="142855" w:themeColor="text2"/>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2B0C13A" w14:textId="77777777" w:rsidR="004D146C" w:rsidRPr="004D146C" w:rsidRDefault="004D146C" w:rsidP="00AB3D40">
            <w:pPr>
              <w:pStyle w:val="04ABodyText"/>
              <w:spacing w:before="0" w:after="0" w:line="240" w:lineRule="auto"/>
              <w:rPr>
                <w:rFonts w:ascii="Arial" w:hAnsi="Arial"/>
                <w:sz w:val="22"/>
                <w:szCs w:val="22"/>
              </w:rPr>
            </w:pPr>
          </w:p>
        </w:tc>
      </w:tr>
      <w:tr w:rsidR="001A2303" w14:paraId="708DB5CF"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32C8791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FDA5C8C"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 xml:space="preserve">Did the application process collect any details above what would be collected in a standard lending application?  </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71D34A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679198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ED4E80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8D5E67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0F6B38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3511AB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784B29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8C31F1E" w14:textId="77777777" w:rsidR="004D146C" w:rsidRPr="004D146C" w:rsidRDefault="004D146C" w:rsidP="00AB3D40">
            <w:pPr>
              <w:pStyle w:val="04ABodyText"/>
              <w:spacing w:before="0" w:after="0" w:line="240" w:lineRule="auto"/>
              <w:rPr>
                <w:rFonts w:ascii="Arial" w:hAnsi="Arial"/>
                <w:sz w:val="22"/>
                <w:szCs w:val="22"/>
              </w:rPr>
            </w:pPr>
          </w:p>
        </w:tc>
      </w:tr>
      <w:tr w:rsidR="001A2303" w14:paraId="2BC316E9" w14:textId="77777777" w:rsidTr="00EB6884">
        <w:tblPrEx>
          <w:tblCellMar>
            <w:left w:w="108" w:type="dxa"/>
            <w:right w:w="108" w:type="dxa"/>
          </w:tblCellMar>
        </w:tblPrEx>
        <w:trPr>
          <w:trHeight w:val="1349"/>
        </w:trPr>
        <w:tc>
          <w:tcPr>
            <w:tcW w:w="0" w:type="dxa"/>
            <w:vMerge/>
            <w:tcBorders>
              <w:left w:val="single" w:sz="4" w:space="0" w:color="auto"/>
              <w:bottom w:val="single" w:sz="4" w:space="0" w:color="auto"/>
            </w:tcBorders>
            <w:shd w:val="clear" w:color="auto" w:fill="FFFFFF" w:themeFill="background1"/>
          </w:tcPr>
          <w:p w14:paraId="0784C66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BBC2F2B" w14:textId="77777777" w:rsidR="004D146C" w:rsidRPr="004D146C" w:rsidRDefault="004D146C" w:rsidP="00AB3D40">
            <w:pPr>
              <w:pStyle w:val="04ABodyText"/>
              <w:spacing w:before="0" w:after="0" w:line="240" w:lineRule="auto"/>
              <w:rPr>
                <w:rFonts w:ascii="Arial" w:hAnsi="Arial"/>
                <w:sz w:val="22"/>
                <w:szCs w:val="22"/>
              </w:rPr>
            </w:pPr>
            <w:bookmarkStart w:id="72" w:name="_Hlk137640049"/>
            <w:r w:rsidRPr="004D146C">
              <w:rPr>
                <w:rFonts w:ascii="Arial" w:hAnsi="Arial"/>
                <w:sz w:val="22"/>
                <w:szCs w:val="22"/>
              </w:rPr>
              <w:t>How did the application of the eligibility criteria and additionality assessment channel resources towards appropriate businesses?</w:t>
            </w:r>
            <w:bookmarkEnd w:id="72"/>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D6A3E9D"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Operating profitability pre-pandemic</w:t>
            </w:r>
          </w:p>
          <w:p w14:paraId="7FF0FD80"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 xml:space="preserve">Depth of reserves / net assets </w:t>
            </w:r>
          </w:p>
          <w:p w14:paraId="5B3A09FD"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Current ratio (current liabilities / current assets)</w:t>
            </w:r>
          </w:p>
          <w:p w14:paraId="5C9E1DBA"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Concentration of borrowers in sectors most affected by pandemic</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8E75B3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EA2FD0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DD1201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ACA42C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C703CA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F05B18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877ECC4" w14:textId="77777777" w:rsidR="004D146C" w:rsidRPr="004D146C" w:rsidRDefault="004D146C" w:rsidP="00AB3D40">
            <w:pPr>
              <w:pStyle w:val="04ABodyText"/>
              <w:spacing w:before="0" w:after="0" w:line="240" w:lineRule="auto"/>
              <w:rPr>
                <w:rFonts w:ascii="Arial" w:hAnsi="Arial"/>
                <w:sz w:val="22"/>
                <w:szCs w:val="22"/>
              </w:rPr>
            </w:pPr>
          </w:p>
        </w:tc>
      </w:tr>
      <w:tr w:rsidR="001A2303" w14:paraId="5CDB081E"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7652BE4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F5AE7F6" w14:textId="77777777" w:rsidR="004D146C" w:rsidRPr="004D146C" w:rsidRDefault="004D146C" w:rsidP="00AB3D40">
            <w:pPr>
              <w:pStyle w:val="04ABodyText"/>
              <w:spacing w:before="0" w:after="0" w:line="240" w:lineRule="auto"/>
              <w:rPr>
                <w:rFonts w:ascii="Arial" w:hAnsi="Arial"/>
                <w:sz w:val="22"/>
                <w:szCs w:val="22"/>
              </w:rPr>
            </w:pPr>
            <w:bookmarkStart w:id="73" w:name="_Hlk137640109"/>
            <w:r w:rsidRPr="004D146C">
              <w:rPr>
                <w:rFonts w:ascii="Arial" w:hAnsi="Arial"/>
                <w:sz w:val="22"/>
                <w:szCs w:val="22"/>
              </w:rPr>
              <w:t>How effectively did the scheme design discourage excess risk taking or avoid other perverse incentives?</w:t>
            </w:r>
            <w:bookmarkEnd w:id="73"/>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D81A282"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Default rates on guaranteed and unguaranteed lending</w:t>
            </w:r>
          </w:p>
          <w:p w14:paraId="31441C69"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Approval rates for existing / new customers</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D02B10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B4F0F7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3106C7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81D17B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F22F03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ADBEAE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1CE929B" w14:textId="77777777" w:rsidR="004D146C" w:rsidRPr="004D146C" w:rsidRDefault="004D146C" w:rsidP="00AB3D40">
            <w:pPr>
              <w:pStyle w:val="04ABodyText"/>
              <w:spacing w:before="0" w:after="0" w:line="240" w:lineRule="auto"/>
              <w:rPr>
                <w:rFonts w:ascii="Arial" w:hAnsi="Arial"/>
                <w:sz w:val="22"/>
                <w:szCs w:val="22"/>
              </w:rPr>
            </w:pPr>
          </w:p>
        </w:tc>
      </w:tr>
      <w:tr w:rsidR="001A2303" w14:paraId="4F93C9F1"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59D34F7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A9DAADB"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Were lending decisions made sufficiently rapidly?</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DB066BB"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Timescales for approval</w:t>
            </w:r>
          </w:p>
          <w:p w14:paraId="6361DF3C"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Timescales between approval and receipt of funds</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CBDEFB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DA12C8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B36C92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FCEE1C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EB7C97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077BD9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CB03952" w14:textId="77777777" w:rsidR="004D146C" w:rsidRPr="004D146C" w:rsidRDefault="004D146C" w:rsidP="00AB3D40">
            <w:pPr>
              <w:pStyle w:val="04ABodyText"/>
              <w:spacing w:before="0" w:after="0" w:line="240" w:lineRule="auto"/>
              <w:rPr>
                <w:rFonts w:ascii="Arial" w:hAnsi="Arial"/>
                <w:sz w:val="22"/>
                <w:szCs w:val="22"/>
              </w:rPr>
            </w:pPr>
          </w:p>
        </w:tc>
      </w:tr>
      <w:tr w:rsidR="001A2303" w14:paraId="4896D372"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73B7038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F0E6DB7"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Was feedback on reasons for declined applications for lending provided by lenders?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793D71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7DAEECA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ABAEE4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05431F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290DF3E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753961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BE056F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874EC37" w14:textId="77777777" w:rsidR="004D146C" w:rsidRPr="004D146C" w:rsidRDefault="004D146C" w:rsidP="00AB3D40">
            <w:pPr>
              <w:pStyle w:val="04ABodyText"/>
              <w:spacing w:before="0" w:after="0" w:line="240" w:lineRule="auto"/>
              <w:rPr>
                <w:rFonts w:ascii="Arial" w:hAnsi="Arial"/>
                <w:sz w:val="22"/>
                <w:szCs w:val="22"/>
              </w:rPr>
            </w:pPr>
          </w:p>
        </w:tc>
      </w:tr>
      <w:tr w:rsidR="001A2303" w14:paraId="0EA3DFF7" w14:textId="77777777" w:rsidTr="00EB6884">
        <w:tblPrEx>
          <w:tblCellMar>
            <w:left w:w="108" w:type="dxa"/>
            <w:right w:w="108" w:type="dxa"/>
          </w:tblCellMar>
        </w:tblPrEx>
        <w:tc>
          <w:tcPr>
            <w:tcW w:w="0" w:type="dxa"/>
            <w:vMerge/>
            <w:tcBorders>
              <w:left w:val="single" w:sz="4" w:space="0" w:color="auto"/>
              <w:bottom w:val="single" w:sz="4" w:space="0" w:color="auto"/>
            </w:tcBorders>
            <w:shd w:val="clear" w:color="auto" w:fill="FFFFFF" w:themeFill="background1"/>
          </w:tcPr>
          <w:p w14:paraId="5D3A919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AF0D54E"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 was the training provided to lenders in providing their staff with the knowledge and skills to robustly assess applications in line with the requirements of the scheme (including additionality test)?</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433DDA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04CC864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548F80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B6056B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9EBCEC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6694EE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D0C4AD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B9F704B" w14:textId="77777777" w:rsidR="004D146C" w:rsidRPr="004D146C" w:rsidRDefault="004D146C" w:rsidP="00AB3D40">
            <w:pPr>
              <w:pStyle w:val="04ABodyText"/>
              <w:spacing w:before="0" w:after="0" w:line="240" w:lineRule="auto"/>
              <w:rPr>
                <w:rFonts w:ascii="Arial" w:hAnsi="Arial"/>
                <w:sz w:val="22"/>
                <w:szCs w:val="22"/>
              </w:rPr>
            </w:pPr>
          </w:p>
        </w:tc>
      </w:tr>
      <w:tr w:rsidR="001A2303" w14:paraId="3A3FDD11"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FD3BDBA"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Monitoring</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9226ED9" w14:textId="77777777" w:rsidR="004D146C" w:rsidRPr="004D146C" w:rsidRDefault="004D146C" w:rsidP="00AB3D40">
            <w:pPr>
              <w:pStyle w:val="04ABodyText"/>
              <w:spacing w:before="0" w:after="0" w:line="240" w:lineRule="auto"/>
              <w:rPr>
                <w:rFonts w:ascii="Arial" w:hAnsi="Arial"/>
                <w:sz w:val="22"/>
                <w:szCs w:val="22"/>
                <w:highlight w:val="yellow"/>
              </w:rPr>
            </w:pPr>
            <w:r w:rsidRPr="004D146C">
              <w:rPr>
                <w:rFonts w:ascii="Arial" w:hAnsi="Arial"/>
                <w:sz w:val="22"/>
                <w:szCs w:val="22"/>
              </w:rPr>
              <w:t>How effective was BBB data portal in supporting the efficient transfer of data?</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903525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F7B002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CC2316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0ED6C8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F69F8B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F779E1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875E5F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E03938A" w14:textId="77777777" w:rsidR="004D146C" w:rsidRPr="004D146C" w:rsidRDefault="004D146C" w:rsidP="00AB3D40">
            <w:pPr>
              <w:pStyle w:val="04ABodyText"/>
              <w:spacing w:before="0" w:after="0" w:line="240" w:lineRule="auto"/>
              <w:rPr>
                <w:rFonts w:ascii="Arial" w:hAnsi="Arial"/>
                <w:sz w:val="22"/>
                <w:szCs w:val="22"/>
              </w:rPr>
            </w:pPr>
          </w:p>
        </w:tc>
      </w:tr>
      <w:tr w:rsidR="001A2303" w14:paraId="3DD1AC0F" w14:textId="77777777" w:rsidTr="00EB6884">
        <w:tblPrEx>
          <w:tblCellMar>
            <w:left w:w="108" w:type="dxa"/>
            <w:right w:w="108" w:type="dxa"/>
          </w:tblCellMar>
        </w:tblPrEx>
        <w:trPr>
          <w:trHeight w:val="50"/>
        </w:trPr>
        <w:tc>
          <w:tcPr>
            <w:tcW w:w="0" w:type="dxa"/>
            <w:vMerge/>
            <w:tcBorders>
              <w:left w:val="single" w:sz="4" w:space="0" w:color="auto"/>
              <w:bottom w:val="single" w:sz="4" w:space="0" w:color="auto"/>
            </w:tcBorders>
            <w:shd w:val="clear" w:color="auto" w:fill="FFFFFF" w:themeFill="background1"/>
          </w:tcPr>
          <w:p w14:paraId="3F10970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A7F2782"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responsive were BBB to queries about data sharing?</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B1B8E0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B2385D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CD376D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782937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760C82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6EC2EC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4B66C1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55D0D3C" w14:textId="77777777" w:rsidR="004D146C" w:rsidRPr="004D146C" w:rsidRDefault="004D146C" w:rsidP="00AB3D40">
            <w:pPr>
              <w:pStyle w:val="04ABodyText"/>
              <w:spacing w:before="0" w:after="0" w:line="240" w:lineRule="auto"/>
              <w:rPr>
                <w:rFonts w:ascii="Arial" w:hAnsi="Arial"/>
                <w:sz w:val="22"/>
                <w:szCs w:val="22"/>
              </w:rPr>
            </w:pPr>
          </w:p>
        </w:tc>
      </w:tr>
      <w:tr w:rsidR="001A2303" w14:paraId="142F8C2F"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bottom w:val="single" w:sz="4" w:space="0" w:color="auto"/>
            </w:tcBorders>
            <w:shd w:val="clear" w:color="auto" w:fill="FFFFFF" w:themeFill="background1"/>
          </w:tcPr>
          <w:p w14:paraId="2FC29F8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86FD7D6"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 xml:space="preserve">Was data provided in a timely manner to and from Lenders? </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5B810F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170E1D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29437A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B2850B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4AC91A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B5BCD1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1A06AD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230C62D" w14:textId="77777777" w:rsidR="004D146C" w:rsidRPr="004D146C" w:rsidRDefault="004D146C" w:rsidP="00AB3D40">
            <w:pPr>
              <w:pStyle w:val="04ABodyText"/>
              <w:spacing w:before="0" w:after="0" w:line="240" w:lineRule="auto"/>
              <w:rPr>
                <w:rFonts w:ascii="Arial" w:hAnsi="Arial"/>
                <w:sz w:val="22"/>
                <w:szCs w:val="22"/>
              </w:rPr>
            </w:pPr>
          </w:p>
        </w:tc>
      </w:tr>
      <w:tr w:rsidR="001A2303" w14:paraId="2D1F23EC" w14:textId="77777777" w:rsidTr="00EB6884">
        <w:tblPrEx>
          <w:tblCellMar>
            <w:left w:w="108" w:type="dxa"/>
            <w:right w:w="108" w:type="dxa"/>
          </w:tblCellMar>
        </w:tblPrEx>
        <w:trPr>
          <w:trHeight w:val="424"/>
        </w:trPr>
        <w:tc>
          <w:tcPr>
            <w:tcW w:w="0" w:type="dxa"/>
            <w:vMerge/>
            <w:tcBorders>
              <w:left w:val="single" w:sz="4" w:space="0" w:color="auto"/>
              <w:bottom w:val="single" w:sz="4" w:space="0" w:color="auto"/>
            </w:tcBorders>
            <w:shd w:val="clear" w:color="auto" w:fill="FFFFFF" w:themeFill="background1"/>
          </w:tcPr>
          <w:p w14:paraId="7F21A6C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9076FD0" w14:textId="429B8672"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 xml:space="preserve">How effectively was data from RLS </w:t>
            </w:r>
            <w:r w:rsidR="0039115D">
              <w:rPr>
                <w:rFonts w:ascii="Arial" w:hAnsi="Arial"/>
                <w:sz w:val="22"/>
                <w:szCs w:val="22"/>
              </w:rPr>
              <w:t xml:space="preserve">1.0 </w:t>
            </w:r>
            <w:r w:rsidRPr="004D146C">
              <w:rPr>
                <w:rFonts w:ascii="Arial" w:hAnsi="Arial"/>
                <w:sz w:val="22"/>
                <w:szCs w:val="22"/>
              </w:rPr>
              <w:t>shared between Government departments?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D596AD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A64594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6C1C1D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2367F7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FC5E08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544BB5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481C61F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3E61779" w14:textId="77777777" w:rsidR="004D146C" w:rsidRPr="004D146C" w:rsidRDefault="004D146C" w:rsidP="00AB3D40">
            <w:pPr>
              <w:pStyle w:val="04ABodyText"/>
              <w:spacing w:before="0" w:after="0" w:line="240" w:lineRule="auto"/>
              <w:rPr>
                <w:rFonts w:ascii="Arial" w:hAnsi="Arial"/>
                <w:sz w:val="22"/>
                <w:szCs w:val="22"/>
              </w:rPr>
            </w:pPr>
          </w:p>
        </w:tc>
      </w:tr>
      <w:tr w:rsidR="001A2303" w14:paraId="6A526EEE"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24"/>
        </w:trPr>
        <w:tc>
          <w:tcPr>
            <w:tcW w:w="0" w:type="dxa"/>
            <w:vMerge/>
            <w:tcBorders>
              <w:left w:val="single" w:sz="4" w:space="0" w:color="auto"/>
              <w:bottom w:val="single" w:sz="4" w:space="0" w:color="auto"/>
            </w:tcBorders>
            <w:shd w:val="clear" w:color="auto" w:fill="FFFFFF" w:themeFill="background1"/>
          </w:tcPr>
          <w:p w14:paraId="1EB1D99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7F5734A"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Was all relevant data collected to monitor the performance of a lender’s portfolio?</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E5493E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DBB03B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6A89AA6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E5A994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4B7995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282FA0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1D0755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5326B7D" w14:textId="77777777" w:rsidR="004D146C" w:rsidRPr="004D146C" w:rsidRDefault="004D146C" w:rsidP="00AB3D40">
            <w:pPr>
              <w:pStyle w:val="04ABodyText"/>
              <w:spacing w:before="0" w:after="0" w:line="240" w:lineRule="auto"/>
              <w:rPr>
                <w:rFonts w:ascii="Arial" w:hAnsi="Arial"/>
                <w:sz w:val="22"/>
                <w:szCs w:val="22"/>
              </w:rPr>
            </w:pPr>
          </w:p>
        </w:tc>
      </w:tr>
      <w:tr w:rsidR="001A2303" w14:paraId="0FACAEAB" w14:textId="77777777" w:rsidTr="00EB6884">
        <w:tblPrEx>
          <w:tblCellMar>
            <w:left w:w="108" w:type="dxa"/>
            <w:right w:w="108" w:type="dxa"/>
          </w:tblCellMar>
        </w:tblPrEx>
        <w:trPr>
          <w:trHeight w:val="424"/>
        </w:trPr>
        <w:tc>
          <w:tcPr>
            <w:tcW w:w="0" w:type="dxa"/>
            <w:vMerge/>
            <w:tcBorders>
              <w:left w:val="single" w:sz="4" w:space="0" w:color="auto"/>
              <w:bottom w:val="single" w:sz="4" w:space="0" w:color="auto"/>
            </w:tcBorders>
            <w:shd w:val="clear" w:color="auto" w:fill="FFFFFF" w:themeFill="background1"/>
          </w:tcPr>
          <w:p w14:paraId="77768D1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A102D30"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Is the external audit exercise proportionate to the value of the schemes and level of risk?</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9A23EF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05649D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95CB61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4C1A40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3BDC7E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2AAC75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F35EC8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2BFB5C3" w14:textId="77777777" w:rsidR="004D146C" w:rsidRPr="004D146C" w:rsidRDefault="004D146C" w:rsidP="00AB3D40">
            <w:pPr>
              <w:pStyle w:val="04ABodyText"/>
              <w:spacing w:before="0" w:after="0" w:line="240" w:lineRule="auto"/>
              <w:rPr>
                <w:rFonts w:ascii="Arial" w:hAnsi="Arial"/>
                <w:sz w:val="22"/>
                <w:szCs w:val="22"/>
              </w:rPr>
            </w:pPr>
          </w:p>
        </w:tc>
      </w:tr>
      <w:tr w:rsidR="001A2303" w14:paraId="274D970D"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24"/>
        </w:trPr>
        <w:tc>
          <w:tcPr>
            <w:tcW w:w="0" w:type="dxa"/>
            <w:vMerge/>
            <w:tcBorders>
              <w:left w:val="single" w:sz="4" w:space="0" w:color="auto"/>
              <w:bottom w:val="single" w:sz="4" w:space="0" w:color="auto"/>
            </w:tcBorders>
            <w:shd w:val="clear" w:color="auto" w:fill="FFFFFF" w:themeFill="background1"/>
          </w:tcPr>
          <w:p w14:paraId="6EB58BC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5BFF782"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In what ways did the publication of data impact upon lender behaviour?</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087024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66F45A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75CF9B7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88CEE5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1A14B9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3DE9A1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89A9A3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E1C1B3B" w14:textId="77777777" w:rsidR="004D146C" w:rsidRPr="004D146C" w:rsidRDefault="004D146C" w:rsidP="00AB3D40">
            <w:pPr>
              <w:pStyle w:val="04ABodyText"/>
              <w:spacing w:before="0" w:after="0" w:line="240" w:lineRule="auto"/>
              <w:rPr>
                <w:rFonts w:ascii="Arial" w:hAnsi="Arial"/>
                <w:sz w:val="22"/>
                <w:szCs w:val="22"/>
              </w:rPr>
            </w:pPr>
          </w:p>
        </w:tc>
      </w:tr>
      <w:tr w:rsidR="001A2303" w14:paraId="42003FA0" w14:textId="77777777" w:rsidTr="00EB6884">
        <w:tblPrEx>
          <w:tblCellMar>
            <w:left w:w="108" w:type="dxa"/>
            <w:right w:w="108" w:type="dxa"/>
          </w:tblCellMar>
        </w:tblPrEx>
        <w:trPr>
          <w:trHeight w:val="424"/>
        </w:trPr>
        <w:tc>
          <w:tcPr>
            <w:tcW w:w="0" w:type="dxa"/>
            <w:vMerge/>
            <w:tcBorders>
              <w:left w:val="single" w:sz="4" w:space="0" w:color="auto"/>
              <w:bottom w:val="single" w:sz="4" w:space="0" w:color="auto"/>
            </w:tcBorders>
            <w:shd w:val="clear" w:color="auto" w:fill="FFFFFF" w:themeFill="background1"/>
          </w:tcPr>
          <w:p w14:paraId="66A8A7C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B098"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 was the lender challenge process in influencing lender behaviour?</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338AA9D"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Number of challenges</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FF5F204" w14:textId="77777777" w:rsidR="004D146C" w:rsidRPr="004D146C" w:rsidRDefault="004D146C" w:rsidP="00AB3D40">
            <w:pPr>
              <w:pStyle w:val="04ABodyText"/>
              <w:spacing w:before="0" w:after="0" w:line="240" w:lineRule="auto"/>
              <w:rPr>
                <w:rFonts w:ascii="Arial" w:hAnsi="Arial"/>
                <w:color w:val="142855" w:themeColor="text2"/>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1952915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F9F9E3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984658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73736C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9FD9A06"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10AAF9E" w14:textId="77777777" w:rsidR="004D146C" w:rsidRPr="004D146C" w:rsidRDefault="004D146C" w:rsidP="00AB3D40">
            <w:pPr>
              <w:pStyle w:val="04ABodyText"/>
              <w:spacing w:before="0" w:after="0" w:line="240" w:lineRule="auto"/>
              <w:rPr>
                <w:rFonts w:ascii="Arial" w:hAnsi="Arial"/>
                <w:sz w:val="22"/>
                <w:szCs w:val="22"/>
              </w:rPr>
            </w:pPr>
          </w:p>
        </w:tc>
      </w:tr>
      <w:tr w:rsidR="001A2303" w14:paraId="7FD69E91"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24"/>
        </w:trPr>
        <w:tc>
          <w:tcPr>
            <w:tcW w:w="0" w:type="dxa"/>
            <w:vMerge/>
            <w:tcBorders>
              <w:left w:val="single" w:sz="4" w:space="0" w:color="auto"/>
              <w:bottom w:val="single" w:sz="4" w:space="0" w:color="auto"/>
            </w:tcBorders>
            <w:shd w:val="clear" w:color="auto" w:fill="FFFFFF" w:themeFill="background1"/>
          </w:tcPr>
          <w:p w14:paraId="1E95C77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31156F3"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In what ways has the external audit process altered lenders’ internal processes?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B418FC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D34B31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09C8047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96084D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6D5727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5942B5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B170EEF"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EA4B593" w14:textId="77777777" w:rsidR="004D146C" w:rsidRPr="004D146C" w:rsidRDefault="004D146C" w:rsidP="00AB3D40">
            <w:pPr>
              <w:pStyle w:val="04ABodyText"/>
              <w:spacing w:before="0" w:after="0" w:line="240" w:lineRule="auto"/>
              <w:rPr>
                <w:rFonts w:ascii="Arial" w:hAnsi="Arial"/>
                <w:sz w:val="22"/>
                <w:szCs w:val="22"/>
              </w:rPr>
            </w:pPr>
          </w:p>
        </w:tc>
      </w:tr>
      <w:tr w:rsidR="001A2303" w14:paraId="33BCE9C2" w14:textId="77777777" w:rsidTr="00EB6884">
        <w:tblPrEx>
          <w:tblCellMar>
            <w:left w:w="108" w:type="dxa"/>
            <w:right w:w="108" w:type="dxa"/>
          </w:tblCellMar>
        </w:tblPrEx>
        <w:trPr>
          <w:trHeight w:val="424"/>
        </w:trPr>
        <w:tc>
          <w:tcPr>
            <w:tcW w:w="0" w:type="dxa"/>
            <w:vMerge/>
            <w:tcBorders>
              <w:left w:val="single" w:sz="4" w:space="0" w:color="auto"/>
              <w:bottom w:val="single" w:sz="4" w:space="0" w:color="auto"/>
            </w:tcBorders>
            <w:shd w:val="clear" w:color="auto" w:fill="FFFFFF" w:themeFill="background1"/>
          </w:tcPr>
          <w:p w14:paraId="678E1C8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1E970FC"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 have the relationship management processes been in encouraging lender cooperation with the schemes?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3A05CC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A12E62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2"/>
          </w:tcPr>
          <w:p w14:paraId="0213323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579501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A02C82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7C5F87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476893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27A2A7D" w14:textId="77777777" w:rsidR="004D146C" w:rsidRPr="004D146C" w:rsidRDefault="004D146C" w:rsidP="00AB3D40">
            <w:pPr>
              <w:pStyle w:val="04ABodyText"/>
              <w:spacing w:before="0" w:after="0" w:line="240" w:lineRule="auto"/>
              <w:rPr>
                <w:rFonts w:ascii="Arial" w:hAnsi="Arial"/>
                <w:sz w:val="22"/>
                <w:szCs w:val="22"/>
              </w:rPr>
            </w:pPr>
          </w:p>
        </w:tc>
      </w:tr>
      <w:tr w:rsidR="001A2303" w14:paraId="2E63A880"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val="restart"/>
            <w:tcBorders>
              <w:top w:val="single" w:sz="4" w:space="0" w:color="auto"/>
              <w:left w:val="single" w:sz="4" w:space="0" w:color="auto"/>
              <w:right w:val="single" w:sz="4" w:space="0" w:color="auto"/>
            </w:tcBorders>
            <w:shd w:val="clear" w:color="auto" w:fill="FFFFFF" w:themeFill="background1"/>
          </w:tcPr>
          <w:p w14:paraId="716083FA"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 xml:space="preserve">Repayments </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EB3F91F"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 have the approaches used by lenders been in securing repayment from businesses in difficulty when compared to BAU portfolio of SME lending?</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968D1EE"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Incidence of arrears</w:t>
            </w:r>
          </w:p>
          <w:p w14:paraId="454A9617" w14:textId="77777777" w:rsidR="004D146C" w:rsidRPr="004D146C" w:rsidRDefault="004D146C" w:rsidP="004D146C">
            <w:pPr>
              <w:pStyle w:val="04ABodyText"/>
              <w:numPr>
                <w:ilvl w:val="0"/>
                <w:numId w:val="47"/>
              </w:numPr>
              <w:spacing w:before="0" w:after="0" w:line="240" w:lineRule="auto"/>
              <w:ind w:left="180" w:hanging="180"/>
              <w:rPr>
                <w:rFonts w:ascii="Arial" w:hAnsi="Arial"/>
                <w:sz w:val="22"/>
                <w:szCs w:val="22"/>
              </w:rPr>
            </w:pPr>
            <w:r w:rsidRPr="004D146C">
              <w:rPr>
                <w:rFonts w:ascii="Arial" w:hAnsi="Arial"/>
                <w:sz w:val="22"/>
                <w:szCs w:val="22"/>
              </w:rPr>
              <w:t>Value of arrears</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96CC94B"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D73336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7874173"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AE67C24"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7356718"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ABF452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6CC8052" w14:textId="77777777" w:rsidR="004D146C" w:rsidRPr="004D146C" w:rsidRDefault="004D146C" w:rsidP="00AB3D40">
            <w:pPr>
              <w:pStyle w:val="04ABodyText"/>
              <w:spacing w:before="0" w:after="0" w:line="240" w:lineRule="auto"/>
              <w:rPr>
                <w:rFonts w:ascii="Arial" w:hAnsi="Arial"/>
                <w:sz w:val="22"/>
                <w:szCs w:val="22"/>
              </w:rPr>
            </w:pPr>
          </w:p>
        </w:tc>
      </w:tr>
      <w:tr w:rsidR="001A2303" w14:paraId="38C6A8BF" w14:textId="77777777" w:rsidTr="00EB6884">
        <w:tblPrEx>
          <w:tblCellMar>
            <w:left w:w="108" w:type="dxa"/>
            <w:right w:w="108" w:type="dxa"/>
          </w:tblCellMar>
        </w:tblPrEx>
        <w:tc>
          <w:tcPr>
            <w:tcW w:w="0" w:type="dxa"/>
            <w:vMerge/>
            <w:tcBorders>
              <w:left w:val="single" w:sz="4" w:space="0" w:color="auto"/>
            </w:tcBorders>
            <w:shd w:val="clear" w:color="auto" w:fill="FFFFFF" w:themeFill="background1"/>
          </w:tcPr>
          <w:p w14:paraId="404400C1"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BDDC62E" w14:textId="04A6E5A8"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 have the processes</w:t>
            </w:r>
            <w:r w:rsidR="007946A9">
              <w:rPr>
                <w:rFonts w:ascii="Arial" w:hAnsi="Arial"/>
                <w:sz w:val="22"/>
                <w:szCs w:val="22"/>
              </w:rPr>
              <w:t xml:space="preserve"> been</w:t>
            </w:r>
            <w:r w:rsidRPr="004D146C">
              <w:rPr>
                <w:rFonts w:ascii="Arial" w:hAnsi="Arial"/>
                <w:sz w:val="22"/>
                <w:szCs w:val="22"/>
              </w:rPr>
              <w:t xml:space="preserve"> to identify and remove erroneous facilities from the guarantee scheme?</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60892E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1F95B20"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629A9F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76A9D0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01630C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E599D4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10D74AD"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C41F0FA" w14:textId="77777777" w:rsidR="004D146C" w:rsidRPr="004D146C" w:rsidRDefault="004D146C" w:rsidP="00AB3D40">
            <w:pPr>
              <w:pStyle w:val="04ABodyText"/>
              <w:spacing w:before="0" w:after="0" w:line="240" w:lineRule="auto"/>
              <w:rPr>
                <w:rFonts w:ascii="Arial" w:hAnsi="Arial"/>
                <w:sz w:val="22"/>
                <w:szCs w:val="22"/>
              </w:rPr>
            </w:pPr>
          </w:p>
        </w:tc>
      </w:tr>
      <w:tr w:rsidR="001A2303" w14:paraId="15C12A05" w14:textId="77777777" w:rsidTr="00EB6884">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left w:val="single" w:sz="4" w:space="0" w:color="auto"/>
            </w:tcBorders>
            <w:shd w:val="clear" w:color="auto" w:fill="FFFFFF" w:themeFill="background1"/>
          </w:tcPr>
          <w:p w14:paraId="38448007"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6F061D0" w14:textId="77777777" w:rsidR="004D146C" w:rsidRPr="004D146C" w:rsidRDefault="004D146C" w:rsidP="00AB3D40">
            <w:pPr>
              <w:pStyle w:val="04ABodyText"/>
              <w:spacing w:before="0" w:after="0" w:line="240" w:lineRule="auto"/>
              <w:rPr>
                <w:rFonts w:ascii="Arial" w:hAnsi="Arial"/>
                <w:sz w:val="22"/>
                <w:szCs w:val="22"/>
              </w:rPr>
            </w:pPr>
            <w:r w:rsidRPr="004D146C">
              <w:rPr>
                <w:rFonts w:ascii="Arial" w:hAnsi="Arial"/>
                <w:sz w:val="22"/>
                <w:szCs w:val="22"/>
              </w:rPr>
              <w:t>How effectively has the process of claiming guaranteed balance worked?</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EE5372A"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A820E7C"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A72AF2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CB60145"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D5BA44E"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FBB4849"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030CDA2" w14:textId="77777777" w:rsidR="004D146C" w:rsidRPr="004D146C" w:rsidRDefault="004D146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B4D7652" w14:textId="77777777" w:rsidR="004D146C" w:rsidRPr="004D146C" w:rsidRDefault="004D146C" w:rsidP="00AB3D40">
            <w:pPr>
              <w:pStyle w:val="04ABodyText"/>
              <w:spacing w:before="0" w:after="0" w:line="240" w:lineRule="auto"/>
              <w:rPr>
                <w:rFonts w:ascii="Arial" w:hAnsi="Arial"/>
                <w:sz w:val="22"/>
                <w:szCs w:val="22"/>
              </w:rPr>
            </w:pPr>
          </w:p>
        </w:tc>
      </w:tr>
    </w:tbl>
    <w:p w14:paraId="5C3D3D95" w14:textId="77777777" w:rsidR="004D146C" w:rsidRDefault="004D146C">
      <w:pPr>
        <w:spacing w:after="160" w:line="259" w:lineRule="auto"/>
      </w:pPr>
    </w:p>
    <w:p w14:paraId="2AD5CA0E" w14:textId="605BCDBA" w:rsidR="0015450C" w:rsidRDefault="0015450C" w:rsidP="0015450C">
      <w:pPr>
        <w:pStyle w:val="Heading5"/>
      </w:pPr>
      <w:r>
        <w:t xml:space="preserve">Table </w:t>
      </w:r>
      <w:r>
        <w:fldChar w:fldCharType="begin"/>
      </w:r>
      <w:r>
        <w:instrText xml:space="preserve"> SEQ Table \* ARABIC </w:instrText>
      </w:r>
      <w:r>
        <w:fldChar w:fldCharType="separate"/>
      </w:r>
      <w:r w:rsidR="001525E9">
        <w:rPr>
          <w:noProof/>
        </w:rPr>
        <w:t>14</w:t>
      </w:r>
      <w:r>
        <w:rPr>
          <w:noProof/>
        </w:rPr>
        <w:fldChar w:fldCharType="end"/>
      </w:r>
      <w:r w:rsidR="0098347E">
        <w:rPr>
          <w:noProof/>
        </w:rPr>
        <w:t>:</w:t>
      </w:r>
      <w:r w:rsidRPr="0015450C">
        <w:t xml:space="preserve"> </w:t>
      </w:r>
      <w:r>
        <w:t>Impact of scheme parameters framework</w:t>
      </w:r>
    </w:p>
    <w:tbl>
      <w:tblPr>
        <w:tblStyle w:val="TableGrid"/>
        <w:tblW w:w="5001" w:type="pct"/>
        <w:tblLayout w:type="fixed"/>
        <w:tblLook w:val="04A0" w:firstRow="1" w:lastRow="0" w:firstColumn="1" w:lastColumn="0" w:noHBand="0" w:noVBand="1"/>
      </w:tblPr>
      <w:tblGrid>
        <w:gridCol w:w="1520"/>
        <w:gridCol w:w="3575"/>
        <w:gridCol w:w="3580"/>
        <w:gridCol w:w="705"/>
        <w:gridCol w:w="708"/>
        <w:gridCol w:w="706"/>
        <w:gridCol w:w="708"/>
        <w:gridCol w:w="705"/>
        <w:gridCol w:w="834"/>
        <w:gridCol w:w="568"/>
      </w:tblGrid>
      <w:tr w:rsidR="009D5309" w:rsidRPr="009D5309" w14:paraId="54FD8596" w14:textId="77777777" w:rsidTr="009D5309">
        <w:trPr>
          <w:cnfStyle w:val="100000000000" w:firstRow="1" w:lastRow="0" w:firstColumn="0" w:lastColumn="0" w:oddVBand="0" w:evenVBand="0" w:oddHBand="0" w:evenHBand="0" w:firstRowFirstColumn="0" w:firstRowLastColumn="0" w:lastRowFirstColumn="0" w:lastRowLastColumn="0"/>
          <w:cantSplit/>
          <w:trHeight w:val="50"/>
          <w:tblHeader/>
        </w:trPr>
        <w:tc>
          <w:tcPr>
            <w:tcW w:w="1520" w:type="dxa"/>
            <w:vMerge w:val="restart"/>
          </w:tcPr>
          <w:p w14:paraId="32D7BAB4" w14:textId="77777777" w:rsidR="009D5309" w:rsidRPr="0015450C" w:rsidRDefault="009D5309" w:rsidP="00AB3D40">
            <w:pPr>
              <w:pStyle w:val="04ABodyText"/>
              <w:spacing w:before="0" w:after="0" w:line="240" w:lineRule="auto"/>
              <w:rPr>
                <w:rFonts w:ascii="Arial" w:hAnsi="Arial"/>
                <w:b w:val="0"/>
                <w:bCs/>
                <w:sz w:val="22"/>
                <w:szCs w:val="22"/>
              </w:rPr>
            </w:pPr>
            <w:r w:rsidRPr="0015450C">
              <w:rPr>
                <w:rFonts w:ascii="Arial" w:hAnsi="Arial"/>
                <w:bCs/>
                <w:sz w:val="22"/>
                <w:szCs w:val="22"/>
              </w:rPr>
              <w:t>Impact group</w:t>
            </w:r>
          </w:p>
        </w:tc>
        <w:tc>
          <w:tcPr>
            <w:tcW w:w="3575" w:type="dxa"/>
            <w:vMerge w:val="restart"/>
          </w:tcPr>
          <w:p w14:paraId="1922507A" w14:textId="77777777" w:rsidR="009D5309" w:rsidRPr="0015450C" w:rsidRDefault="009D5309" w:rsidP="00AB3D40">
            <w:pPr>
              <w:pStyle w:val="04ABodyText"/>
              <w:spacing w:before="0" w:after="0" w:line="240" w:lineRule="auto"/>
              <w:rPr>
                <w:rFonts w:ascii="Arial" w:hAnsi="Arial"/>
                <w:b w:val="0"/>
                <w:bCs/>
                <w:sz w:val="22"/>
                <w:szCs w:val="22"/>
              </w:rPr>
            </w:pPr>
            <w:r w:rsidRPr="0015450C">
              <w:rPr>
                <w:rFonts w:ascii="Arial" w:hAnsi="Arial"/>
                <w:bCs/>
                <w:sz w:val="22"/>
                <w:szCs w:val="22"/>
              </w:rPr>
              <w:t>Evaluation question</w:t>
            </w:r>
          </w:p>
        </w:tc>
        <w:tc>
          <w:tcPr>
            <w:tcW w:w="3580" w:type="dxa"/>
            <w:vMerge w:val="restart"/>
          </w:tcPr>
          <w:p w14:paraId="54761DEE" w14:textId="77777777" w:rsidR="009D5309" w:rsidRPr="0015450C" w:rsidRDefault="009D5309" w:rsidP="00AB3D40">
            <w:pPr>
              <w:pStyle w:val="04ABodyText"/>
              <w:spacing w:before="0" w:after="0" w:line="240" w:lineRule="auto"/>
              <w:rPr>
                <w:rFonts w:ascii="Arial" w:hAnsi="Arial"/>
                <w:b w:val="0"/>
                <w:bCs/>
                <w:sz w:val="22"/>
                <w:szCs w:val="22"/>
              </w:rPr>
            </w:pPr>
            <w:r w:rsidRPr="0015450C">
              <w:rPr>
                <w:rFonts w:ascii="Arial" w:hAnsi="Arial"/>
                <w:bCs/>
                <w:color w:val="auto"/>
                <w:sz w:val="22"/>
                <w:szCs w:val="22"/>
              </w:rPr>
              <w:t>Key metrics</w:t>
            </w:r>
          </w:p>
        </w:tc>
        <w:tc>
          <w:tcPr>
            <w:tcW w:w="4934" w:type="dxa"/>
            <w:gridSpan w:val="7"/>
            <w:vAlign w:val="center"/>
          </w:tcPr>
          <w:p w14:paraId="5267037C" w14:textId="498331D2" w:rsidR="009D5309" w:rsidRPr="009D5309" w:rsidRDefault="009D5309" w:rsidP="00AB3D40">
            <w:pPr>
              <w:pStyle w:val="04ABodyText"/>
              <w:spacing w:before="0" w:after="0" w:line="240" w:lineRule="auto"/>
              <w:jc w:val="center"/>
              <w:rPr>
                <w:rFonts w:ascii="Arial" w:hAnsi="Arial"/>
                <w:b w:val="0"/>
                <w:bCs/>
                <w:sz w:val="24"/>
                <w:szCs w:val="24"/>
              </w:rPr>
            </w:pPr>
            <w:r w:rsidRPr="0015450C">
              <w:rPr>
                <w:rFonts w:ascii="Arial" w:hAnsi="Arial"/>
                <w:bCs/>
                <w:sz w:val="22"/>
                <w:szCs w:val="22"/>
              </w:rPr>
              <w:t>Sources of evidence</w:t>
            </w:r>
          </w:p>
        </w:tc>
      </w:tr>
      <w:tr w:rsidR="0015450C" w:rsidRPr="00676B1F" w14:paraId="479AFF79" w14:textId="77777777" w:rsidTr="009D5309">
        <w:trPr>
          <w:cnfStyle w:val="100000000000" w:firstRow="1" w:lastRow="0" w:firstColumn="0" w:lastColumn="0" w:oddVBand="0" w:evenVBand="0" w:oddHBand="0" w:evenHBand="0" w:firstRowFirstColumn="0" w:firstRowLastColumn="0" w:lastRowFirstColumn="0" w:lastRowLastColumn="0"/>
          <w:cantSplit/>
          <w:trHeight w:val="2240"/>
          <w:tblHeader/>
        </w:trPr>
        <w:tc>
          <w:tcPr>
            <w:tcW w:w="1520" w:type="dxa"/>
            <w:vMerge/>
            <w:tcBorders>
              <w:bottom w:val="single" w:sz="4" w:space="0" w:color="auto"/>
            </w:tcBorders>
          </w:tcPr>
          <w:p w14:paraId="1CFAA7A8" w14:textId="77777777" w:rsidR="0015450C" w:rsidRPr="0015450C" w:rsidRDefault="0015450C" w:rsidP="00AB3D40">
            <w:pPr>
              <w:pStyle w:val="04ABodyText"/>
              <w:spacing w:before="0" w:after="0" w:line="240" w:lineRule="auto"/>
              <w:rPr>
                <w:rFonts w:ascii="Arial" w:hAnsi="Arial"/>
                <w:b w:val="0"/>
                <w:bCs/>
                <w:sz w:val="22"/>
                <w:szCs w:val="22"/>
              </w:rPr>
            </w:pPr>
          </w:p>
        </w:tc>
        <w:tc>
          <w:tcPr>
            <w:tcW w:w="3575" w:type="dxa"/>
            <w:vMerge/>
            <w:tcBorders>
              <w:bottom w:val="single" w:sz="4" w:space="0" w:color="auto"/>
            </w:tcBorders>
          </w:tcPr>
          <w:p w14:paraId="56FE9B8A" w14:textId="77777777" w:rsidR="0015450C" w:rsidRPr="0015450C" w:rsidRDefault="0015450C" w:rsidP="00AB3D40">
            <w:pPr>
              <w:pStyle w:val="04ABodyText"/>
              <w:spacing w:before="0" w:after="0" w:line="240" w:lineRule="auto"/>
              <w:rPr>
                <w:rFonts w:ascii="Arial" w:hAnsi="Arial"/>
                <w:b w:val="0"/>
                <w:bCs/>
                <w:sz w:val="22"/>
                <w:szCs w:val="22"/>
              </w:rPr>
            </w:pPr>
          </w:p>
        </w:tc>
        <w:tc>
          <w:tcPr>
            <w:tcW w:w="3580" w:type="dxa"/>
            <w:vMerge/>
            <w:tcBorders>
              <w:bottom w:val="single" w:sz="4" w:space="0" w:color="auto"/>
            </w:tcBorders>
          </w:tcPr>
          <w:p w14:paraId="00A1F03A" w14:textId="77777777" w:rsidR="0015450C" w:rsidRPr="0015450C" w:rsidRDefault="0015450C" w:rsidP="00AB3D40">
            <w:pPr>
              <w:pStyle w:val="04ABodyText"/>
              <w:spacing w:before="0" w:after="0" w:line="240" w:lineRule="auto"/>
              <w:rPr>
                <w:rFonts w:ascii="Arial" w:hAnsi="Arial"/>
                <w:b w:val="0"/>
                <w:bCs/>
                <w:sz w:val="22"/>
                <w:szCs w:val="22"/>
              </w:rPr>
            </w:pPr>
          </w:p>
        </w:tc>
        <w:tc>
          <w:tcPr>
            <w:tcW w:w="705" w:type="dxa"/>
            <w:tcBorders>
              <w:bottom w:val="single" w:sz="4" w:space="0" w:color="auto"/>
            </w:tcBorders>
            <w:textDirection w:val="tbRl"/>
            <w:vAlign w:val="center"/>
          </w:tcPr>
          <w:p w14:paraId="5F89948B" w14:textId="77777777" w:rsidR="0015450C" w:rsidRPr="0015450C" w:rsidRDefault="0015450C" w:rsidP="00AB3D40">
            <w:pPr>
              <w:pStyle w:val="04ABodyText"/>
              <w:spacing w:before="0" w:after="0" w:line="240" w:lineRule="auto"/>
              <w:ind w:left="113" w:right="113"/>
              <w:jc w:val="center"/>
              <w:rPr>
                <w:rFonts w:ascii="Arial" w:hAnsi="Arial"/>
                <w:b w:val="0"/>
                <w:bCs/>
                <w:sz w:val="22"/>
                <w:szCs w:val="22"/>
              </w:rPr>
            </w:pPr>
            <w:r w:rsidRPr="0015450C">
              <w:rPr>
                <w:rFonts w:ascii="Arial" w:hAnsi="Arial"/>
                <w:bCs/>
                <w:sz w:val="22"/>
                <w:szCs w:val="22"/>
              </w:rPr>
              <w:t>Monitoring data</w:t>
            </w:r>
          </w:p>
        </w:tc>
        <w:tc>
          <w:tcPr>
            <w:tcW w:w="708" w:type="dxa"/>
            <w:tcBorders>
              <w:bottom w:val="single" w:sz="4" w:space="0" w:color="auto"/>
            </w:tcBorders>
            <w:textDirection w:val="tbRl"/>
            <w:vAlign w:val="center"/>
          </w:tcPr>
          <w:p w14:paraId="3C149088" w14:textId="77777777" w:rsidR="0015450C" w:rsidRPr="0015450C" w:rsidRDefault="0015450C" w:rsidP="00AB3D40">
            <w:pPr>
              <w:pStyle w:val="04ABodyText"/>
              <w:spacing w:before="0" w:after="0" w:line="240" w:lineRule="auto"/>
              <w:ind w:left="113" w:right="113"/>
              <w:jc w:val="center"/>
              <w:rPr>
                <w:rFonts w:ascii="Arial" w:hAnsi="Arial"/>
                <w:b w:val="0"/>
                <w:bCs/>
                <w:sz w:val="22"/>
                <w:szCs w:val="22"/>
              </w:rPr>
            </w:pPr>
            <w:r w:rsidRPr="0015450C">
              <w:rPr>
                <w:rFonts w:ascii="Arial" w:hAnsi="Arial"/>
                <w:bCs/>
                <w:sz w:val="22"/>
                <w:szCs w:val="22"/>
              </w:rPr>
              <w:t>BBB documentation</w:t>
            </w:r>
          </w:p>
        </w:tc>
        <w:tc>
          <w:tcPr>
            <w:tcW w:w="706" w:type="dxa"/>
            <w:tcBorders>
              <w:bottom w:val="single" w:sz="4" w:space="0" w:color="auto"/>
            </w:tcBorders>
            <w:textDirection w:val="tbRl"/>
            <w:vAlign w:val="center"/>
          </w:tcPr>
          <w:p w14:paraId="7BF99642" w14:textId="3C790924" w:rsidR="0015450C" w:rsidRPr="0015450C" w:rsidRDefault="0015450C" w:rsidP="00AB3D40">
            <w:pPr>
              <w:pStyle w:val="04ABodyText"/>
              <w:spacing w:before="0" w:after="0" w:line="240" w:lineRule="auto"/>
              <w:ind w:left="113" w:right="113"/>
              <w:jc w:val="center"/>
              <w:rPr>
                <w:rFonts w:ascii="Arial" w:hAnsi="Arial"/>
                <w:b w:val="0"/>
                <w:bCs/>
                <w:sz w:val="22"/>
                <w:szCs w:val="22"/>
              </w:rPr>
            </w:pPr>
            <w:r>
              <w:rPr>
                <w:rFonts w:ascii="Arial" w:hAnsi="Arial"/>
                <w:bCs/>
                <w:sz w:val="22"/>
                <w:szCs w:val="22"/>
              </w:rPr>
              <w:t>Literature review</w:t>
            </w:r>
            <w:r w:rsidRPr="0015450C">
              <w:rPr>
                <w:rFonts w:ascii="Arial" w:hAnsi="Arial"/>
                <w:bCs/>
                <w:sz w:val="22"/>
                <w:szCs w:val="22"/>
              </w:rPr>
              <w:t xml:space="preserve"> </w:t>
            </w:r>
          </w:p>
        </w:tc>
        <w:tc>
          <w:tcPr>
            <w:tcW w:w="708" w:type="dxa"/>
            <w:tcBorders>
              <w:bottom w:val="single" w:sz="4" w:space="0" w:color="auto"/>
            </w:tcBorders>
            <w:textDirection w:val="tbRl"/>
            <w:vAlign w:val="center"/>
          </w:tcPr>
          <w:p w14:paraId="31064E8D" w14:textId="409BCF73" w:rsidR="0015450C" w:rsidRPr="0015450C" w:rsidRDefault="0015450C" w:rsidP="00AB3D40">
            <w:pPr>
              <w:pStyle w:val="04ABodyText"/>
              <w:spacing w:before="0" w:after="0" w:line="240" w:lineRule="auto"/>
              <w:ind w:left="113" w:right="113"/>
              <w:jc w:val="center"/>
              <w:rPr>
                <w:rFonts w:ascii="Arial" w:hAnsi="Arial"/>
                <w:b w:val="0"/>
                <w:bCs/>
                <w:sz w:val="22"/>
                <w:szCs w:val="22"/>
              </w:rPr>
            </w:pPr>
            <w:r w:rsidRPr="0015450C">
              <w:rPr>
                <w:rFonts w:ascii="Arial" w:hAnsi="Arial"/>
                <w:bCs/>
                <w:sz w:val="22"/>
                <w:szCs w:val="22"/>
              </w:rPr>
              <w:t>BBB/</w:t>
            </w:r>
            <w:r w:rsidR="007A1031">
              <w:rPr>
                <w:rFonts w:ascii="Arial" w:hAnsi="Arial"/>
                <w:bCs/>
                <w:sz w:val="22"/>
                <w:szCs w:val="22"/>
              </w:rPr>
              <w:t>DBT</w:t>
            </w:r>
            <w:r w:rsidRPr="0015450C">
              <w:rPr>
                <w:rFonts w:ascii="Arial" w:hAnsi="Arial"/>
                <w:bCs/>
                <w:sz w:val="22"/>
                <w:szCs w:val="22"/>
              </w:rPr>
              <w:t>/HMT</w:t>
            </w:r>
          </w:p>
        </w:tc>
        <w:tc>
          <w:tcPr>
            <w:tcW w:w="705" w:type="dxa"/>
            <w:tcBorders>
              <w:bottom w:val="single" w:sz="4" w:space="0" w:color="auto"/>
            </w:tcBorders>
            <w:textDirection w:val="tbRl"/>
            <w:vAlign w:val="center"/>
          </w:tcPr>
          <w:p w14:paraId="5A003257" w14:textId="5FC932FD" w:rsidR="0015450C" w:rsidRPr="0015450C" w:rsidRDefault="0015450C" w:rsidP="00AB3D40">
            <w:pPr>
              <w:pStyle w:val="04ABodyText"/>
              <w:spacing w:before="0" w:after="0" w:line="240" w:lineRule="auto"/>
              <w:ind w:left="113" w:right="113"/>
              <w:jc w:val="center"/>
              <w:rPr>
                <w:rFonts w:ascii="Arial" w:hAnsi="Arial"/>
                <w:b w:val="0"/>
                <w:bCs/>
                <w:sz w:val="22"/>
                <w:szCs w:val="22"/>
              </w:rPr>
            </w:pPr>
            <w:r>
              <w:rPr>
                <w:rFonts w:ascii="Arial" w:hAnsi="Arial"/>
                <w:bCs/>
                <w:sz w:val="22"/>
                <w:szCs w:val="22"/>
              </w:rPr>
              <w:t>Wider stakeholder</w:t>
            </w:r>
          </w:p>
        </w:tc>
        <w:tc>
          <w:tcPr>
            <w:tcW w:w="834" w:type="dxa"/>
            <w:tcBorders>
              <w:bottom w:val="single" w:sz="4" w:space="0" w:color="auto"/>
            </w:tcBorders>
            <w:textDirection w:val="tbRl"/>
            <w:vAlign w:val="center"/>
          </w:tcPr>
          <w:p w14:paraId="6A176B43" w14:textId="270A99C0" w:rsidR="0015450C" w:rsidRPr="0015450C" w:rsidRDefault="0015450C" w:rsidP="00AB3D40">
            <w:pPr>
              <w:pStyle w:val="04ABodyText"/>
              <w:spacing w:before="0" w:after="0" w:line="240" w:lineRule="auto"/>
              <w:ind w:left="113" w:right="113"/>
              <w:jc w:val="center"/>
              <w:rPr>
                <w:rFonts w:ascii="Arial" w:hAnsi="Arial"/>
                <w:b w:val="0"/>
                <w:bCs/>
                <w:sz w:val="22"/>
                <w:szCs w:val="22"/>
              </w:rPr>
            </w:pPr>
            <w:r w:rsidRPr="0015450C">
              <w:rPr>
                <w:rFonts w:ascii="Arial" w:hAnsi="Arial"/>
                <w:bCs/>
                <w:sz w:val="22"/>
                <w:szCs w:val="22"/>
              </w:rPr>
              <w:t xml:space="preserve">Lenders </w:t>
            </w:r>
          </w:p>
        </w:tc>
        <w:tc>
          <w:tcPr>
            <w:tcW w:w="568" w:type="dxa"/>
            <w:tcBorders>
              <w:bottom w:val="single" w:sz="4" w:space="0" w:color="auto"/>
            </w:tcBorders>
            <w:textDirection w:val="tbRl"/>
            <w:vAlign w:val="center"/>
          </w:tcPr>
          <w:p w14:paraId="1F7ADDC8" w14:textId="52863F0D" w:rsidR="0015450C" w:rsidRPr="0015450C" w:rsidRDefault="0015450C" w:rsidP="00AB3D40">
            <w:pPr>
              <w:pStyle w:val="04ABodyText"/>
              <w:spacing w:before="0" w:after="0" w:line="240" w:lineRule="auto"/>
              <w:ind w:left="113" w:right="113"/>
              <w:jc w:val="center"/>
              <w:rPr>
                <w:rFonts w:ascii="Arial" w:hAnsi="Arial"/>
                <w:b w:val="0"/>
                <w:bCs/>
                <w:sz w:val="22"/>
                <w:szCs w:val="22"/>
              </w:rPr>
            </w:pPr>
            <w:r w:rsidRPr="0015450C">
              <w:rPr>
                <w:rFonts w:ascii="Arial" w:hAnsi="Arial"/>
                <w:bCs/>
                <w:sz w:val="22"/>
                <w:szCs w:val="22"/>
              </w:rPr>
              <w:t xml:space="preserve">Secondary data </w:t>
            </w:r>
          </w:p>
        </w:tc>
      </w:tr>
      <w:tr w:rsidR="0015450C" w:rsidRPr="001B5AC0" w14:paraId="2E5C4382" w14:textId="77777777" w:rsidTr="00CD78EA">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047992E"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 xml:space="preserve">Fundraising impacts </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5CC337A"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 xml:space="preserve">To what degree did RLS 1.0 enable lenders to attract additional capital? </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5DFD13F"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66B3686"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A17AE50"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98701AA"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B579EFE"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B7B2DA5"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3E896F0"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CF356F8" w14:textId="77777777" w:rsidR="0015450C" w:rsidRPr="0015450C" w:rsidRDefault="0015450C" w:rsidP="00AB3D40">
            <w:pPr>
              <w:pStyle w:val="04ABodyText"/>
              <w:spacing w:before="0" w:after="0" w:line="240" w:lineRule="auto"/>
              <w:rPr>
                <w:rFonts w:ascii="Arial" w:hAnsi="Arial"/>
                <w:sz w:val="22"/>
                <w:szCs w:val="22"/>
              </w:rPr>
            </w:pPr>
          </w:p>
        </w:tc>
      </w:tr>
      <w:tr w:rsidR="001A2303" w:rsidRPr="001B5AC0" w14:paraId="285880A1" w14:textId="77777777" w:rsidTr="00156C15">
        <w:tblPrEx>
          <w:tblCellMar>
            <w:left w:w="108" w:type="dxa"/>
            <w:right w:w="108" w:type="dxa"/>
          </w:tblCellMar>
        </w:tblPrEx>
        <w:trPr>
          <w:trHeight w:val="279"/>
        </w:trPr>
        <w:tc>
          <w:tcPr>
            <w:tcW w:w="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4969CC8"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Effects on SME lending</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109743B"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 xml:space="preserve">To what degree did overall lending volumes to SMEs change following the introduction of RLS 1.0? </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2BCD187" w14:textId="58EFC67D" w:rsidR="0015450C" w:rsidRPr="0015450C" w:rsidRDefault="0015450C" w:rsidP="004D146C">
            <w:pPr>
              <w:pStyle w:val="04ABodyText"/>
              <w:numPr>
                <w:ilvl w:val="0"/>
                <w:numId w:val="47"/>
              </w:numPr>
              <w:spacing w:before="0" w:after="0" w:line="240" w:lineRule="auto"/>
              <w:ind w:left="180" w:hanging="180"/>
              <w:rPr>
                <w:rFonts w:ascii="Arial" w:hAnsi="Arial"/>
                <w:sz w:val="22"/>
                <w:szCs w:val="22"/>
              </w:rPr>
            </w:pPr>
            <w:r w:rsidRPr="0015450C">
              <w:rPr>
                <w:rFonts w:ascii="Arial" w:hAnsi="Arial"/>
                <w:sz w:val="22"/>
                <w:szCs w:val="22"/>
              </w:rPr>
              <w:t>Total value of RLS</w:t>
            </w:r>
            <w:r w:rsidR="0039115D">
              <w:rPr>
                <w:rFonts w:ascii="Arial" w:hAnsi="Arial"/>
                <w:sz w:val="22"/>
                <w:szCs w:val="22"/>
              </w:rPr>
              <w:t xml:space="preserve"> 1.0</w:t>
            </w:r>
            <w:r w:rsidRPr="0015450C">
              <w:rPr>
                <w:rFonts w:ascii="Arial" w:hAnsi="Arial"/>
                <w:sz w:val="22"/>
                <w:szCs w:val="22"/>
              </w:rPr>
              <w:t xml:space="preserve"> lending</w:t>
            </w:r>
          </w:p>
          <w:p w14:paraId="40BEF691" w14:textId="77777777" w:rsidR="0015450C" w:rsidRPr="0015450C" w:rsidRDefault="0015450C" w:rsidP="004D146C">
            <w:pPr>
              <w:pStyle w:val="04ABodyText"/>
              <w:numPr>
                <w:ilvl w:val="0"/>
                <w:numId w:val="47"/>
              </w:numPr>
              <w:spacing w:before="0" w:after="0" w:line="240" w:lineRule="auto"/>
              <w:ind w:left="180" w:hanging="180"/>
              <w:rPr>
                <w:rFonts w:ascii="Arial" w:hAnsi="Arial"/>
                <w:sz w:val="22"/>
                <w:szCs w:val="22"/>
              </w:rPr>
            </w:pPr>
            <w:r w:rsidRPr="0015450C">
              <w:rPr>
                <w:rFonts w:ascii="Arial" w:hAnsi="Arial"/>
                <w:sz w:val="22"/>
                <w:szCs w:val="22"/>
              </w:rPr>
              <w:t>Total value of lending among participating lenders</w:t>
            </w:r>
          </w:p>
          <w:p w14:paraId="7906004C" w14:textId="77777777" w:rsidR="0015450C" w:rsidRPr="0015450C" w:rsidRDefault="0015450C" w:rsidP="004D146C">
            <w:pPr>
              <w:pStyle w:val="04ABodyText"/>
              <w:numPr>
                <w:ilvl w:val="0"/>
                <w:numId w:val="47"/>
              </w:numPr>
              <w:spacing w:before="0" w:after="0" w:line="240" w:lineRule="auto"/>
              <w:ind w:left="180" w:hanging="180"/>
              <w:rPr>
                <w:rFonts w:ascii="Arial" w:hAnsi="Arial"/>
                <w:sz w:val="22"/>
                <w:szCs w:val="22"/>
              </w:rPr>
            </w:pPr>
            <w:r w:rsidRPr="0015450C">
              <w:rPr>
                <w:rFonts w:ascii="Arial" w:hAnsi="Arial"/>
                <w:sz w:val="22"/>
                <w:szCs w:val="22"/>
              </w:rPr>
              <w:t>Trend in lending volumes among non-participating lenders</w:t>
            </w:r>
          </w:p>
          <w:p w14:paraId="76466BD3" w14:textId="77777777" w:rsidR="0015450C" w:rsidRPr="0015450C" w:rsidRDefault="0015450C" w:rsidP="004D146C">
            <w:pPr>
              <w:pStyle w:val="04ABodyText"/>
              <w:numPr>
                <w:ilvl w:val="0"/>
                <w:numId w:val="47"/>
              </w:numPr>
              <w:spacing w:before="0" w:after="0" w:line="240" w:lineRule="auto"/>
              <w:ind w:left="180" w:hanging="180"/>
              <w:rPr>
                <w:rFonts w:ascii="Arial" w:hAnsi="Arial"/>
                <w:sz w:val="22"/>
                <w:szCs w:val="22"/>
              </w:rPr>
            </w:pPr>
            <w:r w:rsidRPr="0015450C">
              <w:rPr>
                <w:rFonts w:ascii="Arial" w:hAnsi="Arial"/>
                <w:sz w:val="22"/>
                <w:szCs w:val="22"/>
              </w:rPr>
              <w:t>Trend in lending volumes among participating lenders</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6A3868D"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A6D7D4E"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56CE802"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E0D8A4B"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87F1280"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CA09775"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7DF309B" w14:textId="77777777" w:rsidR="0015450C" w:rsidRPr="0015450C" w:rsidRDefault="0015450C" w:rsidP="00AB3D40">
            <w:pPr>
              <w:pStyle w:val="04ABodyText"/>
              <w:spacing w:before="0" w:after="0" w:line="240" w:lineRule="auto"/>
              <w:rPr>
                <w:rFonts w:ascii="Arial" w:hAnsi="Arial"/>
                <w:sz w:val="22"/>
                <w:szCs w:val="22"/>
              </w:rPr>
            </w:pPr>
          </w:p>
        </w:tc>
      </w:tr>
      <w:tr w:rsidR="001A2303" w:rsidRPr="001B5AC0" w14:paraId="7D3D6974" w14:textId="77777777" w:rsidTr="00156C15">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64B5D8E"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450EBD9"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 xml:space="preserve">How did the Scheme parameters (guarantee rate, lender fee) influence lending decisions? How did this vary by type of lender? </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F74C6D0"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DFBF175"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656ACB73"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D0BF296"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E664F57"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15FE9732"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5798F94A"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2A05DDB" w14:textId="77777777" w:rsidR="0015450C" w:rsidRPr="0015450C" w:rsidRDefault="0015450C" w:rsidP="00AB3D40">
            <w:pPr>
              <w:pStyle w:val="04ABodyText"/>
              <w:spacing w:before="0" w:after="0" w:line="240" w:lineRule="auto"/>
              <w:rPr>
                <w:rFonts w:ascii="Arial" w:hAnsi="Arial"/>
                <w:sz w:val="22"/>
                <w:szCs w:val="22"/>
              </w:rPr>
            </w:pPr>
          </w:p>
        </w:tc>
      </w:tr>
      <w:tr w:rsidR="001A2303" w:rsidRPr="001B5AC0" w14:paraId="3B6877D3" w14:textId="77777777" w:rsidTr="00156C15">
        <w:tblPrEx>
          <w:tblCellMar>
            <w:left w:w="108" w:type="dxa"/>
            <w:right w:w="108" w:type="dxa"/>
          </w:tblCellMar>
        </w:tblPrEx>
        <w:tc>
          <w:tcPr>
            <w:tcW w:w="0"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803919C"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BF5DAEB"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How did the scheme design affect terms offered to businesses?</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1DC73FE" w14:textId="77777777" w:rsidR="0015450C" w:rsidRPr="0015450C" w:rsidRDefault="0015450C" w:rsidP="004D146C">
            <w:pPr>
              <w:pStyle w:val="04ABodyText"/>
              <w:numPr>
                <w:ilvl w:val="0"/>
                <w:numId w:val="47"/>
              </w:numPr>
              <w:spacing w:before="0" w:after="0" w:line="240" w:lineRule="auto"/>
              <w:ind w:left="180" w:hanging="180"/>
              <w:rPr>
                <w:rFonts w:ascii="Arial" w:hAnsi="Arial"/>
                <w:sz w:val="22"/>
                <w:szCs w:val="22"/>
              </w:rPr>
            </w:pPr>
            <w:r w:rsidRPr="0015450C">
              <w:rPr>
                <w:rFonts w:ascii="Arial" w:hAnsi="Arial"/>
                <w:sz w:val="22"/>
                <w:szCs w:val="22"/>
              </w:rPr>
              <w:t>Range of terms offered within the scheme</w:t>
            </w:r>
          </w:p>
          <w:p w14:paraId="215A8C40" w14:textId="77777777" w:rsidR="0015450C" w:rsidRPr="0015450C" w:rsidRDefault="0015450C" w:rsidP="004D146C">
            <w:pPr>
              <w:pStyle w:val="04ABodyText"/>
              <w:numPr>
                <w:ilvl w:val="0"/>
                <w:numId w:val="47"/>
              </w:numPr>
              <w:spacing w:before="0" w:after="0" w:line="240" w:lineRule="auto"/>
              <w:ind w:left="180" w:hanging="180"/>
              <w:rPr>
                <w:rFonts w:ascii="Arial" w:hAnsi="Arial"/>
                <w:sz w:val="22"/>
                <w:szCs w:val="22"/>
              </w:rPr>
            </w:pPr>
            <w:r w:rsidRPr="0015450C">
              <w:rPr>
                <w:rFonts w:ascii="Arial" w:hAnsi="Arial"/>
                <w:sz w:val="22"/>
                <w:szCs w:val="22"/>
              </w:rPr>
              <w:t>Range of terms offered as standard lending to SMEs</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9C336D6"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11B8370"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78E3568"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5A3A8D5"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290A2E1"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46851B2"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112DB01" w14:textId="77777777" w:rsidR="0015450C" w:rsidRPr="0015450C" w:rsidRDefault="0015450C" w:rsidP="00AB3D40">
            <w:pPr>
              <w:pStyle w:val="04ABodyText"/>
              <w:spacing w:before="0" w:after="0" w:line="240" w:lineRule="auto"/>
              <w:rPr>
                <w:rFonts w:ascii="Arial" w:hAnsi="Arial"/>
                <w:sz w:val="22"/>
                <w:szCs w:val="22"/>
              </w:rPr>
            </w:pPr>
          </w:p>
        </w:tc>
      </w:tr>
      <w:tr w:rsidR="001A2303" w:rsidRPr="001B5AC0" w14:paraId="3C911FFA" w14:textId="77777777" w:rsidTr="00156C15">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9B7EA"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2A152D1"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To what degree did RLS 1.0 backed lending displace unguaranteed lending?</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1F2E85B"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EC8A905"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3092D55"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21D1448"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709FF87A"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40C56DB"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753A7ED"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F5E37D7" w14:textId="77777777" w:rsidR="0015450C" w:rsidRPr="0015450C" w:rsidRDefault="0015450C" w:rsidP="00AB3D40">
            <w:pPr>
              <w:pStyle w:val="04ABodyText"/>
              <w:spacing w:before="0" w:after="0" w:line="240" w:lineRule="auto"/>
              <w:rPr>
                <w:rFonts w:ascii="Arial" w:hAnsi="Arial"/>
                <w:sz w:val="22"/>
                <w:szCs w:val="22"/>
              </w:rPr>
            </w:pPr>
          </w:p>
        </w:tc>
      </w:tr>
      <w:tr w:rsidR="001A2303" w:rsidRPr="001B5AC0" w14:paraId="7A20028D" w14:textId="77777777" w:rsidTr="00156C15">
        <w:tblPrEx>
          <w:tblCellMar>
            <w:left w:w="108" w:type="dxa"/>
            <w:right w:w="108" w:type="dxa"/>
          </w:tblCellMar>
        </w:tblPrEx>
        <w:tc>
          <w:tcPr>
            <w:tcW w:w="0"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68490BD"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6B1711C"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What other factors influenced lending volumes between 2021 and 2023 (including internal strategy, monetary tightening and macro-economic uncertainty)?</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04D1FD5"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9CAEDFE"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9190B49"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0D2931D"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9627DBA"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627E1944"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60D9FA7"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3B2B6EB" w14:textId="77777777" w:rsidR="0015450C" w:rsidRPr="0015450C" w:rsidRDefault="0015450C" w:rsidP="00AB3D40">
            <w:pPr>
              <w:pStyle w:val="04ABodyText"/>
              <w:spacing w:before="0" w:after="0" w:line="240" w:lineRule="auto"/>
              <w:rPr>
                <w:rFonts w:ascii="Arial" w:hAnsi="Arial"/>
                <w:sz w:val="22"/>
                <w:szCs w:val="22"/>
              </w:rPr>
            </w:pPr>
          </w:p>
        </w:tc>
      </w:tr>
      <w:tr w:rsidR="001A2303" w:rsidRPr="001B5AC0" w14:paraId="55C9099A" w14:textId="77777777" w:rsidTr="00156C15">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0EC95E"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Competition impact</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74FF597"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How has RLS 1.0 affected the market share of different types of providers in the UK?</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18D5E8D" w14:textId="59908A65" w:rsidR="0015450C" w:rsidRPr="0015450C" w:rsidRDefault="0015450C" w:rsidP="004D146C">
            <w:pPr>
              <w:pStyle w:val="04ABodyText"/>
              <w:numPr>
                <w:ilvl w:val="0"/>
                <w:numId w:val="47"/>
              </w:numPr>
              <w:spacing w:before="0" w:after="0" w:line="240" w:lineRule="auto"/>
              <w:ind w:left="180" w:hanging="180"/>
              <w:rPr>
                <w:rFonts w:ascii="Arial" w:hAnsi="Arial"/>
                <w:sz w:val="22"/>
                <w:szCs w:val="22"/>
              </w:rPr>
            </w:pPr>
            <w:r w:rsidRPr="0015450C">
              <w:rPr>
                <w:rFonts w:ascii="Arial" w:hAnsi="Arial"/>
                <w:sz w:val="22"/>
                <w:szCs w:val="22"/>
              </w:rPr>
              <w:t>Market share of participating lenders before RLS</w:t>
            </w:r>
            <w:r w:rsidR="0039115D">
              <w:rPr>
                <w:rFonts w:ascii="Arial" w:hAnsi="Arial"/>
                <w:sz w:val="22"/>
                <w:szCs w:val="22"/>
              </w:rPr>
              <w:t xml:space="preserve"> 1.0</w:t>
            </w:r>
            <w:r w:rsidRPr="0015450C">
              <w:rPr>
                <w:rFonts w:ascii="Arial" w:hAnsi="Arial"/>
                <w:sz w:val="22"/>
                <w:szCs w:val="22"/>
              </w:rPr>
              <w:t xml:space="preserve"> and in 2023</w:t>
            </w:r>
          </w:p>
          <w:p w14:paraId="4770FFA5" w14:textId="0437466E" w:rsidR="0015450C" w:rsidRPr="0015450C" w:rsidRDefault="0015450C" w:rsidP="004D146C">
            <w:pPr>
              <w:pStyle w:val="04ABodyText"/>
              <w:numPr>
                <w:ilvl w:val="0"/>
                <w:numId w:val="47"/>
              </w:numPr>
              <w:spacing w:before="0" w:after="0" w:line="240" w:lineRule="auto"/>
              <w:ind w:left="180" w:hanging="180"/>
              <w:rPr>
                <w:rFonts w:ascii="Arial" w:hAnsi="Arial"/>
                <w:sz w:val="22"/>
                <w:szCs w:val="22"/>
              </w:rPr>
            </w:pPr>
            <w:r w:rsidRPr="0015450C">
              <w:rPr>
                <w:rFonts w:ascii="Arial" w:hAnsi="Arial"/>
                <w:sz w:val="22"/>
                <w:szCs w:val="22"/>
              </w:rPr>
              <w:t>Market share of different types of lenders before RLS</w:t>
            </w:r>
            <w:r w:rsidR="0039115D">
              <w:rPr>
                <w:rFonts w:ascii="Arial" w:hAnsi="Arial"/>
                <w:sz w:val="22"/>
                <w:szCs w:val="22"/>
              </w:rPr>
              <w:t xml:space="preserve"> 1.0</w:t>
            </w:r>
            <w:r w:rsidRPr="0015450C">
              <w:rPr>
                <w:rFonts w:ascii="Arial" w:hAnsi="Arial"/>
                <w:sz w:val="22"/>
                <w:szCs w:val="22"/>
              </w:rPr>
              <w:t xml:space="preserve"> and in 2023</w:t>
            </w:r>
          </w:p>
          <w:p w14:paraId="550C2E2A" w14:textId="03B8F122" w:rsidR="0015450C" w:rsidRPr="0015450C" w:rsidRDefault="0015450C" w:rsidP="004D146C">
            <w:pPr>
              <w:pStyle w:val="04ABodyText"/>
              <w:numPr>
                <w:ilvl w:val="0"/>
                <w:numId w:val="47"/>
              </w:numPr>
              <w:spacing w:before="0" w:after="0" w:line="240" w:lineRule="auto"/>
              <w:ind w:left="180" w:hanging="180"/>
              <w:rPr>
                <w:rFonts w:ascii="Arial" w:hAnsi="Arial"/>
                <w:sz w:val="22"/>
                <w:szCs w:val="22"/>
              </w:rPr>
            </w:pPr>
            <w:r w:rsidRPr="0015450C">
              <w:rPr>
                <w:rFonts w:ascii="Arial" w:hAnsi="Arial"/>
                <w:sz w:val="22"/>
                <w:szCs w:val="22"/>
              </w:rPr>
              <w:t>Market share of SME lending before RLS</w:t>
            </w:r>
            <w:r w:rsidR="0039115D">
              <w:rPr>
                <w:rFonts w:ascii="Arial" w:hAnsi="Arial"/>
                <w:sz w:val="22"/>
                <w:szCs w:val="22"/>
              </w:rPr>
              <w:t xml:space="preserve"> 1.0</w:t>
            </w:r>
            <w:r w:rsidRPr="0015450C">
              <w:rPr>
                <w:rFonts w:ascii="Arial" w:hAnsi="Arial"/>
                <w:sz w:val="22"/>
                <w:szCs w:val="22"/>
              </w:rPr>
              <w:t xml:space="preserve"> and in 2023</w:t>
            </w: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F53D733"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5E73A67A"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5C68631"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C16C08B"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FE57DEC"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4CD09587"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905277E" w14:textId="77777777" w:rsidR="0015450C" w:rsidRPr="0015450C" w:rsidRDefault="0015450C" w:rsidP="00AB3D40">
            <w:pPr>
              <w:pStyle w:val="04ABodyText"/>
              <w:spacing w:before="0" w:after="0" w:line="240" w:lineRule="auto"/>
              <w:rPr>
                <w:rFonts w:ascii="Arial" w:hAnsi="Arial"/>
                <w:sz w:val="22"/>
                <w:szCs w:val="22"/>
              </w:rPr>
            </w:pPr>
          </w:p>
        </w:tc>
      </w:tr>
      <w:tr w:rsidR="001A2303" w:rsidRPr="001B5AC0" w14:paraId="273AA5D1" w14:textId="77777777" w:rsidTr="00156C15">
        <w:tblPrEx>
          <w:tblCellMar>
            <w:left w:w="108" w:type="dxa"/>
            <w:right w:w="108" w:type="dxa"/>
          </w:tblCellMar>
        </w:tblPrEx>
        <w:tc>
          <w:tcPr>
            <w:tcW w:w="0"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C824A77"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D6F71D3" w14:textId="77777777" w:rsidR="0015450C" w:rsidRPr="0015450C" w:rsidRDefault="0015450C" w:rsidP="00AB3D40">
            <w:pPr>
              <w:pStyle w:val="04ABodyText"/>
              <w:spacing w:before="0" w:after="0" w:line="240" w:lineRule="auto"/>
              <w:rPr>
                <w:rFonts w:ascii="Arial" w:hAnsi="Arial"/>
                <w:sz w:val="22"/>
                <w:szCs w:val="22"/>
              </w:rPr>
            </w:pPr>
            <w:r w:rsidRPr="0015450C">
              <w:rPr>
                <w:rFonts w:ascii="Arial" w:hAnsi="Arial"/>
                <w:sz w:val="22"/>
                <w:szCs w:val="22"/>
              </w:rPr>
              <w:t>How did the lender accreditation process impact upon competition?</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76E8724"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76434199"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D387C67"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B092B99"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9DA5E8E"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096A3C7D"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382CB66B" w14:textId="77777777" w:rsidR="0015450C" w:rsidRPr="0015450C" w:rsidRDefault="0015450C" w:rsidP="00AB3D40">
            <w:pPr>
              <w:pStyle w:val="04ABodyText"/>
              <w:spacing w:before="0" w:after="0" w:line="240" w:lineRule="auto"/>
              <w:rPr>
                <w:rFonts w:ascii="Arial" w:hAnsi="Arial"/>
                <w:sz w:val="22"/>
                <w:szCs w:val="22"/>
              </w:rPr>
            </w:pPr>
          </w:p>
        </w:tc>
        <w:tc>
          <w:tcPr>
            <w:tcW w:w="0" w:type="dxa"/>
            <w:tcBorders>
              <w:top w:val="single" w:sz="4" w:space="0" w:color="auto"/>
              <w:left w:val="single" w:sz="4" w:space="0" w:color="auto"/>
              <w:bottom w:val="single" w:sz="4" w:space="0" w:color="auto"/>
              <w:right w:val="single" w:sz="4" w:space="0" w:color="auto"/>
            </w:tcBorders>
            <w:shd w:val="clear" w:color="auto" w:fill="142855" w:themeFill="text2"/>
          </w:tcPr>
          <w:p w14:paraId="265F0B21" w14:textId="77777777" w:rsidR="0015450C" w:rsidRPr="0015450C" w:rsidRDefault="0015450C" w:rsidP="00AB3D40">
            <w:pPr>
              <w:pStyle w:val="04ABodyText"/>
              <w:spacing w:before="0" w:after="0" w:line="240" w:lineRule="auto"/>
              <w:rPr>
                <w:rFonts w:ascii="Arial" w:hAnsi="Arial"/>
                <w:sz w:val="22"/>
                <w:szCs w:val="22"/>
              </w:rPr>
            </w:pPr>
          </w:p>
        </w:tc>
      </w:tr>
    </w:tbl>
    <w:p w14:paraId="64A80BCD" w14:textId="0CC00160" w:rsidR="000056E7" w:rsidRDefault="000056E7">
      <w:pPr>
        <w:spacing w:after="160" w:line="259" w:lineRule="auto"/>
      </w:pPr>
      <w:r>
        <w:br w:type="page"/>
      </w:r>
    </w:p>
    <w:p w14:paraId="66F685F0" w14:textId="77777777" w:rsidR="004D146C" w:rsidRDefault="004D146C" w:rsidP="000056E7">
      <w:pPr>
        <w:pStyle w:val="Heading1"/>
        <w:sectPr w:rsidR="004D146C" w:rsidSect="00A21374">
          <w:pgSz w:w="16838" w:h="11906" w:orient="landscape" w:code="9"/>
          <w:pgMar w:top="907" w:right="1701" w:bottom="845" w:left="1531" w:header="624" w:footer="454" w:gutter="0"/>
          <w:cols w:space="284"/>
          <w:titlePg/>
          <w:docGrid w:linePitch="360"/>
        </w:sectPr>
      </w:pPr>
    </w:p>
    <w:p w14:paraId="0EB00186" w14:textId="1BECC0AA" w:rsidR="00193EBA" w:rsidRDefault="005562C6" w:rsidP="000056E7">
      <w:pPr>
        <w:pStyle w:val="Heading1"/>
      </w:pPr>
      <w:bookmarkStart w:id="74" w:name="_Toc161327595"/>
      <w:r>
        <w:t xml:space="preserve">Annex </w:t>
      </w:r>
      <w:r w:rsidR="00121260">
        <w:t>2</w:t>
      </w:r>
      <w:bookmarkEnd w:id="56"/>
      <w:bookmarkEnd w:id="57"/>
      <w:bookmarkEnd w:id="58"/>
      <w:bookmarkEnd w:id="59"/>
      <w:bookmarkEnd w:id="60"/>
      <w:bookmarkEnd w:id="66"/>
      <w:bookmarkEnd w:id="67"/>
      <w:bookmarkEnd w:id="68"/>
      <w:bookmarkEnd w:id="69"/>
      <w:bookmarkEnd w:id="70"/>
      <w:bookmarkEnd w:id="74"/>
    </w:p>
    <w:p w14:paraId="5DEC14E8" w14:textId="77777777" w:rsidR="00CD3E16" w:rsidRDefault="00CD3E16" w:rsidP="00CD3E16">
      <w:r>
        <w:t xml:space="preserve">This annex provides technical details of the survey of RLS 1.0 borrowers and non-borrowers. It covers the sampling, fieldwork and approach to weighting as well as a copy of the questionnaire to aid the interpretation of the findings. </w:t>
      </w:r>
    </w:p>
    <w:p w14:paraId="44EAE8A4" w14:textId="77777777" w:rsidR="00CD3E16" w:rsidRPr="006C43DA" w:rsidRDefault="00CD3E16" w:rsidP="00CD3E16">
      <w:pPr>
        <w:pStyle w:val="Heading2"/>
      </w:pPr>
      <w:bookmarkStart w:id="75" w:name="_Toc153187851"/>
      <w:bookmarkStart w:id="76" w:name="_Toc161327596"/>
      <w:r>
        <w:t>Primary data collection</w:t>
      </w:r>
      <w:bookmarkEnd w:id="75"/>
      <w:bookmarkEnd w:id="76"/>
    </w:p>
    <w:p w14:paraId="02EBA5B0" w14:textId="77777777" w:rsidR="00CD3E16" w:rsidRPr="00E62AC3" w:rsidRDefault="00CD3E16" w:rsidP="00CD3E16">
      <w:pPr>
        <w:rPr>
          <w:rFonts w:cstheme="minorHAnsi"/>
        </w:rPr>
      </w:pPr>
      <w:r w:rsidRPr="00E62AC3">
        <w:rPr>
          <w:rFonts w:cstheme="minorHAnsi"/>
        </w:rPr>
        <w:t xml:space="preserve">Ipsos undertook a quantitative survey of 242 borrowers and 236 non-borrowers from </w:t>
      </w:r>
      <w:r>
        <w:rPr>
          <w:rFonts w:cstheme="minorHAnsi"/>
        </w:rPr>
        <w:t>31</w:t>
      </w:r>
      <w:r w:rsidRPr="00B81C39">
        <w:rPr>
          <w:rFonts w:cstheme="minorHAnsi"/>
          <w:vertAlign w:val="superscript"/>
        </w:rPr>
        <w:t>st</w:t>
      </w:r>
      <w:r>
        <w:rPr>
          <w:rFonts w:cstheme="minorHAnsi"/>
        </w:rPr>
        <w:t xml:space="preserve"> July</w:t>
      </w:r>
      <w:r w:rsidRPr="00E62AC3">
        <w:rPr>
          <w:rFonts w:cstheme="minorHAnsi"/>
        </w:rPr>
        <w:t xml:space="preserve"> to 3</w:t>
      </w:r>
      <w:r w:rsidRPr="005078D4">
        <w:rPr>
          <w:rFonts w:cstheme="minorHAnsi"/>
          <w:vertAlign w:val="superscript"/>
        </w:rPr>
        <w:t>rd</w:t>
      </w:r>
      <w:r>
        <w:rPr>
          <w:rFonts w:cstheme="minorHAnsi"/>
        </w:rPr>
        <w:t xml:space="preserve"> </w:t>
      </w:r>
      <w:r w:rsidRPr="00E62AC3">
        <w:rPr>
          <w:rFonts w:cstheme="minorHAnsi"/>
        </w:rPr>
        <w:t xml:space="preserve">October 2023. </w:t>
      </w:r>
    </w:p>
    <w:p w14:paraId="253FF6B4" w14:textId="3A45E236" w:rsidR="00CD3E16" w:rsidRPr="00E62AC3" w:rsidRDefault="00CD3E16" w:rsidP="00CD3E16">
      <w:r w:rsidRPr="65AF1020">
        <w:t xml:space="preserve">The data have been weighted to be statistically representative of the Recovery Loan Scheme </w:t>
      </w:r>
      <w:r w:rsidR="7D758411" w:rsidRPr="65AF1020">
        <w:t>1.0</w:t>
      </w:r>
      <w:r w:rsidRPr="65AF1020">
        <w:t xml:space="preserve"> population.</w:t>
      </w:r>
    </w:p>
    <w:p w14:paraId="21E81FDA" w14:textId="77777777" w:rsidR="00CD3E16" w:rsidRDefault="00CD3E16" w:rsidP="00CD3E16">
      <w:pPr>
        <w:rPr>
          <w:rFonts w:cstheme="minorHAnsi"/>
        </w:rPr>
      </w:pPr>
      <w:r w:rsidRPr="00E62AC3">
        <w:rPr>
          <w:rFonts w:cstheme="minorHAnsi"/>
        </w:rPr>
        <w:t>Businesses that reported that they did not experience any challenges (positive or negative) caused by the pandemic, public-sector organisations, and non-borrowers trading 1 year or less were outside the scope of the survey.</w:t>
      </w:r>
    </w:p>
    <w:p w14:paraId="611AAB1C" w14:textId="77777777" w:rsidR="00CD3E16" w:rsidRPr="007D7C1A" w:rsidRDefault="00CD3E16" w:rsidP="00CD3E16">
      <w:pPr>
        <w:pStyle w:val="Heading3"/>
      </w:pPr>
      <w:r>
        <w:t>Survey and questionnaire development</w:t>
      </w:r>
    </w:p>
    <w:p w14:paraId="572344DC" w14:textId="50494201" w:rsidR="00CD3E16" w:rsidRPr="00E62AC3" w:rsidRDefault="00CD3E16" w:rsidP="00CD3E16">
      <w:r w:rsidRPr="65AF1020">
        <w:t xml:space="preserve">Ipsos and London Economics developed the questionnaire and all other survey instruments (e.g., the interview script, reassurance email and interviewer briefing materials). BBB and </w:t>
      </w:r>
      <w:r w:rsidR="00DD20DA">
        <w:t>D</w:t>
      </w:r>
      <w:r w:rsidRPr="65AF1020">
        <w:t>B</w:t>
      </w:r>
      <w:r w:rsidR="00DD20DA">
        <w:t>T</w:t>
      </w:r>
      <w:r w:rsidRPr="65AF1020">
        <w:t xml:space="preserve"> had final approval of the questionnaire. Development of the survey included stakeholder engagement from the project steering group and a pilot survey. </w:t>
      </w:r>
    </w:p>
    <w:p w14:paraId="7F159724" w14:textId="77777777" w:rsidR="00CD3E16" w:rsidRPr="00E62AC3" w:rsidRDefault="00CD3E16" w:rsidP="00CD3E16">
      <w:pPr>
        <w:rPr>
          <w:rFonts w:cstheme="minorHAnsi"/>
        </w:rPr>
      </w:pPr>
      <w:r w:rsidRPr="00E62AC3">
        <w:rPr>
          <w:rFonts w:cstheme="minorHAnsi"/>
        </w:rPr>
        <w:t xml:space="preserve">Ipsos undertook a </w:t>
      </w:r>
      <w:r w:rsidRPr="00923C43">
        <w:rPr>
          <w:rFonts w:cstheme="minorHAnsi"/>
        </w:rPr>
        <w:t xml:space="preserve">pilot </w:t>
      </w:r>
      <w:r w:rsidRPr="00B81C39">
        <w:rPr>
          <w:rFonts w:cstheme="minorHAnsi"/>
        </w:rPr>
        <w:t>survey of 18 borrowers and 16 non-borrowers from</w:t>
      </w:r>
      <w:r w:rsidRPr="00923C43">
        <w:rPr>
          <w:rFonts w:cstheme="minorHAnsi"/>
        </w:rPr>
        <w:t xml:space="preserve"> </w:t>
      </w:r>
      <w:r>
        <w:rPr>
          <w:rFonts w:cstheme="minorHAnsi"/>
        </w:rPr>
        <w:t>31</w:t>
      </w:r>
      <w:r w:rsidRPr="00B81C39">
        <w:rPr>
          <w:rFonts w:cstheme="minorHAnsi"/>
          <w:vertAlign w:val="superscript"/>
        </w:rPr>
        <w:t>st</w:t>
      </w:r>
      <w:r>
        <w:rPr>
          <w:rFonts w:cstheme="minorHAnsi"/>
        </w:rPr>
        <w:t xml:space="preserve"> </w:t>
      </w:r>
      <w:r w:rsidRPr="00923C43">
        <w:rPr>
          <w:rFonts w:cstheme="minorHAnsi"/>
        </w:rPr>
        <w:t>July to 2</w:t>
      </w:r>
      <w:r w:rsidRPr="00923C43">
        <w:rPr>
          <w:rFonts w:cstheme="minorHAnsi"/>
          <w:vertAlign w:val="superscript"/>
        </w:rPr>
        <w:t>nd</w:t>
      </w:r>
      <w:r w:rsidRPr="00923C43">
        <w:rPr>
          <w:rFonts w:cstheme="minorHAnsi"/>
        </w:rPr>
        <w:t xml:space="preserve"> August 2023. The pilot surve</w:t>
      </w:r>
      <w:r w:rsidRPr="00E62AC3">
        <w:rPr>
          <w:rFonts w:cstheme="minorHAnsi"/>
        </w:rPr>
        <w:t>y was used to:</w:t>
      </w:r>
    </w:p>
    <w:p w14:paraId="7A543D81" w14:textId="77777777" w:rsidR="00CD3E16" w:rsidRPr="00E62AC3" w:rsidRDefault="00CD3E16" w:rsidP="00CD3E16">
      <w:pPr>
        <w:pStyle w:val="ListBullet"/>
        <w:rPr>
          <w:rFonts w:cstheme="minorHAnsi"/>
        </w:rPr>
      </w:pPr>
      <w:r w:rsidRPr="00E62AC3">
        <w:rPr>
          <w:rFonts w:cstheme="minorHAnsi"/>
        </w:rPr>
        <w:t>test the questionnaire CATI (computer-assisted telephone interviewing) script</w:t>
      </w:r>
    </w:p>
    <w:p w14:paraId="0CC880C4" w14:textId="77777777" w:rsidR="00CD3E16" w:rsidRPr="00E62AC3" w:rsidRDefault="00CD3E16" w:rsidP="00CD3E16">
      <w:pPr>
        <w:pStyle w:val="ListBullet"/>
        <w:rPr>
          <w:rFonts w:cstheme="minorHAnsi"/>
        </w:rPr>
      </w:pPr>
      <w:r w:rsidRPr="00E62AC3">
        <w:rPr>
          <w:rFonts w:cstheme="minorHAnsi"/>
        </w:rPr>
        <w:t>time the questionnaire</w:t>
      </w:r>
    </w:p>
    <w:p w14:paraId="03009F45" w14:textId="77777777" w:rsidR="00CD3E16" w:rsidRPr="00E62AC3" w:rsidRDefault="00CD3E16" w:rsidP="00CD3E16">
      <w:pPr>
        <w:pStyle w:val="ListBullet"/>
        <w:rPr>
          <w:rFonts w:cstheme="minorHAnsi"/>
        </w:rPr>
      </w:pPr>
      <w:r w:rsidRPr="00E62AC3">
        <w:rPr>
          <w:rFonts w:cstheme="minorHAnsi"/>
        </w:rPr>
        <w:t>test the usefulness of the interviewer briefing materials</w:t>
      </w:r>
    </w:p>
    <w:p w14:paraId="49EAD928" w14:textId="77777777" w:rsidR="00CD3E16" w:rsidRPr="00E62AC3" w:rsidRDefault="00CD3E16" w:rsidP="00CD3E16">
      <w:pPr>
        <w:pStyle w:val="ListBullet"/>
        <w:rPr>
          <w:rFonts w:cstheme="minorHAnsi"/>
        </w:rPr>
      </w:pPr>
      <w:r w:rsidRPr="00E62AC3">
        <w:rPr>
          <w:rFonts w:cstheme="minorHAnsi"/>
        </w:rPr>
        <w:t>test the quality and eligibility of the sample (by calculating the proportion of the dialled sample that ended up containing usable leads)</w:t>
      </w:r>
    </w:p>
    <w:p w14:paraId="5199AB20" w14:textId="68D66E28" w:rsidR="00CD3E16" w:rsidRPr="00041E36" w:rsidRDefault="00CD3E16" w:rsidP="00CD3E16">
      <w:pPr>
        <w:rPr>
          <w:rFonts w:cstheme="minorHAnsi"/>
        </w:rPr>
      </w:pPr>
      <w:r w:rsidRPr="00E62AC3">
        <w:rPr>
          <w:rFonts w:cstheme="minorHAnsi"/>
        </w:rPr>
        <w:t>Quotas were applied during the pilot to ensure interviews with both borrowers and non-borrowers.</w:t>
      </w:r>
      <w:r>
        <w:rPr>
          <w:rFonts w:cstheme="minorHAnsi"/>
        </w:rPr>
        <w:t xml:space="preserve"> </w:t>
      </w:r>
      <w:r w:rsidRPr="00E62AC3">
        <w:rPr>
          <w:rFonts w:cstheme="minorHAnsi"/>
        </w:rPr>
        <w:t>The pilot sample was drawn from the same sample frames used for the main stage survey (see next section).</w:t>
      </w:r>
      <w:r>
        <w:rPr>
          <w:rFonts w:cstheme="minorHAnsi"/>
        </w:rPr>
        <w:t xml:space="preserve"> </w:t>
      </w:r>
      <w:r w:rsidRPr="00041E36">
        <w:rPr>
          <w:rFonts w:cstheme="minorHAnsi"/>
        </w:rPr>
        <w:t xml:space="preserve">The interview length for the pilot was c.25 minutes for borrowers and c.15 minutes for non-borrowers, both above the target for the main stage. </w:t>
      </w:r>
    </w:p>
    <w:p w14:paraId="0F46C212" w14:textId="77777777" w:rsidR="00CD3E16" w:rsidRDefault="00CD3E16" w:rsidP="00CD3E16">
      <w:pPr>
        <w:rPr>
          <w:rFonts w:cstheme="minorHAnsi"/>
        </w:rPr>
      </w:pPr>
      <w:r w:rsidRPr="00041E36">
        <w:rPr>
          <w:rFonts w:cstheme="minorHAnsi"/>
        </w:rPr>
        <w:t>Following feedback from the pilot survey, changes were made to the questionnaire to streamline questions and remove questions for non-borrowers which were less critical to the evaluation. However, substantial cuts</w:t>
      </w:r>
      <w:r>
        <w:rPr>
          <w:rFonts w:cstheme="minorHAnsi"/>
        </w:rPr>
        <w:t xml:space="preserve"> were not made</w:t>
      </w:r>
      <w:r w:rsidRPr="00041E36">
        <w:rPr>
          <w:rFonts w:cstheme="minorHAnsi"/>
        </w:rPr>
        <w:t xml:space="preserve"> to the questionnaire which meant the original target number of interviews was reduced for both borrowers and non-borrowers to accommodate the longer interview length. A copy of the final questionnaire used in the main survey is provided </w:t>
      </w:r>
      <w:r>
        <w:rPr>
          <w:rFonts w:cstheme="minorHAnsi"/>
        </w:rPr>
        <w:t>later in this annex</w:t>
      </w:r>
      <w:r w:rsidRPr="00041E36">
        <w:rPr>
          <w:rFonts w:cstheme="minorHAnsi"/>
        </w:rPr>
        <w:t>.</w:t>
      </w:r>
    </w:p>
    <w:p w14:paraId="288FDF0B" w14:textId="426A720F" w:rsidR="00CD3E16" w:rsidRPr="00E62AC3" w:rsidRDefault="00CD3E16" w:rsidP="00CD3E16">
      <w:pPr>
        <w:rPr>
          <w:rFonts w:cstheme="minorHAnsi"/>
        </w:rPr>
      </w:pPr>
      <w:bookmarkStart w:id="77" w:name="_Hlk152843987"/>
      <w:r w:rsidRPr="00E62AC3">
        <w:rPr>
          <w:rFonts w:cstheme="minorHAnsi"/>
        </w:rPr>
        <w:t xml:space="preserve">BBB provided </w:t>
      </w:r>
      <w:r>
        <w:rPr>
          <w:rFonts w:cstheme="minorHAnsi"/>
        </w:rPr>
        <w:t>a</w:t>
      </w:r>
      <w:r w:rsidRPr="00E62AC3">
        <w:rPr>
          <w:rFonts w:cstheme="minorHAnsi"/>
        </w:rPr>
        <w:t xml:space="preserve"> sample of </w:t>
      </w:r>
      <w:r>
        <w:rPr>
          <w:rFonts w:cstheme="minorHAnsi"/>
        </w:rPr>
        <w:t xml:space="preserve">10,985 </w:t>
      </w:r>
      <w:r w:rsidR="00C236F3">
        <w:rPr>
          <w:rFonts w:cstheme="minorHAnsi"/>
        </w:rPr>
        <w:t>RLS 1.0</w:t>
      </w:r>
      <w:r w:rsidRPr="00E62AC3">
        <w:rPr>
          <w:rFonts w:cstheme="minorHAnsi"/>
        </w:rPr>
        <w:t xml:space="preserve"> borrowers. For the control group of non-borrowers, sample was s</w:t>
      </w:r>
      <w:r>
        <w:rPr>
          <w:rFonts w:cstheme="minorHAnsi"/>
        </w:rPr>
        <w:t xml:space="preserve">ourced </w:t>
      </w:r>
      <w:r w:rsidRPr="00E62AC3">
        <w:rPr>
          <w:rFonts w:cstheme="minorHAnsi"/>
        </w:rPr>
        <w:t xml:space="preserve">from </w:t>
      </w:r>
      <w:r w:rsidRPr="005078D4">
        <w:rPr>
          <w:rFonts w:cstheme="minorHAnsi"/>
        </w:rPr>
        <w:t>the Dun &amp; Bradstreet (D&amp;B)</w:t>
      </w:r>
      <w:r w:rsidRPr="00E62AC3">
        <w:rPr>
          <w:rFonts w:cstheme="minorHAnsi"/>
        </w:rPr>
        <w:t xml:space="preserve"> business database</w:t>
      </w:r>
      <w:r>
        <w:rPr>
          <w:rFonts w:cstheme="minorHAnsi"/>
        </w:rPr>
        <w:t xml:space="preserve"> comprising 7,500 records.</w:t>
      </w:r>
      <w:r w:rsidRPr="00E62AC3">
        <w:rPr>
          <w:rFonts w:cstheme="minorHAnsi"/>
        </w:rPr>
        <w:t xml:space="preserve"> </w:t>
      </w:r>
    </w:p>
    <w:p w14:paraId="326C6CCF" w14:textId="1D7BA68B" w:rsidR="00CD3E16" w:rsidRPr="00E62AC3" w:rsidRDefault="00CD3E16" w:rsidP="00CD3E16">
      <w:pPr>
        <w:rPr>
          <w:rFonts w:cstheme="minorHAnsi"/>
        </w:rPr>
      </w:pPr>
      <w:r w:rsidRPr="00E62AC3">
        <w:rPr>
          <w:rFonts w:cstheme="minorHAnsi"/>
        </w:rPr>
        <w:t xml:space="preserve">Non-borrowers were selected to be representative of the overall population of </w:t>
      </w:r>
      <w:r w:rsidR="00C236F3">
        <w:rPr>
          <w:rFonts w:cstheme="minorHAnsi"/>
        </w:rPr>
        <w:t>RLS 1.0</w:t>
      </w:r>
      <w:r w:rsidRPr="00E62AC3">
        <w:rPr>
          <w:rFonts w:cstheme="minorHAnsi"/>
        </w:rPr>
        <w:t xml:space="preserve"> borrowers. They were similar to borrowers in that they have all faced challenges or opportunities because of the Covid-19 pandemic, thereby increasing the likelihood that both groups of businesses have faced similar financial and operational issues during the reference period of the evaluation.</w:t>
      </w:r>
    </w:p>
    <w:p w14:paraId="04970371" w14:textId="2AC45113" w:rsidR="00CD3E16" w:rsidRPr="00E62AC3" w:rsidRDefault="00CD3E16" w:rsidP="00CD3E16">
      <w:pPr>
        <w:rPr>
          <w:rFonts w:cstheme="minorHAnsi"/>
        </w:rPr>
      </w:pPr>
      <w:r w:rsidRPr="00E62AC3">
        <w:rPr>
          <w:rFonts w:cstheme="minorHAnsi"/>
        </w:rPr>
        <w:t>Ipsos carried out telephone tracing</w:t>
      </w:r>
      <w:r>
        <w:rPr>
          <w:rFonts w:cstheme="minorHAnsi"/>
        </w:rPr>
        <w:t xml:space="preserve"> for the </w:t>
      </w:r>
      <w:r w:rsidR="00C236F3">
        <w:rPr>
          <w:rFonts w:cstheme="minorHAnsi"/>
        </w:rPr>
        <w:t>RLS 1.0</w:t>
      </w:r>
      <w:r w:rsidRPr="00E62AC3">
        <w:rPr>
          <w:rFonts w:cstheme="minorHAnsi"/>
        </w:rPr>
        <w:t xml:space="preserve"> borrowers</w:t>
      </w:r>
      <w:r>
        <w:rPr>
          <w:rFonts w:cstheme="minorHAnsi"/>
        </w:rPr>
        <w:t xml:space="preserve"> sample </w:t>
      </w:r>
      <w:r w:rsidRPr="00E62AC3">
        <w:rPr>
          <w:rFonts w:cstheme="minorHAnsi"/>
        </w:rPr>
        <w:t>(matching the sample frame data to a commercial business database) to fill in the gaps where possible. The sample was also cleaned to remove any duplicate telephone numbers.</w:t>
      </w:r>
      <w:r>
        <w:rPr>
          <w:rFonts w:cstheme="minorHAnsi"/>
        </w:rPr>
        <w:t xml:space="preserve"> Following these stages, 5,963 records (54%) were available. </w:t>
      </w:r>
    </w:p>
    <w:p w14:paraId="306BA90B" w14:textId="68C3CD7F" w:rsidR="00CD3E16" w:rsidRPr="00073578" w:rsidRDefault="00CD3E16" w:rsidP="00CD3E16">
      <w:pPr>
        <w:rPr>
          <w:rFonts w:cstheme="minorHAnsi"/>
        </w:rPr>
      </w:pPr>
      <w:r w:rsidRPr="00073578">
        <w:rPr>
          <w:rFonts w:cstheme="minorHAnsi"/>
        </w:rPr>
        <w:t>After preparing the sample for fieldwork (e.g., de-duping, removing incorrect numbers), 5,945 leads for borrowers and 7,366 leads from non-borrowers were available for fieldwork</w:t>
      </w:r>
      <w:r>
        <w:rPr>
          <w:rFonts w:cstheme="minorHAnsi"/>
        </w:rPr>
        <w:t xml:space="preserve"> although not all the sample was required to meet the revised targets</w:t>
      </w:r>
      <w:r w:rsidRPr="00073578">
        <w:rPr>
          <w:rFonts w:cstheme="minorHAnsi"/>
        </w:rPr>
        <w:t xml:space="preserve">. </w:t>
      </w:r>
    </w:p>
    <w:bookmarkEnd w:id="77"/>
    <w:p w14:paraId="2D40DE2B" w14:textId="77777777" w:rsidR="00CD3E16" w:rsidRDefault="00CD3E16" w:rsidP="00CD3E16">
      <w:pPr>
        <w:rPr>
          <w:rFonts w:cstheme="minorHAnsi"/>
        </w:rPr>
      </w:pPr>
      <w:r w:rsidRPr="00073578">
        <w:rPr>
          <w:rFonts w:cstheme="minorHAnsi"/>
        </w:rPr>
        <w:t xml:space="preserve">A breakdown of available leads is provided in </w:t>
      </w:r>
      <w:r>
        <w:rPr>
          <w:rFonts w:cstheme="minorHAnsi"/>
        </w:rPr>
        <w:t xml:space="preserve">the table </w:t>
      </w:r>
      <w:r w:rsidRPr="00073578">
        <w:rPr>
          <w:rFonts w:cstheme="minorHAnsi"/>
        </w:rPr>
        <w:t xml:space="preserve">below. Sample received represents the volume of sample received from BBB or other sources (outlined above). The number of leads available for fieldwork refers to the number of records available after telephone number matching and deduping of records. </w:t>
      </w:r>
    </w:p>
    <w:p w14:paraId="2C97E2ED" w14:textId="38E40275" w:rsidR="00CD3E16" w:rsidRPr="005B363B" w:rsidRDefault="00CD3E16" w:rsidP="00CD3E16">
      <w:pPr>
        <w:pStyle w:val="Heading5"/>
      </w:pPr>
      <w:r w:rsidRPr="005B363B">
        <w:t xml:space="preserve">Table </w:t>
      </w:r>
      <w:r w:rsidRPr="005B363B">
        <w:fldChar w:fldCharType="begin"/>
      </w:r>
      <w:r w:rsidRPr="005B363B">
        <w:instrText>SEQ Table \* ARABIC</w:instrText>
      </w:r>
      <w:r w:rsidRPr="005B363B">
        <w:fldChar w:fldCharType="separate"/>
      </w:r>
      <w:r w:rsidR="001525E9">
        <w:rPr>
          <w:noProof/>
        </w:rPr>
        <w:t>15</w:t>
      </w:r>
      <w:r w:rsidRPr="005B363B">
        <w:fldChar w:fldCharType="end"/>
      </w:r>
      <w:r w:rsidRPr="005B363B">
        <w:t xml:space="preserve">: </w:t>
      </w:r>
      <w:r>
        <w:t>Sample volumes</w:t>
      </w:r>
    </w:p>
    <w:tbl>
      <w:tblPr>
        <w:tblStyle w:val="TableGrid"/>
        <w:tblW w:w="4816" w:type="pct"/>
        <w:tblLayout w:type="fixed"/>
        <w:tblLook w:val="04A0" w:firstRow="1" w:lastRow="0" w:firstColumn="1" w:lastColumn="0" w:noHBand="0" w:noVBand="1"/>
      </w:tblPr>
      <w:tblGrid>
        <w:gridCol w:w="2761"/>
        <w:gridCol w:w="1754"/>
        <w:gridCol w:w="1755"/>
        <w:gridCol w:w="1755"/>
        <w:gridCol w:w="1755"/>
      </w:tblGrid>
      <w:tr w:rsidR="00CD3E16" w:rsidRPr="005B363B" w14:paraId="2F70BEAD" w14:textId="77777777" w:rsidTr="00AB3D40">
        <w:trPr>
          <w:cnfStyle w:val="100000000000" w:firstRow="1" w:lastRow="0" w:firstColumn="0" w:lastColumn="0" w:oddVBand="0" w:evenVBand="0" w:oddHBand="0" w:evenHBand="0" w:firstRowFirstColumn="0" w:firstRowLastColumn="0" w:lastRowFirstColumn="0" w:lastRowLastColumn="0"/>
          <w:tblHeader/>
        </w:trPr>
        <w:tc>
          <w:tcPr>
            <w:tcW w:w="1412" w:type="pct"/>
          </w:tcPr>
          <w:p w14:paraId="59E966A1" w14:textId="77777777" w:rsidR="00CD3E16" w:rsidRPr="005B363B" w:rsidRDefault="00CD3E16" w:rsidP="00AB3D40">
            <w:pPr>
              <w:pStyle w:val="Tablecolumnheading-inkblue"/>
              <w:rPr>
                <w:b w:val="0"/>
                <w:color w:val="FFFFFF" w:themeColor="background1"/>
                <w:sz w:val="22"/>
                <w:szCs w:val="20"/>
              </w:rPr>
            </w:pPr>
          </w:p>
        </w:tc>
        <w:tc>
          <w:tcPr>
            <w:tcW w:w="897" w:type="pct"/>
          </w:tcPr>
          <w:p w14:paraId="6A1301BB" w14:textId="77777777" w:rsidR="00CD3E16" w:rsidRPr="00B57160" w:rsidRDefault="00CD3E16" w:rsidP="00AB3D40">
            <w:pPr>
              <w:pStyle w:val="Tablecolumnheading-inkblue"/>
              <w:jc w:val="right"/>
              <w:rPr>
                <w:color w:val="FFFFFF" w:themeColor="background1"/>
              </w:rPr>
            </w:pPr>
            <w:r>
              <w:rPr>
                <w:color w:val="FFFFFF" w:themeColor="background1"/>
              </w:rPr>
              <w:t>Sample received</w:t>
            </w:r>
          </w:p>
        </w:tc>
        <w:tc>
          <w:tcPr>
            <w:tcW w:w="897" w:type="pct"/>
          </w:tcPr>
          <w:p w14:paraId="76365B91" w14:textId="77777777" w:rsidR="00CD3E16" w:rsidRPr="00B57160" w:rsidRDefault="00CD3E16" w:rsidP="00AB3D40">
            <w:pPr>
              <w:pStyle w:val="Tablecolumnheading-inkblue"/>
              <w:jc w:val="right"/>
              <w:rPr>
                <w:color w:val="FFFFFF" w:themeColor="background1"/>
              </w:rPr>
            </w:pPr>
            <w:r>
              <w:rPr>
                <w:color w:val="FFFFFF" w:themeColor="background1"/>
              </w:rPr>
              <w:t>Deduped/removed</w:t>
            </w:r>
          </w:p>
        </w:tc>
        <w:tc>
          <w:tcPr>
            <w:tcW w:w="897" w:type="pct"/>
          </w:tcPr>
          <w:p w14:paraId="1E63B473" w14:textId="77777777" w:rsidR="00CD3E16" w:rsidRPr="00B57160" w:rsidRDefault="00CD3E16" w:rsidP="00AB3D40">
            <w:pPr>
              <w:pStyle w:val="Tablecolumnheading-inkblue"/>
              <w:jc w:val="right"/>
              <w:rPr>
                <w:color w:val="FFFFFF" w:themeColor="background1"/>
              </w:rPr>
            </w:pPr>
            <w:r>
              <w:rPr>
                <w:color w:val="FFFFFF" w:themeColor="background1"/>
              </w:rPr>
              <w:t>Available for fieldwork</w:t>
            </w:r>
          </w:p>
        </w:tc>
        <w:tc>
          <w:tcPr>
            <w:tcW w:w="897" w:type="pct"/>
          </w:tcPr>
          <w:p w14:paraId="720E7378" w14:textId="77777777" w:rsidR="00CD3E16" w:rsidRPr="00B57160" w:rsidRDefault="00CD3E16" w:rsidP="00AB3D40">
            <w:pPr>
              <w:pStyle w:val="Tablecolumnheading-inkblue"/>
              <w:jc w:val="right"/>
              <w:rPr>
                <w:color w:val="FFFFFF" w:themeColor="background1"/>
              </w:rPr>
            </w:pPr>
            <w:r>
              <w:rPr>
                <w:color w:val="FFFFFF" w:themeColor="background1"/>
              </w:rPr>
              <w:t>Completed interviews</w:t>
            </w:r>
          </w:p>
        </w:tc>
      </w:tr>
      <w:tr w:rsidR="00CD3E16" w:rsidRPr="005B363B" w14:paraId="2CE8EF90"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412" w:type="pct"/>
          </w:tcPr>
          <w:p w14:paraId="134FC4E6" w14:textId="77777777" w:rsidR="00CD3E16" w:rsidRPr="005B363B" w:rsidDel="000A1204" w:rsidRDefault="00CD3E16" w:rsidP="00AB3D40">
            <w:pPr>
              <w:pStyle w:val="Tabletext"/>
            </w:pPr>
            <w:r>
              <w:t>RLS 1.0 borrowers</w:t>
            </w:r>
          </w:p>
        </w:tc>
        <w:tc>
          <w:tcPr>
            <w:tcW w:w="897" w:type="pct"/>
            <w:vAlign w:val="center"/>
          </w:tcPr>
          <w:p w14:paraId="76415B0E" w14:textId="77777777" w:rsidR="00CD3E16" w:rsidRPr="005825A9" w:rsidRDefault="00CD3E16" w:rsidP="00AB3D40">
            <w:pPr>
              <w:pStyle w:val="Tabletext"/>
              <w:spacing w:before="0"/>
              <w:jc w:val="right"/>
            </w:pPr>
            <w:r w:rsidRPr="005825A9">
              <w:t>10,985</w:t>
            </w:r>
          </w:p>
        </w:tc>
        <w:tc>
          <w:tcPr>
            <w:tcW w:w="897" w:type="pct"/>
            <w:vAlign w:val="center"/>
          </w:tcPr>
          <w:p w14:paraId="444F2E6F" w14:textId="77777777" w:rsidR="00CD3E16" w:rsidRPr="005825A9" w:rsidRDefault="00CD3E16" w:rsidP="00AB3D40">
            <w:pPr>
              <w:pStyle w:val="Tabletext"/>
              <w:spacing w:before="0"/>
              <w:jc w:val="right"/>
            </w:pPr>
            <w:r w:rsidRPr="005825A9">
              <w:t>5,040</w:t>
            </w:r>
          </w:p>
        </w:tc>
        <w:tc>
          <w:tcPr>
            <w:tcW w:w="897" w:type="pct"/>
          </w:tcPr>
          <w:p w14:paraId="2CB52607" w14:textId="77777777" w:rsidR="00CD3E16" w:rsidRPr="005825A9" w:rsidRDefault="00CD3E16" w:rsidP="00AB3D40">
            <w:pPr>
              <w:pStyle w:val="Tabletext"/>
              <w:spacing w:before="0"/>
              <w:jc w:val="right"/>
            </w:pPr>
            <w:r w:rsidRPr="005825A9">
              <w:t>5,945</w:t>
            </w:r>
          </w:p>
        </w:tc>
        <w:tc>
          <w:tcPr>
            <w:tcW w:w="897" w:type="pct"/>
          </w:tcPr>
          <w:p w14:paraId="3C809BE2" w14:textId="77777777" w:rsidR="00CD3E16" w:rsidRPr="005825A9" w:rsidRDefault="00CD3E16" w:rsidP="00AB3D40">
            <w:pPr>
              <w:pStyle w:val="Tabletext"/>
              <w:spacing w:before="0"/>
              <w:jc w:val="right"/>
            </w:pPr>
            <w:r w:rsidRPr="005825A9">
              <w:t>242</w:t>
            </w:r>
          </w:p>
        </w:tc>
      </w:tr>
      <w:tr w:rsidR="00CD3E16" w:rsidRPr="005B363B" w14:paraId="0D6FA5CC" w14:textId="77777777" w:rsidTr="00AB3D40">
        <w:tblPrEx>
          <w:tblCellMar>
            <w:left w:w="108" w:type="dxa"/>
            <w:right w:w="108" w:type="dxa"/>
          </w:tblCellMar>
        </w:tblPrEx>
        <w:tc>
          <w:tcPr>
            <w:tcW w:w="1412" w:type="pct"/>
            <w:tcBorders>
              <w:bottom w:val="single" w:sz="4" w:space="0" w:color="0054BA" w:themeColor="accent2"/>
            </w:tcBorders>
          </w:tcPr>
          <w:p w14:paraId="7F3B4592" w14:textId="77777777" w:rsidR="00CD3E16" w:rsidRPr="005B363B" w:rsidRDefault="00CD3E16" w:rsidP="00AB3D40">
            <w:pPr>
              <w:pStyle w:val="Tabletext"/>
            </w:pPr>
            <w:r>
              <w:t>Non-borrowers</w:t>
            </w:r>
          </w:p>
        </w:tc>
        <w:tc>
          <w:tcPr>
            <w:tcW w:w="897" w:type="pct"/>
            <w:tcBorders>
              <w:bottom w:val="single" w:sz="4" w:space="0" w:color="0054BA" w:themeColor="accent2"/>
            </w:tcBorders>
            <w:vAlign w:val="center"/>
          </w:tcPr>
          <w:p w14:paraId="1FE8DF36" w14:textId="77777777" w:rsidR="00CD3E16" w:rsidRPr="005825A9" w:rsidRDefault="00CD3E16" w:rsidP="00AB3D40">
            <w:pPr>
              <w:pStyle w:val="Tabletext"/>
              <w:spacing w:before="0"/>
              <w:jc w:val="right"/>
            </w:pPr>
            <w:r w:rsidRPr="005825A9">
              <w:t>7,500</w:t>
            </w:r>
          </w:p>
        </w:tc>
        <w:tc>
          <w:tcPr>
            <w:tcW w:w="897" w:type="pct"/>
            <w:tcBorders>
              <w:bottom w:val="single" w:sz="4" w:space="0" w:color="0054BA" w:themeColor="accent2"/>
            </w:tcBorders>
            <w:vAlign w:val="center"/>
          </w:tcPr>
          <w:p w14:paraId="43C7E71E" w14:textId="77777777" w:rsidR="00CD3E16" w:rsidRPr="005825A9" w:rsidRDefault="00CD3E16" w:rsidP="00AB3D40">
            <w:pPr>
              <w:pStyle w:val="Tabletext"/>
              <w:spacing w:before="0"/>
              <w:jc w:val="right"/>
            </w:pPr>
            <w:r w:rsidRPr="005825A9">
              <w:t>134</w:t>
            </w:r>
          </w:p>
        </w:tc>
        <w:tc>
          <w:tcPr>
            <w:tcW w:w="897" w:type="pct"/>
            <w:tcBorders>
              <w:bottom w:val="single" w:sz="4" w:space="0" w:color="0054BA" w:themeColor="accent2"/>
            </w:tcBorders>
          </w:tcPr>
          <w:p w14:paraId="66FA5532" w14:textId="77777777" w:rsidR="00CD3E16" w:rsidRPr="005825A9" w:rsidRDefault="00CD3E16" w:rsidP="00AB3D40">
            <w:pPr>
              <w:pStyle w:val="Tabletext"/>
              <w:spacing w:before="0"/>
              <w:jc w:val="right"/>
            </w:pPr>
            <w:r w:rsidRPr="005825A9">
              <w:t>7,366</w:t>
            </w:r>
          </w:p>
        </w:tc>
        <w:tc>
          <w:tcPr>
            <w:tcW w:w="897" w:type="pct"/>
            <w:tcBorders>
              <w:bottom w:val="single" w:sz="4" w:space="0" w:color="0054BA" w:themeColor="accent2"/>
            </w:tcBorders>
          </w:tcPr>
          <w:p w14:paraId="2CA33D33" w14:textId="77777777" w:rsidR="00CD3E16" w:rsidRPr="005825A9" w:rsidRDefault="00CD3E16" w:rsidP="00AB3D40">
            <w:pPr>
              <w:pStyle w:val="Tabletext"/>
              <w:spacing w:before="0"/>
              <w:jc w:val="right"/>
            </w:pPr>
            <w:r w:rsidRPr="005825A9">
              <w:t>236</w:t>
            </w:r>
          </w:p>
        </w:tc>
      </w:tr>
    </w:tbl>
    <w:p w14:paraId="0F38358A" w14:textId="77777777" w:rsidR="00CD3E16" w:rsidRPr="007559D2" w:rsidRDefault="00CD3E16" w:rsidP="00CD3E16">
      <w:pPr>
        <w:pStyle w:val="Caption"/>
      </w:pPr>
      <w:r>
        <w:t>Note: Removed records had a do not contact and no number matched.</w:t>
      </w:r>
    </w:p>
    <w:p w14:paraId="7A6AABF9" w14:textId="77777777" w:rsidR="00CD3E16" w:rsidRPr="005825A9" w:rsidRDefault="00CD3E16" w:rsidP="00CD3E16">
      <w:pPr>
        <w:pStyle w:val="Caption"/>
        <w:rPr>
          <w:rFonts w:cstheme="minorHAnsi"/>
          <w:iCs w:val="0"/>
          <w:color w:val="auto"/>
          <w:szCs w:val="22"/>
        </w:rPr>
      </w:pPr>
      <w:r w:rsidRPr="005825A9">
        <w:rPr>
          <w:rFonts w:cstheme="minorHAnsi"/>
          <w:iCs w:val="0"/>
          <w:color w:val="auto"/>
          <w:szCs w:val="22"/>
        </w:rPr>
        <w:t xml:space="preserve">The sample was proportionately stratified by region, size and sector. </w:t>
      </w:r>
    </w:p>
    <w:p w14:paraId="69545C2D" w14:textId="77777777" w:rsidR="00CD3E16" w:rsidRDefault="00CD3E16" w:rsidP="00CD3E16">
      <w:pPr>
        <w:pStyle w:val="Heading3"/>
      </w:pPr>
      <w:r>
        <w:t>Fieldwork</w:t>
      </w:r>
    </w:p>
    <w:p w14:paraId="646119C4" w14:textId="2DD2F1FC" w:rsidR="00CD3E16" w:rsidRPr="00E62AC3" w:rsidRDefault="00CD3E16" w:rsidP="00CD3E16">
      <w:pPr>
        <w:rPr>
          <w:rFonts w:cstheme="minorHAnsi"/>
        </w:rPr>
      </w:pPr>
      <w:bookmarkStart w:id="78" w:name="_Toc94633912"/>
      <w:bookmarkStart w:id="79" w:name="_Toc94634099"/>
      <w:r w:rsidRPr="00E62AC3">
        <w:rPr>
          <w:rFonts w:cstheme="minorHAnsi"/>
        </w:rPr>
        <w:t>Ipsos carried out the main stage fieldwork from 15</w:t>
      </w:r>
      <w:r w:rsidRPr="007501B9">
        <w:rPr>
          <w:rFonts w:cstheme="minorHAnsi"/>
          <w:vertAlign w:val="superscript"/>
        </w:rPr>
        <w:t>th</w:t>
      </w:r>
      <w:r>
        <w:rPr>
          <w:rFonts w:cstheme="minorHAnsi"/>
        </w:rPr>
        <w:t xml:space="preserve"> </w:t>
      </w:r>
      <w:r w:rsidRPr="00E62AC3">
        <w:rPr>
          <w:rFonts w:cstheme="minorHAnsi"/>
        </w:rPr>
        <w:t>August to 3</w:t>
      </w:r>
      <w:r w:rsidRPr="007501B9">
        <w:rPr>
          <w:rFonts w:cstheme="minorHAnsi"/>
          <w:vertAlign w:val="superscript"/>
        </w:rPr>
        <w:t>rd</w:t>
      </w:r>
      <w:r>
        <w:rPr>
          <w:rFonts w:cstheme="minorHAnsi"/>
        </w:rPr>
        <w:t xml:space="preserve"> </w:t>
      </w:r>
      <w:r w:rsidRPr="00E62AC3">
        <w:rPr>
          <w:rFonts w:cstheme="minorHAnsi"/>
        </w:rPr>
        <w:t xml:space="preserve">October 2023 using a telephone survey. </w:t>
      </w:r>
      <w:bookmarkEnd w:id="78"/>
      <w:bookmarkEnd w:id="79"/>
      <w:r w:rsidRPr="00E62AC3">
        <w:rPr>
          <w:rFonts w:cstheme="minorHAnsi"/>
          <w:szCs w:val="24"/>
        </w:rPr>
        <w:t xml:space="preserve">In total, interviews were completed with </w:t>
      </w:r>
      <w:r w:rsidRPr="00E62AC3">
        <w:rPr>
          <w:rFonts w:cstheme="minorHAnsi"/>
        </w:rPr>
        <w:t xml:space="preserve">242 borrowers and 236 non-borrowers. </w:t>
      </w:r>
    </w:p>
    <w:p w14:paraId="7C2651DC" w14:textId="42099256" w:rsidR="00CD3E16" w:rsidRPr="00E62AC3" w:rsidRDefault="00CD3E16" w:rsidP="00CD3E16">
      <w:pPr>
        <w:rPr>
          <w:rFonts w:cstheme="minorHAnsi"/>
        </w:rPr>
      </w:pPr>
      <w:r w:rsidRPr="00041E36">
        <w:rPr>
          <w:rFonts w:cstheme="minorHAnsi"/>
        </w:rPr>
        <w:t>The average interview length was c.24 minutes for borrowers and c.14 minutes for non-borrowers. The interview length was c.5 to 10 minutes over the original expected length for each group which resulted in a lower co-operation rate among businesses</w:t>
      </w:r>
      <w:r>
        <w:rPr>
          <w:rFonts w:cstheme="minorHAnsi"/>
        </w:rPr>
        <w:t xml:space="preserve"> and meant fewer interviews were conducted with each group</w:t>
      </w:r>
      <w:r w:rsidRPr="00041E36">
        <w:rPr>
          <w:rFonts w:cstheme="minorHAnsi"/>
        </w:rPr>
        <w:t>.</w:t>
      </w:r>
    </w:p>
    <w:p w14:paraId="651F6712" w14:textId="77777777" w:rsidR="00CD3E16" w:rsidRPr="00E62AC3" w:rsidRDefault="00CD3E16" w:rsidP="00CD3E16">
      <w:pPr>
        <w:rPr>
          <w:rFonts w:cstheme="minorHAnsi"/>
        </w:rPr>
      </w:pPr>
      <w:r w:rsidRPr="00E62AC3">
        <w:rPr>
          <w:rFonts w:cstheme="minorHAnsi"/>
        </w:rPr>
        <w:t>Interviewers screened all sampled organisations at the beginning of the call to identify the right individual to take part and ensure the business was eligible for the survey. At this point, the following organisations would have been removed as ineligible:</w:t>
      </w:r>
    </w:p>
    <w:p w14:paraId="00C20B03" w14:textId="77777777" w:rsidR="00CD3E16" w:rsidRPr="00E62AC3" w:rsidRDefault="00CD3E16" w:rsidP="00CD3E16">
      <w:pPr>
        <w:pStyle w:val="ListBullet"/>
        <w:rPr>
          <w:rFonts w:cstheme="minorHAnsi"/>
        </w:rPr>
      </w:pPr>
      <w:r w:rsidRPr="00E62AC3">
        <w:rPr>
          <w:rFonts w:cstheme="minorHAnsi"/>
        </w:rPr>
        <w:t>organisations that identified themselves as part of the public sector</w:t>
      </w:r>
    </w:p>
    <w:p w14:paraId="2F2D3407" w14:textId="77777777" w:rsidR="00CD3E16" w:rsidRPr="00E62AC3" w:rsidRDefault="00CD3E16" w:rsidP="00CD3E16">
      <w:pPr>
        <w:pStyle w:val="ListBullet"/>
        <w:rPr>
          <w:rFonts w:cstheme="minorHAnsi"/>
        </w:rPr>
      </w:pPr>
      <w:r w:rsidRPr="00E62AC3">
        <w:rPr>
          <w:rFonts w:cstheme="minorHAnsi"/>
        </w:rPr>
        <w:t>non-borrowers trading one year or less</w:t>
      </w:r>
    </w:p>
    <w:p w14:paraId="7431C463" w14:textId="77777777" w:rsidR="00CD3E16" w:rsidRPr="00E62AC3" w:rsidRDefault="00CD3E16" w:rsidP="00CD3E16">
      <w:pPr>
        <w:pStyle w:val="ListBullet"/>
        <w:rPr>
          <w:rFonts w:cstheme="minorHAnsi"/>
        </w:rPr>
      </w:pPr>
      <w:r w:rsidRPr="00E62AC3">
        <w:rPr>
          <w:rFonts w:cstheme="minorHAnsi"/>
        </w:rPr>
        <w:t>non-borrowers who said they did not face any challenges or opportunities as a result of the pandemic</w:t>
      </w:r>
    </w:p>
    <w:p w14:paraId="3447F91F" w14:textId="77777777" w:rsidR="00CD3E16" w:rsidRPr="00E62AC3" w:rsidRDefault="00CD3E16" w:rsidP="00CD3E16">
      <w:pPr>
        <w:rPr>
          <w:rFonts w:cstheme="minorHAnsi"/>
        </w:rPr>
      </w:pPr>
      <w:r w:rsidRPr="00041E36">
        <w:rPr>
          <w:rFonts w:cstheme="minorHAnsi"/>
        </w:rPr>
        <w:t>Interviewers specifically asked for the senior individual with the most responsibility for financial decisions in the organisation. The</w:t>
      </w:r>
      <w:r w:rsidRPr="00E62AC3">
        <w:rPr>
          <w:rFonts w:cstheme="minorHAnsi"/>
        </w:rPr>
        <w:t xml:space="preserve"> interviewer briefing included guidance on likely job roles and job titles for these individuals, which would differ based on the type and size of the organisation.</w:t>
      </w:r>
    </w:p>
    <w:p w14:paraId="482CF2C0" w14:textId="77777777" w:rsidR="00CD3E16" w:rsidRPr="00E62AC3" w:rsidRDefault="00CD3E16" w:rsidP="00CD3E16">
      <w:pPr>
        <w:rPr>
          <w:rFonts w:cstheme="minorHAnsi"/>
        </w:rPr>
      </w:pPr>
      <w:r>
        <w:rPr>
          <w:rFonts w:cstheme="minorHAnsi"/>
        </w:rPr>
        <w:t>S</w:t>
      </w:r>
      <w:r w:rsidRPr="00E62AC3">
        <w:rPr>
          <w:rFonts w:cstheme="minorHAnsi"/>
        </w:rPr>
        <w:t>everal steps were undertaken to maximise participation in the survey and reduce non-response bias:</w:t>
      </w:r>
    </w:p>
    <w:p w14:paraId="7F699D71" w14:textId="77777777" w:rsidR="00CD3E16" w:rsidRPr="00E62AC3" w:rsidRDefault="00CD3E16" w:rsidP="00CD3E16">
      <w:pPr>
        <w:pStyle w:val="ListBullet"/>
        <w:rPr>
          <w:rFonts w:cstheme="minorHAnsi"/>
        </w:rPr>
      </w:pPr>
      <w:r w:rsidRPr="00E62AC3">
        <w:rPr>
          <w:rFonts w:cstheme="minorHAnsi"/>
        </w:rPr>
        <w:t>Each organisation loaded in the main survey sample was called multiple times, or until an interview was achieved, a refusal given, or information obtained to make a judgment on the eligibility of that contact. For example, this outcome was used when respondents had requested to be called back at an early stage in fieldwork but had subsequently not been reached.</w:t>
      </w:r>
    </w:p>
    <w:p w14:paraId="11C9F542" w14:textId="77777777" w:rsidR="00CD3E16" w:rsidRPr="00E62AC3" w:rsidRDefault="00CD3E16" w:rsidP="00CD3E16">
      <w:pPr>
        <w:pStyle w:val="ListBullet"/>
        <w:rPr>
          <w:rFonts w:cstheme="minorHAnsi"/>
        </w:rPr>
      </w:pPr>
      <w:r w:rsidRPr="00E62AC3">
        <w:rPr>
          <w:rFonts w:cstheme="minorHAnsi"/>
        </w:rPr>
        <w:t>Each piece of sample was called at different times of the day, throughout the working week, to make every possible attempt to achieve an interview. Evening and weekend interviews were also offered if the respondent preferred these times.</w:t>
      </w:r>
    </w:p>
    <w:p w14:paraId="0BD2AC89" w14:textId="77777777" w:rsidR="00CD3E16" w:rsidRPr="00E62AC3" w:rsidRDefault="00CD3E16" w:rsidP="00CD3E16">
      <w:pPr>
        <w:pStyle w:val="ListBullet"/>
        <w:rPr>
          <w:rFonts w:cstheme="minorHAnsi"/>
        </w:rPr>
      </w:pPr>
      <w:r w:rsidRPr="00E62AC3">
        <w:rPr>
          <w:rFonts w:cstheme="minorHAnsi"/>
        </w:rPr>
        <w:t xml:space="preserve">Interviewers could send a reassurance email to prospective respondents if the respondent requested this. </w:t>
      </w:r>
    </w:p>
    <w:p w14:paraId="2C31C928" w14:textId="77777777" w:rsidR="00CD3E16" w:rsidRPr="00F56010" w:rsidRDefault="00CD3E16" w:rsidP="00CD3E16">
      <w:r w:rsidRPr="00F56010">
        <w:t>Ipsos is a member of the interviewer Quality Control Scheme recognised by the Market Research Society. In accordance with this scheme, the field supervisor on this project listened into at least 10 per cent of the interviews and checked the data entry on screen for these interviews.</w:t>
      </w:r>
    </w:p>
    <w:p w14:paraId="0CFEBEA7" w14:textId="77777777" w:rsidR="00CD3E16" w:rsidRDefault="00CD3E16" w:rsidP="00CD3E16">
      <w:pPr>
        <w:rPr>
          <w:rFonts w:cstheme="minorHAnsi"/>
        </w:rPr>
      </w:pPr>
      <w:r w:rsidRPr="00E62AC3">
        <w:rPr>
          <w:rFonts w:cstheme="minorHAnsi"/>
        </w:rPr>
        <w:t xml:space="preserve">The project team monitored fieldwork outcomes and response rates throughout fieldwork, and interviewers were given regular guidance on how to avoid common reasons for refusal. </w:t>
      </w:r>
      <w:r>
        <w:rPr>
          <w:rFonts w:cstheme="minorHAnsi"/>
        </w:rPr>
        <w:t>The table below</w:t>
      </w:r>
      <w:r w:rsidRPr="00E62AC3">
        <w:rPr>
          <w:rFonts w:cstheme="minorHAnsi"/>
        </w:rPr>
        <w:t xml:space="preserve"> shows the final outcomes.</w:t>
      </w:r>
    </w:p>
    <w:p w14:paraId="23E4CC36" w14:textId="13CE173E" w:rsidR="00CD3E16" w:rsidRPr="005B363B" w:rsidRDefault="00CD3E16" w:rsidP="00CD3E16">
      <w:pPr>
        <w:pStyle w:val="Heading5"/>
      </w:pPr>
      <w:r w:rsidRPr="005B363B">
        <w:t xml:space="preserve">Table </w:t>
      </w:r>
      <w:r w:rsidRPr="005B363B">
        <w:fldChar w:fldCharType="begin"/>
      </w:r>
      <w:r w:rsidRPr="005B363B">
        <w:instrText>SEQ Table \* ARABIC</w:instrText>
      </w:r>
      <w:r w:rsidRPr="005B363B">
        <w:fldChar w:fldCharType="separate"/>
      </w:r>
      <w:r w:rsidR="001525E9">
        <w:rPr>
          <w:noProof/>
        </w:rPr>
        <w:t>16</w:t>
      </w:r>
      <w:r w:rsidRPr="005B363B">
        <w:fldChar w:fldCharType="end"/>
      </w:r>
      <w:r w:rsidRPr="005B363B">
        <w:t xml:space="preserve">: </w:t>
      </w:r>
      <w:r>
        <w:t>Fieldwork outcomes</w:t>
      </w:r>
    </w:p>
    <w:tbl>
      <w:tblPr>
        <w:tblStyle w:val="TableGrid"/>
        <w:tblW w:w="4886" w:type="pct"/>
        <w:tblLayout w:type="fixed"/>
        <w:tblLook w:val="04A0" w:firstRow="1" w:lastRow="0" w:firstColumn="1" w:lastColumn="0" w:noHBand="0" w:noVBand="1"/>
      </w:tblPr>
      <w:tblGrid>
        <w:gridCol w:w="2760"/>
        <w:gridCol w:w="3580"/>
        <w:gridCol w:w="3582"/>
      </w:tblGrid>
      <w:tr w:rsidR="00CD3E16" w:rsidRPr="005B363B" w14:paraId="31AB8250" w14:textId="77777777" w:rsidTr="02AC3778">
        <w:trPr>
          <w:cnfStyle w:val="100000000000" w:firstRow="1" w:lastRow="0" w:firstColumn="0" w:lastColumn="0" w:oddVBand="0" w:evenVBand="0" w:oddHBand="0" w:evenHBand="0" w:firstRowFirstColumn="0" w:firstRowLastColumn="0" w:lastRowFirstColumn="0" w:lastRowLastColumn="0"/>
          <w:tblHeader/>
        </w:trPr>
        <w:tc>
          <w:tcPr>
            <w:tcW w:w="1391" w:type="pct"/>
          </w:tcPr>
          <w:p w14:paraId="1B7AE84B" w14:textId="77777777" w:rsidR="00CD3E16" w:rsidRPr="005825A9" w:rsidRDefault="00CD3E16" w:rsidP="00AB3D40">
            <w:pPr>
              <w:pStyle w:val="Tablecolumnheading-inkblue"/>
              <w:rPr>
                <w:bCs/>
                <w:color w:val="FFFFFF" w:themeColor="background1"/>
                <w:szCs w:val="24"/>
              </w:rPr>
            </w:pPr>
            <w:r w:rsidRPr="005825A9">
              <w:rPr>
                <w:bCs/>
                <w:color w:val="FFFFFF" w:themeColor="background1"/>
                <w:szCs w:val="24"/>
              </w:rPr>
              <w:t>Outcome</w:t>
            </w:r>
          </w:p>
        </w:tc>
        <w:tc>
          <w:tcPr>
            <w:tcW w:w="1804" w:type="pct"/>
          </w:tcPr>
          <w:p w14:paraId="552E5352" w14:textId="77777777" w:rsidR="00CD3E16" w:rsidRPr="00B57160" w:rsidRDefault="00CD3E16" w:rsidP="00AB3D40">
            <w:pPr>
              <w:pStyle w:val="Tablecolumnheading-inkblue"/>
              <w:jc w:val="right"/>
              <w:rPr>
                <w:color w:val="FFFFFF" w:themeColor="background1"/>
              </w:rPr>
            </w:pPr>
            <w:r>
              <w:rPr>
                <w:color w:val="FFFFFF" w:themeColor="background1"/>
              </w:rPr>
              <w:t>Borrowers</w:t>
            </w:r>
          </w:p>
        </w:tc>
        <w:tc>
          <w:tcPr>
            <w:tcW w:w="1805" w:type="pct"/>
          </w:tcPr>
          <w:p w14:paraId="6D3F54F7" w14:textId="77777777" w:rsidR="00CD3E16" w:rsidRPr="00B57160" w:rsidRDefault="00CD3E16" w:rsidP="00AB3D40">
            <w:pPr>
              <w:pStyle w:val="Tablecolumnheading-inkblue"/>
              <w:jc w:val="right"/>
              <w:rPr>
                <w:color w:val="FFFFFF" w:themeColor="background1"/>
              </w:rPr>
            </w:pPr>
            <w:r>
              <w:rPr>
                <w:color w:val="FFFFFF" w:themeColor="background1"/>
              </w:rPr>
              <w:t>Non-borrowers</w:t>
            </w:r>
          </w:p>
        </w:tc>
      </w:tr>
      <w:tr w:rsidR="00CD3E16" w:rsidRPr="005B363B" w14:paraId="1D505926"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91" w:type="pct"/>
          </w:tcPr>
          <w:p w14:paraId="1BB31733" w14:textId="77777777" w:rsidR="00CD3E16" w:rsidRPr="005B363B" w:rsidDel="000A1204" w:rsidRDefault="00CD3E16" w:rsidP="00AB3D40">
            <w:pPr>
              <w:pStyle w:val="Tabletext"/>
            </w:pPr>
            <w:r>
              <w:t>Completed interviews</w:t>
            </w:r>
          </w:p>
        </w:tc>
        <w:tc>
          <w:tcPr>
            <w:tcW w:w="1804" w:type="pct"/>
            <w:vAlign w:val="center"/>
          </w:tcPr>
          <w:p w14:paraId="408DB4BA" w14:textId="77777777" w:rsidR="00CD3E16" w:rsidRPr="005825A9" w:rsidRDefault="00CD3E16" w:rsidP="00AB3D40">
            <w:pPr>
              <w:pStyle w:val="Tabletext"/>
              <w:spacing w:before="0"/>
              <w:jc w:val="right"/>
            </w:pPr>
            <w:r>
              <w:t>242</w:t>
            </w:r>
          </w:p>
        </w:tc>
        <w:tc>
          <w:tcPr>
            <w:tcW w:w="1805" w:type="pct"/>
            <w:vAlign w:val="center"/>
          </w:tcPr>
          <w:p w14:paraId="175B1C10" w14:textId="77777777" w:rsidR="00CD3E16" w:rsidRPr="005825A9" w:rsidRDefault="00CD3E16" w:rsidP="00AB3D40">
            <w:pPr>
              <w:pStyle w:val="Tabletext"/>
              <w:spacing w:before="0"/>
              <w:jc w:val="right"/>
            </w:pPr>
            <w:r>
              <w:t>236</w:t>
            </w:r>
          </w:p>
        </w:tc>
      </w:tr>
      <w:tr w:rsidR="00CD3E16" w:rsidRPr="005B363B" w14:paraId="757C96E5" w14:textId="77777777" w:rsidTr="02AC3778">
        <w:tblPrEx>
          <w:tblCellMar>
            <w:left w:w="108" w:type="dxa"/>
            <w:right w:w="108" w:type="dxa"/>
          </w:tblCellMar>
        </w:tblPrEx>
        <w:tc>
          <w:tcPr>
            <w:tcW w:w="1391" w:type="pct"/>
          </w:tcPr>
          <w:p w14:paraId="2E78B749" w14:textId="77777777" w:rsidR="00CD3E16" w:rsidRPr="005B363B" w:rsidRDefault="00CD3E16" w:rsidP="00AB3D40">
            <w:pPr>
              <w:pStyle w:val="Tabletext"/>
            </w:pPr>
            <w:r>
              <w:t>Refused</w:t>
            </w:r>
          </w:p>
        </w:tc>
        <w:tc>
          <w:tcPr>
            <w:tcW w:w="1804" w:type="pct"/>
            <w:vAlign w:val="center"/>
          </w:tcPr>
          <w:p w14:paraId="681C3300" w14:textId="77777777" w:rsidR="00CD3E16" w:rsidRPr="005825A9" w:rsidRDefault="00CD3E16" w:rsidP="00AB3D40">
            <w:pPr>
              <w:pStyle w:val="Tabletext"/>
              <w:spacing w:before="0"/>
              <w:jc w:val="right"/>
            </w:pPr>
            <w:r>
              <w:t>347</w:t>
            </w:r>
          </w:p>
        </w:tc>
        <w:tc>
          <w:tcPr>
            <w:tcW w:w="1805" w:type="pct"/>
            <w:vAlign w:val="center"/>
          </w:tcPr>
          <w:p w14:paraId="1CDD6BC8" w14:textId="77777777" w:rsidR="00CD3E16" w:rsidRPr="005825A9" w:rsidRDefault="00CD3E16" w:rsidP="00AB3D40">
            <w:pPr>
              <w:pStyle w:val="Tabletext"/>
              <w:spacing w:before="0"/>
              <w:jc w:val="right"/>
            </w:pPr>
            <w:r>
              <w:t>559</w:t>
            </w:r>
          </w:p>
        </w:tc>
      </w:tr>
      <w:tr w:rsidR="00CD3E16" w:rsidRPr="005B363B" w14:paraId="4B271247"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91" w:type="pct"/>
          </w:tcPr>
          <w:p w14:paraId="47B5B4B8" w14:textId="77777777" w:rsidR="00CD3E16" w:rsidRDefault="63C81BEF" w:rsidP="00AB3D40">
            <w:pPr>
              <w:pStyle w:val="Tabletext"/>
            </w:pPr>
            <w:r>
              <w:t>Unusable numbers</w:t>
            </w:r>
            <w:r w:rsidR="00CD3E16">
              <w:rPr>
                <w:rStyle w:val="FootnoteReference"/>
              </w:rPr>
              <w:footnoteReference w:id="59"/>
            </w:r>
          </w:p>
        </w:tc>
        <w:tc>
          <w:tcPr>
            <w:tcW w:w="1804" w:type="pct"/>
            <w:vAlign w:val="center"/>
          </w:tcPr>
          <w:p w14:paraId="20E2D57B" w14:textId="77777777" w:rsidR="00CD3E16" w:rsidRPr="005825A9" w:rsidRDefault="00CD3E16" w:rsidP="00AB3D40">
            <w:pPr>
              <w:pStyle w:val="Tabletext"/>
              <w:spacing w:before="0"/>
              <w:jc w:val="right"/>
            </w:pPr>
            <w:r>
              <w:t>615</w:t>
            </w:r>
          </w:p>
        </w:tc>
        <w:tc>
          <w:tcPr>
            <w:tcW w:w="1805" w:type="pct"/>
            <w:vAlign w:val="center"/>
          </w:tcPr>
          <w:p w14:paraId="392492F8" w14:textId="77777777" w:rsidR="00CD3E16" w:rsidRPr="005825A9" w:rsidRDefault="00CD3E16" w:rsidP="00AB3D40">
            <w:pPr>
              <w:pStyle w:val="Tabletext"/>
              <w:spacing w:before="0"/>
              <w:jc w:val="right"/>
            </w:pPr>
            <w:r>
              <w:t>781</w:t>
            </w:r>
          </w:p>
        </w:tc>
      </w:tr>
      <w:tr w:rsidR="00CD3E16" w:rsidRPr="005B363B" w14:paraId="4FA2A338" w14:textId="77777777" w:rsidTr="02AC3778">
        <w:tblPrEx>
          <w:tblCellMar>
            <w:left w:w="108" w:type="dxa"/>
            <w:right w:w="108" w:type="dxa"/>
          </w:tblCellMar>
        </w:tblPrEx>
        <w:tc>
          <w:tcPr>
            <w:tcW w:w="1391" w:type="pct"/>
          </w:tcPr>
          <w:p w14:paraId="34F513FF" w14:textId="77777777" w:rsidR="00CD3E16" w:rsidRDefault="63C81BEF" w:rsidP="00AB3D40">
            <w:pPr>
              <w:pStyle w:val="Tabletext"/>
            </w:pPr>
            <w:r>
              <w:t>Unusable working numbers</w:t>
            </w:r>
            <w:r w:rsidR="00CD3E16">
              <w:rPr>
                <w:rStyle w:val="FootnoteReference"/>
              </w:rPr>
              <w:footnoteReference w:id="60"/>
            </w:r>
          </w:p>
        </w:tc>
        <w:tc>
          <w:tcPr>
            <w:tcW w:w="1804" w:type="pct"/>
            <w:vAlign w:val="center"/>
          </w:tcPr>
          <w:p w14:paraId="390CEE2F" w14:textId="77777777" w:rsidR="00CD3E16" w:rsidRPr="005825A9" w:rsidRDefault="00CD3E16" w:rsidP="00AB3D40">
            <w:pPr>
              <w:pStyle w:val="Tabletext"/>
              <w:spacing w:before="0"/>
              <w:jc w:val="right"/>
            </w:pPr>
            <w:r>
              <w:t>1,284</w:t>
            </w:r>
          </w:p>
        </w:tc>
        <w:tc>
          <w:tcPr>
            <w:tcW w:w="1805" w:type="pct"/>
            <w:vAlign w:val="center"/>
          </w:tcPr>
          <w:p w14:paraId="401A6507" w14:textId="77777777" w:rsidR="00CD3E16" w:rsidRPr="005825A9" w:rsidRDefault="00CD3E16" w:rsidP="00AB3D40">
            <w:pPr>
              <w:pStyle w:val="Tabletext"/>
              <w:spacing w:before="0"/>
              <w:jc w:val="right"/>
            </w:pPr>
            <w:r>
              <w:t>1,457</w:t>
            </w:r>
          </w:p>
        </w:tc>
      </w:tr>
      <w:tr w:rsidR="00CD3E16" w:rsidRPr="005B363B" w14:paraId="737F4001"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91" w:type="pct"/>
          </w:tcPr>
          <w:p w14:paraId="2D5C87D7" w14:textId="77777777" w:rsidR="00CD3E16" w:rsidRDefault="63C81BEF" w:rsidP="00AB3D40">
            <w:pPr>
              <w:pStyle w:val="Tabletext"/>
            </w:pPr>
            <w:r>
              <w:t>Working numbers with unknown eligibility</w:t>
            </w:r>
            <w:r w:rsidR="00CD3E16">
              <w:rPr>
                <w:rStyle w:val="FootnoteReference"/>
              </w:rPr>
              <w:footnoteReference w:id="61"/>
            </w:r>
          </w:p>
        </w:tc>
        <w:tc>
          <w:tcPr>
            <w:tcW w:w="1804" w:type="pct"/>
            <w:vAlign w:val="center"/>
          </w:tcPr>
          <w:p w14:paraId="51D41D8B" w14:textId="77777777" w:rsidR="00CD3E16" w:rsidRPr="005825A9" w:rsidRDefault="00CD3E16" w:rsidP="00AB3D40">
            <w:pPr>
              <w:pStyle w:val="Tabletext"/>
              <w:spacing w:before="0"/>
              <w:jc w:val="right"/>
            </w:pPr>
            <w:r>
              <w:t>605</w:t>
            </w:r>
          </w:p>
        </w:tc>
        <w:tc>
          <w:tcPr>
            <w:tcW w:w="1805" w:type="pct"/>
            <w:vAlign w:val="center"/>
          </w:tcPr>
          <w:p w14:paraId="517E408D" w14:textId="77777777" w:rsidR="00CD3E16" w:rsidRPr="005825A9" w:rsidRDefault="00CD3E16" w:rsidP="00AB3D40">
            <w:pPr>
              <w:pStyle w:val="Tabletext"/>
              <w:spacing w:before="0"/>
              <w:jc w:val="right"/>
            </w:pPr>
            <w:r>
              <w:t>894</w:t>
            </w:r>
          </w:p>
        </w:tc>
      </w:tr>
      <w:tr w:rsidR="00CD3E16" w:rsidRPr="005B363B" w14:paraId="3B715CFC" w14:textId="77777777" w:rsidTr="02AC3778">
        <w:tblPrEx>
          <w:tblCellMar>
            <w:left w:w="108" w:type="dxa"/>
            <w:right w:w="108" w:type="dxa"/>
          </w:tblCellMar>
        </w:tblPrEx>
        <w:tc>
          <w:tcPr>
            <w:tcW w:w="1391" w:type="pct"/>
          </w:tcPr>
          <w:p w14:paraId="73C75DF2" w14:textId="77777777" w:rsidR="00CD3E16" w:rsidRDefault="63C81BEF" w:rsidP="00AB3D40">
            <w:pPr>
              <w:pStyle w:val="Tabletext"/>
            </w:pPr>
            <w:r>
              <w:t>Screened out (Total)</w:t>
            </w:r>
            <w:r w:rsidR="00CD3E16">
              <w:rPr>
                <w:rStyle w:val="FootnoteReference"/>
              </w:rPr>
              <w:footnoteReference w:id="62"/>
            </w:r>
          </w:p>
        </w:tc>
        <w:tc>
          <w:tcPr>
            <w:tcW w:w="1804" w:type="pct"/>
            <w:vAlign w:val="center"/>
          </w:tcPr>
          <w:p w14:paraId="426C0938" w14:textId="77777777" w:rsidR="00CD3E16" w:rsidRPr="005825A9" w:rsidRDefault="00CD3E16" w:rsidP="00AB3D40">
            <w:pPr>
              <w:pStyle w:val="Tabletext"/>
              <w:spacing w:before="0"/>
              <w:jc w:val="right"/>
            </w:pPr>
            <w:r>
              <w:t>5</w:t>
            </w:r>
          </w:p>
        </w:tc>
        <w:tc>
          <w:tcPr>
            <w:tcW w:w="1805" w:type="pct"/>
            <w:vAlign w:val="center"/>
          </w:tcPr>
          <w:p w14:paraId="45AA905F" w14:textId="77777777" w:rsidR="00CD3E16" w:rsidRPr="005825A9" w:rsidRDefault="00CD3E16" w:rsidP="00AB3D40">
            <w:pPr>
              <w:pStyle w:val="Tabletext"/>
              <w:spacing w:before="0"/>
              <w:jc w:val="right"/>
            </w:pPr>
            <w:r>
              <w:t>36</w:t>
            </w:r>
          </w:p>
        </w:tc>
      </w:tr>
      <w:tr w:rsidR="00CD3E16" w:rsidRPr="005B363B" w14:paraId="73CDEB0C"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91" w:type="pct"/>
          </w:tcPr>
          <w:p w14:paraId="07090C89" w14:textId="77777777" w:rsidR="00CD3E16" w:rsidRDefault="00CD3E16" w:rsidP="00AB3D40">
            <w:pPr>
              <w:pStyle w:val="Tabletext"/>
            </w:pPr>
            <w:r>
              <w:t>Total (called at least once)</w:t>
            </w:r>
          </w:p>
        </w:tc>
        <w:tc>
          <w:tcPr>
            <w:tcW w:w="1804" w:type="pct"/>
            <w:vAlign w:val="center"/>
          </w:tcPr>
          <w:p w14:paraId="0132A736" w14:textId="77777777" w:rsidR="00CD3E16" w:rsidRPr="005825A9" w:rsidRDefault="00CD3E16" w:rsidP="00AB3D40">
            <w:pPr>
              <w:pStyle w:val="Tabletext"/>
              <w:spacing w:before="0"/>
              <w:jc w:val="right"/>
            </w:pPr>
            <w:r>
              <w:t>3,098</w:t>
            </w:r>
          </w:p>
        </w:tc>
        <w:tc>
          <w:tcPr>
            <w:tcW w:w="1805" w:type="pct"/>
            <w:vAlign w:val="center"/>
          </w:tcPr>
          <w:p w14:paraId="0F456204" w14:textId="77777777" w:rsidR="00CD3E16" w:rsidRPr="005825A9" w:rsidRDefault="00CD3E16" w:rsidP="00AB3D40">
            <w:pPr>
              <w:pStyle w:val="Tabletext"/>
              <w:spacing w:before="0"/>
              <w:jc w:val="right"/>
            </w:pPr>
            <w:r>
              <w:t>3,963</w:t>
            </w:r>
          </w:p>
        </w:tc>
      </w:tr>
    </w:tbl>
    <w:p w14:paraId="3DBF2E86" w14:textId="77777777" w:rsidR="00CD3E16" w:rsidRPr="005825A9" w:rsidRDefault="00CD3E16" w:rsidP="00CD3E16">
      <w:pPr>
        <w:rPr>
          <w:sz w:val="2"/>
          <w:szCs w:val="2"/>
        </w:rPr>
      </w:pPr>
    </w:p>
    <w:p w14:paraId="6A688FFC" w14:textId="77777777" w:rsidR="00CD3E16" w:rsidRPr="00E62AC3" w:rsidRDefault="63C81BEF" w:rsidP="00CD3E16">
      <w:pPr>
        <w:rPr>
          <w:rFonts w:cstheme="minorHAnsi"/>
        </w:rPr>
      </w:pPr>
      <w:r w:rsidRPr="02AC3778">
        <w:t>The cooperation rate</w:t>
      </w:r>
      <w:r w:rsidR="00CD3E16" w:rsidRPr="02AC3778">
        <w:rPr>
          <w:rStyle w:val="FootnoteReference"/>
        </w:rPr>
        <w:footnoteReference w:id="63"/>
      </w:r>
      <w:r w:rsidRPr="02AC3778">
        <w:t xml:space="preserve"> was 41% for borrowers and 30% for non-borrowers. The lower co-operation rates are likely to be due to a combination of circumstances brought about by the long questionnaire, as well as the ongoing challenge of declining response rates in survey fieldwork in general. </w:t>
      </w:r>
    </w:p>
    <w:p w14:paraId="4868B76C" w14:textId="77777777" w:rsidR="00CD3E16" w:rsidRDefault="00CD3E16" w:rsidP="00CD3E16">
      <w:pPr>
        <w:pStyle w:val="Heading3"/>
      </w:pPr>
      <w:r>
        <w:t>Data processing and weighting</w:t>
      </w:r>
    </w:p>
    <w:p w14:paraId="74519441" w14:textId="77777777" w:rsidR="00CD3E16" w:rsidRPr="00E62AC3" w:rsidRDefault="00CD3E16" w:rsidP="00CD3E16">
      <w:pPr>
        <w:rPr>
          <w:rFonts w:cstheme="minorHAnsi"/>
        </w:rPr>
      </w:pPr>
      <w:r w:rsidRPr="00E62AC3">
        <w:rPr>
          <w:rFonts w:cstheme="minorHAnsi"/>
        </w:rPr>
        <w:t xml:space="preserve">There were logic checks in the script which checked the consistency and likely accuracy of answers. If respondents gave unusually high or low </w:t>
      </w:r>
      <w:r w:rsidRPr="00D53862">
        <w:rPr>
          <w:rFonts w:cstheme="minorHAnsi"/>
        </w:rPr>
        <w:t>numeric answers (such as turnover), the interviewer would read out the response they had just recorded and dou</w:t>
      </w:r>
      <w:r w:rsidRPr="00E62AC3">
        <w:rPr>
          <w:rFonts w:cstheme="minorHAnsi"/>
        </w:rPr>
        <w:t xml:space="preserve">ble-check this is what the respondent meant to say. </w:t>
      </w:r>
    </w:p>
    <w:p w14:paraId="78B182A3" w14:textId="77777777" w:rsidR="00CD3E16" w:rsidRPr="00E62AC3" w:rsidRDefault="00CD3E16" w:rsidP="00CD3E16">
      <w:pPr>
        <w:rPr>
          <w:rFonts w:cstheme="minorHAnsi"/>
        </w:rPr>
      </w:pPr>
      <w:r w:rsidRPr="00E62AC3">
        <w:rPr>
          <w:rFonts w:cstheme="minorHAnsi"/>
        </w:rPr>
        <w:t>The verbatim responses to unprompted questions could be coded as “other” by interviewers when they did not appear to fit into the predefined code frame. These “other” responses were coded manually by Ipsos’ coding team, and where possible, were assigned to codes in the existing code frame. It was also possible for new codes to be added where enough respondents had given a similar answer outside of the existing code frame. The Ipsos research team verified the accuracy of the coding, by checking and approving each new code proposed.</w:t>
      </w:r>
    </w:p>
    <w:p w14:paraId="4CED9F53" w14:textId="5230F731" w:rsidR="00CD3E16" w:rsidRPr="00E62AC3" w:rsidRDefault="00CD3E16" w:rsidP="00CD3E16">
      <w:pPr>
        <w:rPr>
          <w:rFonts w:cstheme="minorHAnsi"/>
        </w:rPr>
      </w:pPr>
      <w:r w:rsidRPr="00E62AC3">
        <w:rPr>
          <w:rFonts w:cstheme="minorHAnsi"/>
        </w:rPr>
        <w:t xml:space="preserve">Both borrowers and non-borrowers were weighted to be representative of the profile of </w:t>
      </w:r>
      <w:r w:rsidR="00C236F3">
        <w:rPr>
          <w:rFonts w:cstheme="minorHAnsi"/>
        </w:rPr>
        <w:t>RLS 1.0</w:t>
      </w:r>
      <w:r w:rsidRPr="00E62AC3">
        <w:rPr>
          <w:rFonts w:cstheme="minorHAnsi"/>
        </w:rPr>
        <w:t xml:space="preserve">. </w:t>
      </w:r>
    </w:p>
    <w:p w14:paraId="53061396" w14:textId="77777777" w:rsidR="00CD3E16" w:rsidRPr="00E62AC3" w:rsidRDefault="00CD3E16" w:rsidP="00CD3E16">
      <w:pPr>
        <w:rPr>
          <w:rFonts w:cstheme="minorHAnsi"/>
        </w:rPr>
      </w:pPr>
      <w:r w:rsidRPr="00E62AC3">
        <w:rPr>
          <w:rFonts w:cstheme="minorHAnsi"/>
        </w:rPr>
        <w:t xml:space="preserve">Rim weighting was used to adjust the sample to ensure the weighted profile of the sample matches the population for a set of weighting targets. The weighting was run separately for borrowers and non-borrowers. The weighting targets were sector, region, and turnover. Both borrowers and non-borrowers were weighted to the same set of targets meaning, once the weights are applied, the borrowers and non-borrowers have the same profile for sector, region, and turnover.  </w:t>
      </w:r>
    </w:p>
    <w:p w14:paraId="2B2A3291" w14:textId="77777777" w:rsidR="00CD3E16" w:rsidRPr="006C43DA" w:rsidRDefault="00CD3E16" w:rsidP="00CD3E16">
      <w:pPr>
        <w:pStyle w:val="Heading2"/>
      </w:pPr>
      <w:bookmarkStart w:id="80" w:name="_Toc153187852"/>
      <w:bookmarkStart w:id="81" w:name="_Toc161327597"/>
      <w:r>
        <w:t>Survey questionnaire</w:t>
      </w:r>
      <w:bookmarkEnd w:id="80"/>
      <w:bookmarkEnd w:id="81"/>
    </w:p>
    <w:p w14:paraId="5F6F095B" w14:textId="77777777" w:rsidR="006E0879" w:rsidRPr="00925DF4" w:rsidRDefault="006E0879" w:rsidP="006E0879">
      <w:pPr>
        <w:autoSpaceDE w:val="0"/>
        <w:autoSpaceDN w:val="0"/>
        <w:rPr>
          <w:rFonts w:cs="Arial"/>
          <w:b/>
          <w:bCs/>
          <w:lang w:eastAsia="en-GB"/>
        </w:rPr>
      </w:pPr>
      <w:bookmarkStart w:id="82" w:name="_Hlk77780320"/>
      <w:r w:rsidRPr="00925DF4">
        <w:rPr>
          <w:rFonts w:cs="Arial"/>
          <w:b/>
          <w:bCs/>
          <w:lang w:eastAsia="en-GB"/>
        </w:rPr>
        <w:t>Key</w:t>
      </w:r>
    </w:p>
    <w:p w14:paraId="41C6C4D2" w14:textId="77777777" w:rsidR="006E0879" w:rsidRPr="00925DF4" w:rsidRDefault="006E0879" w:rsidP="006E0879">
      <w:pPr>
        <w:numPr>
          <w:ilvl w:val="0"/>
          <w:numId w:val="42"/>
        </w:numPr>
        <w:pBdr>
          <w:top w:val="nil"/>
          <w:left w:val="nil"/>
          <w:bottom w:val="nil"/>
          <w:right w:val="nil"/>
          <w:between w:val="nil"/>
        </w:pBdr>
        <w:spacing w:before="120" w:after="0" w:line="240" w:lineRule="auto"/>
        <w:rPr>
          <w:rFonts w:cs="Arial"/>
          <w:color w:val="000000"/>
        </w:rPr>
      </w:pPr>
      <w:r w:rsidRPr="00925DF4">
        <w:rPr>
          <w:rFonts w:cs="Arial"/>
          <w:color w:val="000000"/>
        </w:rPr>
        <w:t>Anything that appears stati</w:t>
      </w:r>
      <w:r>
        <w:rPr>
          <w:rFonts w:cs="Arial"/>
          <w:color w:val="000000"/>
        </w:rPr>
        <w:t>c</w:t>
      </w:r>
      <w:r w:rsidRPr="00925DF4">
        <w:rPr>
          <w:rFonts w:cs="Arial"/>
          <w:color w:val="000000"/>
        </w:rPr>
        <w:t xml:space="preserve"> on the interviewer screen in black</w:t>
      </w:r>
    </w:p>
    <w:p w14:paraId="01798130" w14:textId="77777777" w:rsidR="006E0879" w:rsidRPr="00925DF4" w:rsidRDefault="006E0879" w:rsidP="006E0879">
      <w:pPr>
        <w:numPr>
          <w:ilvl w:val="0"/>
          <w:numId w:val="42"/>
        </w:numPr>
        <w:pBdr>
          <w:top w:val="nil"/>
          <w:left w:val="nil"/>
          <w:bottom w:val="nil"/>
          <w:right w:val="nil"/>
          <w:between w:val="nil"/>
        </w:pBdr>
        <w:spacing w:after="0" w:line="240" w:lineRule="auto"/>
        <w:rPr>
          <w:rFonts w:cs="Arial"/>
          <w:b/>
          <w:color w:val="000000"/>
        </w:rPr>
      </w:pPr>
      <w:r w:rsidRPr="00925DF4">
        <w:rPr>
          <w:rFonts w:cs="Arial"/>
          <w:b/>
          <w:color w:val="000000"/>
        </w:rPr>
        <w:t>QUESTION/NEW SCREEN LABELS IN BOLD CAPS</w:t>
      </w:r>
    </w:p>
    <w:p w14:paraId="2D5DBA32" w14:textId="77777777" w:rsidR="006E0879" w:rsidRPr="00925DF4" w:rsidRDefault="006E0879" w:rsidP="006E0879">
      <w:pPr>
        <w:numPr>
          <w:ilvl w:val="0"/>
          <w:numId w:val="42"/>
        </w:numPr>
        <w:pBdr>
          <w:top w:val="nil"/>
          <w:left w:val="nil"/>
          <w:bottom w:val="nil"/>
          <w:right w:val="nil"/>
          <w:between w:val="nil"/>
        </w:pBdr>
        <w:spacing w:after="0" w:line="240" w:lineRule="auto"/>
        <w:rPr>
          <w:rFonts w:cs="Arial"/>
          <w:color w:val="F14354"/>
        </w:rPr>
      </w:pPr>
      <w:r w:rsidRPr="00925DF4">
        <w:rPr>
          <w:rFonts w:cs="Arial"/>
          <w:color w:val="F14354"/>
        </w:rPr>
        <w:t>Any scripting instructions and text substitutions in red</w:t>
      </w:r>
    </w:p>
    <w:p w14:paraId="7FBCECFF" w14:textId="77777777" w:rsidR="006E0879" w:rsidRPr="00925DF4" w:rsidRDefault="006E0879" w:rsidP="006E0879">
      <w:pPr>
        <w:numPr>
          <w:ilvl w:val="0"/>
          <w:numId w:val="42"/>
        </w:numPr>
        <w:pBdr>
          <w:top w:val="nil"/>
          <w:left w:val="nil"/>
          <w:bottom w:val="nil"/>
          <w:right w:val="nil"/>
          <w:between w:val="nil"/>
        </w:pBdr>
        <w:spacing w:after="0" w:line="240" w:lineRule="auto"/>
        <w:rPr>
          <w:rFonts w:cs="Arial"/>
          <w:color w:val="3E9660"/>
        </w:rPr>
      </w:pPr>
      <w:r w:rsidRPr="00925DF4">
        <w:rPr>
          <w:rFonts w:cs="Arial"/>
          <w:color w:val="3E9660"/>
        </w:rPr>
        <w:t>Any interviewer instructions / text that should be removed for web survey in green</w:t>
      </w:r>
    </w:p>
    <w:bookmarkEnd w:id="82"/>
    <w:p w14:paraId="7263CC78" w14:textId="77777777" w:rsidR="006E0879" w:rsidRPr="00925DF4" w:rsidRDefault="006E0879" w:rsidP="006E0879">
      <w:pPr>
        <w:rPr>
          <w:rFonts w:cs="Arial"/>
        </w:rPr>
      </w:pPr>
    </w:p>
    <w:p w14:paraId="79A80BE1" w14:textId="77777777" w:rsidR="006E0879" w:rsidRPr="00925DF4" w:rsidRDefault="006E0879" w:rsidP="006E0879">
      <w:pPr>
        <w:rPr>
          <w:rFonts w:cs="Arial"/>
          <w:color w:val="FF0000"/>
        </w:rPr>
      </w:pPr>
      <w:r w:rsidRPr="00925DF4">
        <w:rPr>
          <w:rFonts w:cs="Arial"/>
          <w:color w:val="FF0000"/>
        </w:rPr>
        <w:t>FOR WOR</w:t>
      </w:r>
      <w:r>
        <w:rPr>
          <w:rFonts w:cs="Arial"/>
          <w:color w:val="FF0000"/>
        </w:rPr>
        <w:t>D</w:t>
      </w:r>
      <w:r w:rsidRPr="00925DF4">
        <w:rPr>
          <w:rFonts w:cs="Arial"/>
          <w:color w:val="FF0000"/>
        </w:rPr>
        <w:t xml:space="preserve"> INSERTS USE THROUGHOUT:</w:t>
      </w:r>
    </w:p>
    <w:p w14:paraId="64037677" w14:textId="5A423595" w:rsidR="006E0879" w:rsidRPr="00925DF4" w:rsidRDefault="006E0879" w:rsidP="006E0879">
      <w:pPr>
        <w:rPr>
          <w:rFonts w:cs="Arial"/>
          <w:color w:val="F06603" w:themeColor="accent6"/>
        </w:rPr>
      </w:pPr>
      <w:r w:rsidRPr="00925DF4">
        <w:rPr>
          <w:rFonts w:cs="Arial"/>
          <w:color w:val="F06603" w:themeColor="accent6"/>
        </w:rPr>
        <w:t>IF NO EMPLOYEES OR M</w:t>
      </w:r>
      <w:r>
        <w:rPr>
          <w:rFonts w:cs="Arial"/>
          <w:color w:val="F06603" w:themeColor="accent6"/>
        </w:rPr>
        <w:t>I</w:t>
      </w:r>
      <w:r w:rsidRPr="00925DF4">
        <w:rPr>
          <w:rFonts w:cs="Arial"/>
          <w:color w:val="F06603" w:themeColor="accent6"/>
        </w:rPr>
        <w:t xml:space="preserve">CRO BUSINESS INDICATED: ASK TO SPEAK TO OWNER/ MANAGING DIRECTOR. </w:t>
      </w:r>
    </w:p>
    <w:p w14:paraId="224C99FB" w14:textId="13CB2415" w:rsidR="006E0879" w:rsidRPr="00925DF4" w:rsidRDefault="006E0879" w:rsidP="006E0879">
      <w:pPr>
        <w:rPr>
          <w:rFonts w:cs="Arial"/>
          <w:color w:val="F06603" w:themeColor="accent6"/>
        </w:rPr>
      </w:pPr>
      <w:r w:rsidRPr="00925DF4">
        <w:rPr>
          <w:rFonts w:cs="Arial"/>
          <w:color w:val="F06603" w:themeColor="accent6"/>
        </w:rPr>
        <w:t>IF SMALL/MEDIUM SIZED OR LARGE BUSINESS: ASK TO SPEAK TO FINANCE DIRECTOR</w:t>
      </w:r>
    </w:p>
    <w:p w14:paraId="1826C1E5" w14:textId="55B0F78E" w:rsidR="006E0879" w:rsidRPr="00C31D26" w:rsidRDefault="006E0879" w:rsidP="006E0879">
      <w:pPr>
        <w:rPr>
          <w:rFonts w:cs="Arial"/>
          <w:color w:val="F06603" w:themeColor="accent6"/>
        </w:rPr>
      </w:pPr>
      <w:r w:rsidRPr="00925DF4">
        <w:rPr>
          <w:rFonts w:cs="Arial"/>
          <w:color w:val="F06603" w:themeColor="accent6"/>
        </w:rPr>
        <w:t xml:space="preserve">ADD IF NECESSARY: </w:t>
      </w:r>
      <w:r w:rsidRPr="00925DF4">
        <w:rPr>
          <w:rFonts w:cs="Arial"/>
          <w:b/>
        </w:rPr>
        <w:t>Thi</w:t>
      </w:r>
      <w:r>
        <w:rPr>
          <w:rFonts w:cs="Arial"/>
          <w:b/>
        </w:rPr>
        <w:t>s</w:t>
      </w:r>
      <w:r w:rsidRPr="00925DF4">
        <w:rPr>
          <w:rFonts w:cs="Arial"/>
          <w:b/>
        </w:rPr>
        <w:t xml:space="preserve"> may be</w:t>
      </w:r>
      <w:r w:rsidRPr="00925DF4">
        <w:rPr>
          <w:rFonts w:cs="Arial"/>
        </w:rPr>
        <w:t xml:space="preserve"> </w:t>
      </w:r>
      <w:r w:rsidRPr="00925DF4">
        <w:rPr>
          <w:rFonts w:cs="Arial"/>
          <w:color w:val="FF0000"/>
        </w:rPr>
        <w:t>[INSERT INDIVIDUAL NAME FROM SAMPLE]</w:t>
      </w:r>
    </w:p>
    <w:p w14:paraId="09165F47" w14:textId="4EC583EC" w:rsidR="006E0879" w:rsidRPr="00C31D26" w:rsidRDefault="006E0879" w:rsidP="006E0879">
      <w:pPr>
        <w:rPr>
          <w:rFonts w:cs="Arial"/>
          <w:color w:val="FF0000"/>
        </w:rPr>
      </w:pPr>
      <w:r w:rsidRPr="00925DF4">
        <w:rPr>
          <w:rFonts w:cs="Arial"/>
          <w:color w:val="FF0000"/>
        </w:rPr>
        <w:t>[SCREEN 1]</w:t>
      </w:r>
    </w:p>
    <w:p w14:paraId="71BF1445" w14:textId="44A6B761" w:rsidR="006E0879" w:rsidRPr="00C31D26" w:rsidRDefault="006E0879" w:rsidP="006E0879">
      <w:pPr>
        <w:rPr>
          <w:rFonts w:cs="Arial"/>
          <w:b/>
          <w:color w:val="FF0000"/>
        </w:rPr>
      </w:pPr>
      <w:r w:rsidRPr="0042457C">
        <w:rPr>
          <w:rFonts w:cs="Arial"/>
          <w:b/>
          <w:color w:val="FF0000"/>
        </w:rPr>
        <w:t>CATI INTRO SCREEN</w:t>
      </w:r>
      <w:r>
        <w:rPr>
          <w:rFonts w:cs="Arial"/>
          <w:b/>
          <w:color w:val="FF0000"/>
        </w:rPr>
        <w:t xml:space="preserve"> 1</w:t>
      </w:r>
      <w:r w:rsidRPr="0042457C">
        <w:rPr>
          <w:rFonts w:cs="Arial"/>
          <w:b/>
          <w:color w:val="FF0000"/>
        </w:rPr>
        <w:t xml:space="preserve">: </w:t>
      </w:r>
    </w:p>
    <w:p w14:paraId="4A798C95" w14:textId="77777777" w:rsidR="006E0879" w:rsidRPr="00925DF4" w:rsidRDefault="006E0879" w:rsidP="006E0879">
      <w:pPr>
        <w:rPr>
          <w:rFonts w:cs="Arial"/>
          <w:color w:val="FF0000"/>
        </w:rPr>
      </w:pPr>
      <w:r w:rsidRPr="00925DF4">
        <w:rPr>
          <w:rFonts w:cs="Arial"/>
          <w:color w:val="FF0000"/>
        </w:rPr>
        <w:t>SHOW IF LOAN</w:t>
      </w:r>
    </w:p>
    <w:p w14:paraId="34131129" w14:textId="77777777" w:rsidR="006E0879" w:rsidRPr="00925DF4" w:rsidRDefault="006E0879" w:rsidP="006E0879">
      <w:pPr>
        <w:rPr>
          <w:rFonts w:cs="Arial"/>
          <w:bCs/>
          <w:color w:val="FF0000"/>
        </w:rPr>
      </w:pPr>
      <w:r w:rsidRPr="00925DF4">
        <w:rPr>
          <w:rFonts w:cs="Arial"/>
          <w:bCs/>
          <w:color w:val="FF0000"/>
        </w:rPr>
        <w:t>READ OUT IF CATI ONLY</w:t>
      </w:r>
      <w:r w:rsidRPr="00925DF4">
        <w:rPr>
          <w:rFonts w:cs="Arial"/>
          <w:bCs/>
        </w:rPr>
        <w:tab/>
      </w:r>
    </w:p>
    <w:p w14:paraId="69932E18" w14:textId="3708E136" w:rsidR="006E0879" w:rsidRPr="00C31D26" w:rsidRDefault="006E0879" w:rsidP="00C31D26">
      <w:pPr>
        <w:rPr>
          <w:rFonts w:cs="Arial"/>
          <w:bCs/>
          <w:color w:val="1D1D1B" w:themeColor="text1"/>
        </w:rPr>
      </w:pPr>
      <w:r w:rsidRPr="00925DF4">
        <w:rPr>
          <w:rFonts w:cs="Arial"/>
          <w:b/>
          <w:color w:val="1D1D1B" w:themeColor="text1"/>
        </w:rPr>
        <w:t xml:space="preserve">It’s XX calling from Ipsos, an independent research organisation. Your business has been </w:t>
      </w:r>
      <w:r w:rsidRPr="00F7350E">
        <w:rPr>
          <w:rFonts w:cs="Arial"/>
          <w:b/>
          <w:color w:val="1D1D1B" w:themeColor="text1"/>
        </w:rPr>
        <w:t>selected to take part in a survey because you applied for external finance from the Recovery Loan Scheme</w:t>
      </w:r>
      <w:r w:rsidRPr="004F6C11">
        <w:rPr>
          <w:rFonts w:cs="Arial"/>
          <w:b/>
          <w:color w:val="1D1D1B" w:themeColor="text1"/>
        </w:rPr>
        <w:t xml:space="preserve"> between</w:t>
      </w:r>
      <w:r w:rsidRPr="00F7350E">
        <w:rPr>
          <w:rFonts w:cs="Arial"/>
          <w:b/>
          <w:color w:val="1D1D1B" w:themeColor="text1"/>
        </w:rPr>
        <w:t xml:space="preserve"> April</w:t>
      </w:r>
      <w:r>
        <w:rPr>
          <w:rFonts w:cs="Arial"/>
          <w:b/>
          <w:color w:val="1D1D1B" w:themeColor="text1"/>
        </w:rPr>
        <w:t xml:space="preserve"> 2021 and December 2021. </w:t>
      </w:r>
      <w:r w:rsidRPr="00925DF4">
        <w:rPr>
          <w:rFonts w:cs="Arial"/>
          <w:b/>
          <w:color w:val="1D1D1B" w:themeColor="text1"/>
        </w:rPr>
        <w:t>We are conducting the survey on behalf of the UK Government’s British Business Bank</w:t>
      </w:r>
      <w:r>
        <w:rPr>
          <w:rFonts w:cs="Arial"/>
          <w:b/>
          <w:color w:val="1D1D1B" w:themeColor="text1"/>
        </w:rPr>
        <w:t xml:space="preserve">. </w:t>
      </w:r>
      <w:r>
        <w:rPr>
          <w:rFonts w:cs="Arial"/>
        </w:rPr>
        <w:tab/>
      </w:r>
    </w:p>
    <w:p w14:paraId="4E5C40E9" w14:textId="77777777" w:rsidR="006E0879" w:rsidRPr="00925DF4" w:rsidRDefault="006E0879" w:rsidP="006E0879">
      <w:pPr>
        <w:rPr>
          <w:rFonts w:cs="Arial"/>
          <w:color w:val="FF0000"/>
        </w:rPr>
      </w:pPr>
      <w:r w:rsidRPr="00925DF4">
        <w:rPr>
          <w:rFonts w:cs="Arial"/>
          <w:color w:val="FF0000"/>
        </w:rPr>
        <w:t>SHOW IF CONTROL</w:t>
      </w:r>
    </w:p>
    <w:p w14:paraId="4432FD97" w14:textId="77777777" w:rsidR="006E0879" w:rsidRPr="00925DF4" w:rsidRDefault="006E0879" w:rsidP="006E0879">
      <w:pPr>
        <w:rPr>
          <w:rFonts w:cs="Arial"/>
          <w:color w:val="1D1D1B" w:themeColor="text1"/>
        </w:rPr>
      </w:pPr>
      <w:r w:rsidRPr="00925DF4">
        <w:rPr>
          <w:rFonts w:cs="Arial"/>
          <w:bCs/>
          <w:color w:val="FF0000"/>
        </w:rPr>
        <w:t>READ OUT IF CATI ONLY</w:t>
      </w:r>
    </w:p>
    <w:p w14:paraId="7337669D" w14:textId="77777777" w:rsidR="006E0879" w:rsidRDefault="006E0879" w:rsidP="006E0879">
      <w:pPr>
        <w:rPr>
          <w:rFonts w:cs="Arial"/>
          <w:b/>
          <w:color w:val="1D1D1B" w:themeColor="text1"/>
        </w:rPr>
      </w:pPr>
      <w:r w:rsidRPr="00925DF4">
        <w:rPr>
          <w:rFonts w:cs="Arial"/>
          <w:b/>
          <w:color w:val="1D1D1B" w:themeColor="text1"/>
        </w:rPr>
        <w:t>It’s XX calling from Ipsos</w:t>
      </w:r>
      <w:r>
        <w:rPr>
          <w:rFonts w:cs="Arial"/>
          <w:b/>
          <w:color w:val="1D1D1B" w:themeColor="text1"/>
        </w:rPr>
        <w:t>,</w:t>
      </w:r>
      <w:r w:rsidRPr="00925DF4">
        <w:rPr>
          <w:rFonts w:cs="Arial"/>
          <w:b/>
          <w:color w:val="1D1D1B" w:themeColor="text1"/>
        </w:rPr>
        <w:t xml:space="preserve"> an independent research organisation. Your business has been selected to take part in a survey we are conducting on behalf of the UK Government’s British Business Ban</w:t>
      </w:r>
      <w:r>
        <w:rPr>
          <w:rFonts w:cs="Arial"/>
          <w:b/>
          <w:color w:val="1D1D1B" w:themeColor="text1"/>
        </w:rPr>
        <w:t xml:space="preserve">k. </w:t>
      </w:r>
    </w:p>
    <w:p w14:paraId="69B08A4C" w14:textId="3F9B0557" w:rsidR="006E0879" w:rsidRPr="0042457C" w:rsidRDefault="006E0879" w:rsidP="006E0879">
      <w:pPr>
        <w:rPr>
          <w:rFonts w:cs="Arial"/>
          <w:b/>
          <w:color w:val="FF0000"/>
        </w:rPr>
      </w:pPr>
      <w:r w:rsidRPr="00433198">
        <w:rPr>
          <w:rFonts w:cs="Arial"/>
          <w:b/>
          <w:color w:val="FF0000"/>
        </w:rPr>
        <w:t xml:space="preserve">WEB INTRO SCREEN 1: </w:t>
      </w:r>
    </w:p>
    <w:p w14:paraId="57808205" w14:textId="6679CE45" w:rsidR="006E0879" w:rsidRPr="00C31D26" w:rsidRDefault="006E0879" w:rsidP="006E0879">
      <w:pPr>
        <w:rPr>
          <w:rFonts w:cs="Arial"/>
          <w:b/>
          <w:color w:val="FF0000"/>
        </w:rPr>
      </w:pPr>
      <w:r>
        <w:rPr>
          <w:rFonts w:cs="Arial"/>
          <w:b/>
          <w:color w:val="FF0000"/>
        </w:rPr>
        <w:t>SHOW IF LOAN</w:t>
      </w:r>
      <w:r w:rsidRPr="0042457C">
        <w:rPr>
          <w:rFonts w:cs="Arial"/>
          <w:b/>
          <w:color w:val="FF0000"/>
        </w:rPr>
        <w:t xml:space="preserve">: </w:t>
      </w:r>
    </w:p>
    <w:p w14:paraId="081C69A5" w14:textId="76DB4AB7" w:rsidR="006E0879" w:rsidRPr="00C31D26" w:rsidRDefault="006E0879" w:rsidP="006E0879">
      <w:pPr>
        <w:rPr>
          <w:rFonts w:cs="Arial"/>
          <w:b/>
        </w:rPr>
      </w:pPr>
      <w:r w:rsidRPr="0042457C">
        <w:rPr>
          <w:rFonts w:cs="Arial"/>
          <w:b/>
        </w:rPr>
        <w:t>Thank you for part</w:t>
      </w:r>
      <w:r>
        <w:rPr>
          <w:rFonts w:cs="Arial"/>
          <w:b/>
        </w:rPr>
        <w:t xml:space="preserve"> in this survey. Your business has been selected to take part in the survey because you applied for external finance from the Recovery Loan Scheme. </w:t>
      </w:r>
      <w:r w:rsidRPr="00283223">
        <w:rPr>
          <w:rFonts w:cs="Arial"/>
          <w:b/>
          <w:color w:val="1D1D1B" w:themeColor="text1"/>
        </w:rPr>
        <w:t>The Recovery Loan Scheme</w:t>
      </w:r>
      <w:r>
        <w:rPr>
          <w:rFonts w:cs="Arial"/>
          <w:b/>
          <w:color w:val="1D1D1B" w:themeColor="text1"/>
        </w:rPr>
        <w:t xml:space="preserve"> was a scheme launched by the government in April 2021 to provide financial support to businesses across the UK as they recovered and grew following the pandemic. </w:t>
      </w:r>
      <w:r w:rsidRPr="00925DF4">
        <w:rPr>
          <w:rFonts w:cs="Arial"/>
          <w:b/>
          <w:color w:val="1D1D1B" w:themeColor="text1"/>
        </w:rPr>
        <w:t>We are conducting the survey on behalf of the UK Government’s British Business Bank</w:t>
      </w:r>
      <w:r>
        <w:rPr>
          <w:rFonts w:cs="Arial"/>
          <w:b/>
          <w:color w:val="1D1D1B" w:themeColor="text1"/>
        </w:rPr>
        <w:t>.</w:t>
      </w:r>
    </w:p>
    <w:p w14:paraId="32DF79C1" w14:textId="55B05725" w:rsidR="006E0879" w:rsidRPr="00C31D26" w:rsidRDefault="006E0879" w:rsidP="006E0879">
      <w:pPr>
        <w:rPr>
          <w:rFonts w:cs="Arial"/>
          <w:b/>
          <w:color w:val="FF0000"/>
        </w:rPr>
      </w:pPr>
      <w:r>
        <w:rPr>
          <w:rFonts w:cs="Arial"/>
          <w:b/>
          <w:color w:val="FF0000"/>
        </w:rPr>
        <w:t>SHOW IF CONTROL</w:t>
      </w:r>
      <w:r w:rsidRPr="00AF6127">
        <w:rPr>
          <w:rFonts w:cs="Arial"/>
          <w:b/>
          <w:color w:val="FF0000"/>
        </w:rPr>
        <w:t xml:space="preserve">: </w:t>
      </w:r>
    </w:p>
    <w:p w14:paraId="424EABD1" w14:textId="77777777" w:rsidR="006E0879" w:rsidRDefault="006E0879" w:rsidP="006E0879">
      <w:pPr>
        <w:rPr>
          <w:rFonts w:cs="Arial"/>
          <w:b/>
          <w:color w:val="1D1D1B" w:themeColor="text1"/>
        </w:rPr>
      </w:pPr>
      <w:r w:rsidRPr="00AF6127">
        <w:rPr>
          <w:rFonts w:cs="Arial"/>
          <w:b/>
        </w:rPr>
        <w:t>Thank you for part</w:t>
      </w:r>
      <w:r>
        <w:rPr>
          <w:rFonts w:cs="Arial"/>
          <w:b/>
        </w:rPr>
        <w:t xml:space="preserve"> in this survey. </w:t>
      </w:r>
      <w:r w:rsidRPr="00925DF4">
        <w:rPr>
          <w:rFonts w:cs="Arial"/>
          <w:b/>
          <w:color w:val="1D1D1B" w:themeColor="text1"/>
        </w:rPr>
        <w:t>Your business has been selected to take part in a survey we are conducting on behalf of the UK Government’s British Business Ban</w:t>
      </w:r>
      <w:r>
        <w:rPr>
          <w:rFonts w:cs="Arial"/>
          <w:b/>
          <w:color w:val="1D1D1B" w:themeColor="text1"/>
        </w:rPr>
        <w:t>k.</w:t>
      </w:r>
    </w:p>
    <w:p w14:paraId="69B85D07" w14:textId="4DE3884B" w:rsidR="006E0879" w:rsidRPr="00C31D26" w:rsidRDefault="006E0879" w:rsidP="006E0879">
      <w:pPr>
        <w:rPr>
          <w:rFonts w:cs="Arial"/>
          <w:b/>
          <w:color w:val="1D1D1B" w:themeColor="text1"/>
        </w:rPr>
      </w:pPr>
      <w:r w:rsidRPr="00AF6127">
        <w:rPr>
          <w:rFonts w:cs="Arial"/>
          <w:b/>
          <w:color w:val="FF0000"/>
        </w:rPr>
        <w:t>INTRO SCREEN</w:t>
      </w:r>
      <w:r>
        <w:rPr>
          <w:rFonts w:cs="Arial"/>
          <w:b/>
          <w:color w:val="FF0000"/>
        </w:rPr>
        <w:t xml:space="preserve"> 2 (CATI and WEB):</w:t>
      </w:r>
    </w:p>
    <w:p w14:paraId="60D5C496" w14:textId="77777777" w:rsidR="006E0879" w:rsidRDefault="006E0879" w:rsidP="006E0879">
      <w:pPr>
        <w:rPr>
          <w:rFonts w:cs="Arial"/>
          <w:b/>
          <w:color w:val="1D1D1B" w:themeColor="text1"/>
        </w:rPr>
      </w:pPr>
      <w:r w:rsidRPr="00925DF4">
        <w:rPr>
          <w:rFonts w:cs="Arial"/>
          <w:color w:val="FF0000"/>
        </w:rPr>
        <w:t>SHOW</w:t>
      </w:r>
      <w:r>
        <w:rPr>
          <w:rFonts w:cs="Arial"/>
          <w:color w:val="FF0000"/>
        </w:rPr>
        <w:t xml:space="preserve"> ALL</w:t>
      </w:r>
    </w:p>
    <w:p w14:paraId="4C0BA9E0" w14:textId="3DA52E02" w:rsidR="006E0879" w:rsidRPr="00925DF4" w:rsidRDefault="006E0879" w:rsidP="006E0879">
      <w:pPr>
        <w:rPr>
          <w:rFonts w:cs="Arial"/>
          <w:b/>
          <w:color w:val="1D1D1B" w:themeColor="text1"/>
        </w:rPr>
      </w:pPr>
      <w:r>
        <w:rPr>
          <w:rFonts w:cs="Arial"/>
          <w:b/>
          <w:color w:val="1D1D1B" w:themeColor="text1"/>
        </w:rPr>
        <w:t xml:space="preserve">As part of this study, we are working with consultancy London Economics who are conducting an economic impact analysis of the Recovery Loan Scheme. They may match some of your survey answers to information about your business for statistical analysis purposes only. At no point would your business be identified in any reporting of this analysis. </w:t>
      </w:r>
    </w:p>
    <w:p w14:paraId="7680E1E5" w14:textId="77777777" w:rsidR="006E0879" w:rsidRPr="00925DF4" w:rsidRDefault="006E0879" w:rsidP="006E0879">
      <w:pPr>
        <w:tabs>
          <w:tab w:val="left" w:pos="3290"/>
        </w:tabs>
        <w:rPr>
          <w:rFonts w:cs="Arial"/>
          <w:bCs/>
          <w:color w:val="FF0000"/>
        </w:rPr>
      </w:pPr>
      <w:r w:rsidRPr="00925DF4">
        <w:rPr>
          <w:rFonts w:cs="Arial"/>
          <w:bCs/>
          <w:color w:val="FF0000"/>
        </w:rPr>
        <w:t>SHOW TO LOAN:</w:t>
      </w:r>
    </w:p>
    <w:p w14:paraId="0FA34168" w14:textId="498E15D8" w:rsidR="006E0879" w:rsidRPr="00925DF4" w:rsidRDefault="006E0879" w:rsidP="006E0879">
      <w:pPr>
        <w:rPr>
          <w:rFonts w:cs="Arial"/>
          <w:b/>
          <w:color w:val="1D1D1B" w:themeColor="text1"/>
        </w:rPr>
      </w:pPr>
      <w:r w:rsidRPr="00925DF4">
        <w:rPr>
          <w:rFonts w:cs="Arial"/>
          <w:b/>
          <w:color w:val="1D1D1B" w:themeColor="text1"/>
        </w:rPr>
        <w:t xml:space="preserve">The survey should take around </w:t>
      </w:r>
      <w:r>
        <w:rPr>
          <w:rFonts w:cs="Arial"/>
          <w:b/>
          <w:color w:val="1D1D1B" w:themeColor="text1"/>
        </w:rPr>
        <w:t>15</w:t>
      </w:r>
      <w:r w:rsidRPr="00925DF4">
        <w:rPr>
          <w:rFonts w:cs="Arial"/>
          <w:b/>
          <w:color w:val="1D1D1B" w:themeColor="text1"/>
        </w:rPr>
        <w:t xml:space="preserve"> minutes to complete. You will be asked questions about your business, your use of different forms of finance, the impact of </w:t>
      </w:r>
      <w:r w:rsidRPr="00925DF4">
        <w:rPr>
          <w:rFonts w:cs="Arial"/>
          <w:b/>
        </w:rPr>
        <w:t>Covid-19</w:t>
      </w:r>
      <w:r w:rsidRPr="00925DF4">
        <w:rPr>
          <w:rFonts w:cs="Arial"/>
          <w:b/>
          <w:color w:val="1D1D1B" w:themeColor="text1"/>
        </w:rPr>
        <w:t>,</w:t>
      </w:r>
      <w:r>
        <w:rPr>
          <w:rFonts w:cs="Arial"/>
          <w:b/>
          <w:color w:val="1D1D1B" w:themeColor="text1"/>
        </w:rPr>
        <w:t xml:space="preserve"> the Recovery Loan Scheme</w:t>
      </w:r>
      <w:r w:rsidRPr="00925DF4">
        <w:rPr>
          <w:rFonts w:cs="Arial"/>
          <w:b/>
          <w:color w:val="1D1D1B" w:themeColor="text1"/>
        </w:rPr>
        <w:t xml:space="preserve">, its impact on your business, the market(s) in which you operate and general business factors. </w:t>
      </w:r>
    </w:p>
    <w:p w14:paraId="0510F446" w14:textId="77777777" w:rsidR="006E0879" w:rsidRPr="00925DF4" w:rsidRDefault="006E0879" w:rsidP="006E0879">
      <w:pPr>
        <w:rPr>
          <w:rFonts w:cs="Arial"/>
          <w:bCs/>
          <w:color w:val="FF0000"/>
        </w:rPr>
      </w:pPr>
      <w:r w:rsidRPr="00925DF4">
        <w:rPr>
          <w:rFonts w:cs="Arial"/>
          <w:bCs/>
          <w:color w:val="FF0000"/>
        </w:rPr>
        <w:t>SHOW TO CONTRO</w:t>
      </w:r>
      <w:r>
        <w:rPr>
          <w:rFonts w:cs="Arial"/>
          <w:bCs/>
          <w:color w:val="FF0000"/>
        </w:rPr>
        <w:t>L</w:t>
      </w:r>
      <w:r w:rsidRPr="00925DF4">
        <w:rPr>
          <w:rFonts w:cs="Arial"/>
          <w:bCs/>
          <w:color w:val="FF0000"/>
        </w:rPr>
        <w:t>:</w:t>
      </w:r>
    </w:p>
    <w:p w14:paraId="6CC56A3F" w14:textId="555809A1" w:rsidR="006E0879" w:rsidRPr="00925DF4" w:rsidRDefault="006E0879" w:rsidP="006E0879">
      <w:pPr>
        <w:rPr>
          <w:rFonts w:cs="Arial"/>
          <w:b/>
          <w:color w:val="1D1D1B" w:themeColor="text1"/>
        </w:rPr>
      </w:pPr>
      <w:r w:rsidRPr="00925DF4">
        <w:rPr>
          <w:rFonts w:cs="Arial"/>
          <w:b/>
          <w:color w:val="1D1D1B" w:themeColor="text1"/>
        </w:rPr>
        <w:t xml:space="preserve">The survey should take around </w:t>
      </w:r>
      <w:r>
        <w:rPr>
          <w:rFonts w:cs="Arial"/>
          <w:b/>
          <w:color w:val="1D1D1B" w:themeColor="text1"/>
        </w:rPr>
        <w:t>10</w:t>
      </w:r>
      <w:r w:rsidRPr="00925DF4">
        <w:rPr>
          <w:rFonts w:cs="Arial"/>
          <w:b/>
          <w:color w:val="1D1D1B" w:themeColor="text1"/>
        </w:rPr>
        <w:t xml:space="preserve"> minutes to complete. You will be asked questions about your business, the impact of </w:t>
      </w:r>
      <w:r w:rsidRPr="00925DF4">
        <w:rPr>
          <w:rFonts w:cs="Arial"/>
          <w:b/>
        </w:rPr>
        <w:t>Covid-19</w:t>
      </w:r>
      <w:r w:rsidRPr="00925DF4">
        <w:rPr>
          <w:rFonts w:cs="Arial"/>
          <w:b/>
          <w:color w:val="1D1D1B" w:themeColor="text1"/>
        </w:rPr>
        <w:t xml:space="preserve">, the market(s) in which you operate and general business factors. </w:t>
      </w:r>
    </w:p>
    <w:p w14:paraId="426783F5" w14:textId="79362CB1" w:rsidR="006E0879" w:rsidRPr="00C31D26" w:rsidRDefault="006E0879" w:rsidP="00C31D26">
      <w:pPr>
        <w:spacing w:after="160" w:line="259" w:lineRule="auto"/>
        <w:rPr>
          <w:rFonts w:cs="Arial"/>
          <w:color w:val="FF0000"/>
        </w:rPr>
      </w:pPr>
      <w:r w:rsidRPr="00925DF4">
        <w:rPr>
          <w:rFonts w:cs="Arial"/>
          <w:color w:val="FF0000"/>
        </w:rPr>
        <w:t>[SCREEN 2]</w:t>
      </w:r>
    </w:p>
    <w:p w14:paraId="25FDFEF3" w14:textId="77558620" w:rsidR="006E0879" w:rsidRPr="00925DF4" w:rsidRDefault="006E0879" w:rsidP="006E0879">
      <w:pPr>
        <w:rPr>
          <w:rFonts w:cs="Arial"/>
          <w:b/>
          <w:color w:val="1D1D1B" w:themeColor="text1"/>
        </w:rPr>
      </w:pPr>
      <w:r w:rsidRPr="00925DF4">
        <w:rPr>
          <w:rFonts w:cs="Arial"/>
          <w:b/>
          <w:color w:val="1D1D1B" w:themeColor="text1"/>
        </w:rPr>
        <w:t>[</w:t>
      </w:r>
      <w:r w:rsidRPr="00925DF4">
        <w:rPr>
          <w:rFonts w:cs="Arial"/>
          <w:bCs/>
          <w:color w:val="FF0000"/>
        </w:rPr>
        <w:t xml:space="preserve">CATI: </w:t>
      </w:r>
      <w:r w:rsidRPr="00925DF4">
        <w:rPr>
          <w:rFonts w:cs="Arial"/>
          <w:b/>
          <w:color w:val="1D1D1B" w:themeColor="text1"/>
        </w:rPr>
        <w:t>I] [</w:t>
      </w:r>
      <w:r w:rsidRPr="00925DF4">
        <w:rPr>
          <w:rFonts w:cs="Arial"/>
          <w:bCs/>
          <w:color w:val="FF0000"/>
        </w:rPr>
        <w:t xml:space="preserve">WEB: </w:t>
      </w:r>
      <w:r w:rsidRPr="00925DF4">
        <w:rPr>
          <w:rFonts w:cs="Arial"/>
          <w:b/>
          <w:color w:val="1D1D1B" w:themeColor="text1"/>
        </w:rPr>
        <w:t xml:space="preserve">We] can reassure you that your answers and other information you provide will be treated in the strictest confidence and answers will not be attributed to you or your </w:t>
      </w:r>
      <w:r w:rsidRPr="00925DF4">
        <w:rPr>
          <w:rFonts w:cs="Arial"/>
          <w:b/>
          <w:bCs/>
        </w:rPr>
        <w:t>business</w:t>
      </w:r>
      <w:r w:rsidRPr="00925DF4">
        <w:rPr>
          <w:rFonts w:cs="Arial"/>
          <w:b/>
          <w:color w:val="1D1D1B" w:themeColor="text1"/>
        </w:rPr>
        <w:t xml:space="preserve"> in the data we pass on to the British Business Bank unless you give explicit permission to do so.</w:t>
      </w:r>
      <w:r>
        <w:rPr>
          <w:rFonts w:cs="Arial"/>
          <w:b/>
          <w:color w:val="1D1D1B" w:themeColor="text1"/>
        </w:rPr>
        <w:t xml:space="preserve"> </w:t>
      </w:r>
      <w:r w:rsidRPr="00925DF4">
        <w:rPr>
          <w:rFonts w:cs="Arial"/>
          <w:b/>
          <w:color w:val="1D1D1B" w:themeColor="text1"/>
        </w:rPr>
        <w:t>Anonymised findings from the survey will be published on the British Business Ban</w:t>
      </w:r>
      <w:r>
        <w:rPr>
          <w:rFonts w:cs="Arial"/>
          <w:b/>
          <w:color w:val="1D1D1B" w:themeColor="text1"/>
        </w:rPr>
        <w:t>k website</w:t>
      </w:r>
      <w:r w:rsidRPr="00925DF4">
        <w:rPr>
          <w:rFonts w:cs="Arial"/>
          <w:b/>
          <w:color w:val="1D1D1B" w:themeColor="text1"/>
        </w:rPr>
        <w:t xml:space="preserve">. </w:t>
      </w:r>
    </w:p>
    <w:p w14:paraId="24890F06" w14:textId="77858138" w:rsidR="006E0879" w:rsidRPr="00925DF4" w:rsidRDefault="006E0879" w:rsidP="006E0879">
      <w:pPr>
        <w:rPr>
          <w:rFonts w:cs="Arial"/>
          <w:b/>
          <w:color w:val="FF0000"/>
        </w:rPr>
      </w:pPr>
      <w:r w:rsidRPr="00925DF4">
        <w:rPr>
          <w:rFonts w:cs="Arial"/>
          <w:b/>
          <w:color w:val="1D1D1B" w:themeColor="text1"/>
        </w:rPr>
        <w:t>IF NECESSARY/</w:t>
      </w:r>
      <w:r w:rsidRPr="00925DF4">
        <w:rPr>
          <w:rFonts w:cs="Arial"/>
          <w:color w:val="FF0000"/>
        </w:rPr>
        <w:t>INFO BUTTON FOR ONLINE SURVEY:</w:t>
      </w:r>
      <w:r w:rsidRPr="00925DF4">
        <w:rPr>
          <w:rFonts w:cs="Arial"/>
          <w:b/>
          <w:color w:val="FF0000"/>
        </w:rPr>
        <w:t xml:space="preserve"> </w:t>
      </w:r>
    </w:p>
    <w:p w14:paraId="3912247C" w14:textId="77777777" w:rsidR="006E0879" w:rsidRPr="00925DF4" w:rsidRDefault="006E0879" w:rsidP="006E0879">
      <w:pPr>
        <w:rPr>
          <w:rFonts w:cs="Arial"/>
          <w:b/>
          <w:color w:val="1D1D1B" w:themeColor="text1"/>
        </w:rPr>
      </w:pPr>
      <w:r w:rsidRPr="00925DF4">
        <w:rPr>
          <w:rFonts w:cs="Arial"/>
          <w:b/>
          <w:color w:val="1D1D1B" w:themeColor="text1"/>
        </w:rPr>
        <w:t>The British Business Bank is the UK government’s economic development bank. Established in 2014, its mission is to make finance markets for smaller businesses work more effectively, enabling those businesses to prosper, grow and build UK economic activity. Its remit is to design, deliver and efficiently manage UK-wide smaller businesses’ access to finance programmes for the UK government.</w:t>
      </w:r>
    </w:p>
    <w:p w14:paraId="5FF3C331" w14:textId="115A00DC" w:rsidR="006E0879" w:rsidRPr="00C31D26" w:rsidRDefault="006E0879" w:rsidP="006E0879">
      <w:pPr>
        <w:rPr>
          <w:rFonts w:cs="Arial"/>
          <w:b/>
          <w:color w:val="1D1D1B" w:themeColor="text1"/>
        </w:rPr>
      </w:pPr>
      <w:r w:rsidRPr="00925DF4">
        <w:rPr>
          <w:rFonts w:cs="Arial"/>
          <w:b/>
          <w:color w:val="1D1D1B" w:themeColor="text1"/>
        </w:rPr>
        <w:t xml:space="preserve">This survey will inform how the Bank can help businesses learn about and access finance more easily.  </w:t>
      </w:r>
    </w:p>
    <w:p w14:paraId="259428DC" w14:textId="77777777" w:rsidR="006E0879" w:rsidRPr="00925DF4" w:rsidRDefault="006E0879" w:rsidP="006E0879">
      <w:pPr>
        <w:rPr>
          <w:rFonts w:cs="Arial"/>
          <w:color w:val="FF0000"/>
        </w:rPr>
      </w:pPr>
      <w:r w:rsidRPr="00925DF4">
        <w:rPr>
          <w:rFonts w:cs="Arial"/>
          <w:color w:val="FF0000"/>
        </w:rPr>
        <w:t>REASSURANCES IF NECESSARY:</w:t>
      </w:r>
    </w:p>
    <w:p w14:paraId="3FF055A4" w14:textId="77777777" w:rsidR="006E0879" w:rsidRPr="00925DF4" w:rsidRDefault="006E0879" w:rsidP="006E0879">
      <w:pPr>
        <w:pStyle w:val="ListParagraph"/>
        <w:numPr>
          <w:ilvl w:val="0"/>
          <w:numId w:val="17"/>
        </w:numPr>
        <w:spacing w:after="0" w:line="240" w:lineRule="auto"/>
        <w:rPr>
          <w:b/>
          <w:bCs/>
          <w:color w:val="1D1D1B" w:themeColor="text1"/>
          <w:szCs w:val="20"/>
        </w:rPr>
      </w:pPr>
      <w:r w:rsidRPr="00925DF4">
        <w:rPr>
          <w:bCs/>
          <w:color w:val="FF0000"/>
        </w:rPr>
        <w:t>SHOW FOR LOAN RECIPIENTS</w:t>
      </w:r>
      <w:r>
        <w:rPr>
          <w:bCs/>
          <w:color w:val="FF0000"/>
        </w:rPr>
        <w:t>:</w:t>
      </w:r>
      <w:r w:rsidRPr="00925DF4">
        <w:rPr>
          <w:bCs/>
          <w:color w:val="FF0000"/>
        </w:rPr>
        <w:t xml:space="preserve"> </w:t>
      </w:r>
      <w:r w:rsidRPr="00925DF4">
        <w:rPr>
          <w:b/>
          <w:bCs/>
          <w:color w:val="1D1D1B" w:themeColor="text1"/>
        </w:rPr>
        <w:t>Your business has been selected at random from the list of</w:t>
      </w:r>
      <w:r>
        <w:rPr>
          <w:b/>
          <w:bCs/>
          <w:color w:val="1D1D1B" w:themeColor="text1"/>
        </w:rPr>
        <w:t xml:space="preserve"> Recovery Loan Scheme</w:t>
      </w:r>
      <w:r w:rsidRPr="00925DF4">
        <w:rPr>
          <w:b/>
          <w:bCs/>
          <w:color w:val="1D1D1B" w:themeColor="text1"/>
        </w:rPr>
        <w:t xml:space="preserve"> customers. </w:t>
      </w:r>
      <w:r w:rsidRPr="00925DF4">
        <w:rPr>
          <w:b/>
          <w:bCs/>
          <w:color w:val="1D1D1B" w:themeColor="text1"/>
          <w:szCs w:val="20"/>
        </w:rPr>
        <w:t>Your details were provided by your lender to the British Business Bank who manage the government-backed guarantee.</w:t>
      </w:r>
    </w:p>
    <w:p w14:paraId="021246A1" w14:textId="77777777" w:rsidR="006E0879" w:rsidRPr="00925DF4" w:rsidRDefault="006E0879" w:rsidP="006E0879">
      <w:pPr>
        <w:pStyle w:val="ListParagraph"/>
        <w:numPr>
          <w:ilvl w:val="0"/>
          <w:numId w:val="17"/>
        </w:numPr>
        <w:spacing w:after="0" w:line="240" w:lineRule="auto"/>
        <w:rPr>
          <w:b/>
          <w:bCs/>
          <w:color w:val="1D1D1B" w:themeColor="text1"/>
          <w:szCs w:val="20"/>
        </w:rPr>
      </w:pPr>
      <w:r w:rsidRPr="00925DF4">
        <w:rPr>
          <w:bCs/>
          <w:color w:val="FF0000"/>
          <w:szCs w:val="20"/>
        </w:rPr>
        <w:t>SHOW FOR CONTROL:</w:t>
      </w:r>
      <w:r w:rsidRPr="00925DF4">
        <w:rPr>
          <w:b/>
          <w:bCs/>
          <w:color w:val="FF0000"/>
          <w:szCs w:val="20"/>
        </w:rPr>
        <w:t xml:space="preserve"> </w:t>
      </w:r>
      <w:r w:rsidRPr="00925DF4">
        <w:rPr>
          <w:b/>
          <w:bCs/>
          <w:color w:val="1D1D1B" w:themeColor="text1"/>
          <w:szCs w:val="20"/>
        </w:rPr>
        <w:t xml:space="preserve">Your business has been selected at random from </w:t>
      </w:r>
      <w:r w:rsidRPr="00925DF4">
        <w:rPr>
          <w:bCs/>
          <w:color w:val="1D1D1B" w:themeColor="text1"/>
          <w:szCs w:val="20"/>
        </w:rPr>
        <w:t xml:space="preserve">[D&amp;B sample:] </w:t>
      </w:r>
      <w:r w:rsidRPr="00925DF4">
        <w:rPr>
          <w:b/>
          <w:bCs/>
          <w:color w:val="1D1D1B" w:themeColor="text1"/>
          <w:szCs w:val="20"/>
        </w:rPr>
        <w:t xml:space="preserve">Dun and Bradstreet, </w:t>
      </w:r>
      <w:r w:rsidRPr="00925DF4">
        <w:rPr>
          <w:b/>
          <w:color w:val="1D1D1B" w:themeColor="text1"/>
          <w:szCs w:val="20"/>
        </w:rPr>
        <w:t xml:space="preserve">a commercial business database </w:t>
      </w:r>
      <w:r w:rsidRPr="00925DF4">
        <w:rPr>
          <w:color w:val="1D1D1B" w:themeColor="text1"/>
          <w:szCs w:val="20"/>
        </w:rPr>
        <w:t>[</w:t>
      </w:r>
      <w:r>
        <w:rPr>
          <w:color w:val="1D1D1B" w:themeColor="text1"/>
          <w:szCs w:val="20"/>
        </w:rPr>
        <w:t>Market Location</w:t>
      </w:r>
      <w:r w:rsidRPr="00925DF4">
        <w:rPr>
          <w:color w:val="1D1D1B" w:themeColor="text1"/>
          <w:szCs w:val="20"/>
        </w:rPr>
        <w:t xml:space="preserve"> sample]:</w:t>
      </w:r>
      <w:r w:rsidRPr="00925DF4">
        <w:rPr>
          <w:b/>
          <w:color w:val="1D1D1B" w:themeColor="text1"/>
          <w:szCs w:val="20"/>
        </w:rPr>
        <w:t xml:space="preserve"> </w:t>
      </w:r>
      <w:r>
        <w:rPr>
          <w:b/>
          <w:color w:val="1D1D1B" w:themeColor="text1"/>
          <w:szCs w:val="20"/>
        </w:rPr>
        <w:t>Market Location, a commercial business database.</w:t>
      </w:r>
    </w:p>
    <w:p w14:paraId="122C3DFF" w14:textId="77777777" w:rsidR="006E0879" w:rsidRPr="00925DF4" w:rsidRDefault="006E0879" w:rsidP="006E0879">
      <w:pPr>
        <w:pStyle w:val="ListParagraph"/>
        <w:numPr>
          <w:ilvl w:val="0"/>
          <w:numId w:val="17"/>
        </w:numPr>
        <w:spacing w:after="0" w:line="240" w:lineRule="auto"/>
        <w:rPr>
          <w:b/>
          <w:color w:val="1D1D1B" w:themeColor="text1"/>
          <w:szCs w:val="20"/>
        </w:rPr>
      </w:pPr>
      <w:r w:rsidRPr="00925DF4">
        <w:rPr>
          <w:bCs/>
          <w:color w:val="FF0000"/>
        </w:rPr>
        <w:t xml:space="preserve">SHOW FOR ALL: </w:t>
      </w:r>
      <w:r w:rsidRPr="00925DF4">
        <w:rPr>
          <w:b/>
          <w:color w:val="1D1D1B" w:themeColor="text1"/>
          <w:szCs w:val="20"/>
        </w:rPr>
        <w:t>We work strictly within the Market Research Society Code of Conduct.</w:t>
      </w:r>
    </w:p>
    <w:p w14:paraId="46531942" w14:textId="77777777" w:rsidR="006E0879" w:rsidRPr="00925DF4" w:rsidRDefault="006E0879" w:rsidP="006E0879">
      <w:pPr>
        <w:pStyle w:val="ListParagraph"/>
        <w:numPr>
          <w:ilvl w:val="0"/>
          <w:numId w:val="17"/>
        </w:numPr>
        <w:spacing w:after="0" w:line="240" w:lineRule="auto"/>
        <w:rPr>
          <w:b/>
          <w:bCs/>
          <w:color w:val="1D1D1B" w:themeColor="text1"/>
          <w:szCs w:val="20"/>
        </w:rPr>
      </w:pPr>
      <w:r w:rsidRPr="00925DF4">
        <w:rPr>
          <w:bCs/>
          <w:color w:val="FF0000"/>
          <w:szCs w:val="20"/>
        </w:rPr>
        <w:t xml:space="preserve">SHOW FOR ALL: </w:t>
      </w:r>
      <w:r w:rsidRPr="00925DF4">
        <w:rPr>
          <w:b/>
          <w:bCs/>
          <w:color w:val="1D1D1B" w:themeColor="text1"/>
          <w:szCs w:val="20"/>
        </w:rPr>
        <w:t xml:space="preserve">British Business Bank is interested in the views of all different types of businesses. </w:t>
      </w:r>
    </w:p>
    <w:p w14:paraId="7CFCDD9A" w14:textId="77777777" w:rsidR="006E0879" w:rsidRPr="00095BB2" w:rsidRDefault="006E0879" w:rsidP="006E0879">
      <w:pPr>
        <w:pStyle w:val="ListParagraph"/>
        <w:numPr>
          <w:ilvl w:val="0"/>
          <w:numId w:val="17"/>
        </w:numPr>
        <w:spacing w:after="0" w:line="240" w:lineRule="auto"/>
        <w:rPr>
          <w:b/>
          <w:bCs/>
          <w:color w:val="1D1D1B" w:themeColor="text1"/>
          <w:szCs w:val="20"/>
        </w:rPr>
      </w:pPr>
      <w:r w:rsidRPr="00925DF4">
        <w:rPr>
          <w:bCs/>
          <w:color w:val="FF0000"/>
          <w:szCs w:val="20"/>
        </w:rPr>
        <w:t xml:space="preserve">SHOW FOR ALL: </w:t>
      </w:r>
      <w:r w:rsidRPr="00095BB2">
        <w:rPr>
          <w:b/>
          <w:bCs/>
          <w:color w:val="1D1D1B" w:themeColor="text1"/>
          <w:szCs w:val="20"/>
        </w:rPr>
        <w:t xml:space="preserve">We need to CATI: talk to WEB: survey a wide range of </w:t>
      </w:r>
      <w:r w:rsidRPr="00095BB2">
        <w:rPr>
          <w:b/>
          <w:bCs/>
        </w:rPr>
        <w:t>businesses</w:t>
      </w:r>
      <w:r w:rsidRPr="00095BB2">
        <w:rPr>
          <w:b/>
          <w:bCs/>
          <w:color w:val="1D1D1B" w:themeColor="text1"/>
          <w:szCs w:val="20"/>
        </w:rPr>
        <w:t xml:space="preserve"> in this survey and you will not be asked irrelevant questions.</w:t>
      </w:r>
    </w:p>
    <w:p w14:paraId="0BCE5AFA" w14:textId="77777777" w:rsidR="006E0879" w:rsidRPr="00095BB2" w:rsidRDefault="006E0879" w:rsidP="006E0879">
      <w:pPr>
        <w:pStyle w:val="ListParagraph"/>
        <w:numPr>
          <w:ilvl w:val="0"/>
          <w:numId w:val="17"/>
        </w:numPr>
        <w:spacing w:after="0" w:line="240" w:lineRule="auto"/>
        <w:rPr>
          <w:b/>
          <w:bCs/>
          <w:color w:val="1D1D1B" w:themeColor="text1"/>
          <w:szCs w:val="20"/>
        </w:rPr>
      </w:pPr>
      <w:r w:rsidRPr="00095BB2">
        <w:rPr>
          <w:bCs/>
          <w:color w:val="FF0000"/>
          <w:szCs w:val="20"/>
        </w:rPr>
        <w:t xml:space="preserve">SHOW FOR ALL: </w:t>
      </w:r>
      <w:r w:rsidRPr="00095BB2">
        <w:rPr>
          <w:b/>
          <w:bCs/>
          <w:color w:val="1D1D1B" w:themeColor="text1"/>
          <w:szCs w:val="20"/>
        </w:rPr>
        <w:t>The survey is not technical, and you don’t need any specific finance-related knowledge to take part.</w:t>
      </w:r>
    </w:p>
    <w:p w14:paraId="0684F061" w14:textId="77777777" w:rsidR="006E0879" w:rsidRPr="00095BB2" w:rsidRDefault="006E0879" w:rsidP="006E0879">
      <w:pPr>
        <w:pStyle w:val="ListParagraph"/>
        <w:numPr>
          <w:ilvl w:val="0"/>
          <w:numId w:val="17"/>
        </w:numPr>
        <w:spacing w:after="0" w:line="240" w:lineRule="auto"/>
        <w:rPr>
          <w:b/>
          <w:bCs/>
          <w:color w:val="1D1D1B" w:themeColor="text1"/>
          <w:szCs w:val="20"/>
        </w:rPr>
      </w:pPr>
      <w:r w:rsidRPr="00095BB2">
        <w:rPr>
          <w:bCs/>
          <w:color w:val="FF0000"/>
          <w:szCs w:val="20"/>
        </w:rPr>
        <w:t xml:space="preserve">SHOW FOR CATI ONLY: </w:t>
      </w:r>
      <w:r w:rsidRPr="00095BB2">
        <w:rPr>
          <w:b/>
          <w:bCs/>
          <w:color w:val="1D1D1B" w:themeColor="text1"/>
          <w:szCs w:val="20"/>
        </w:rPr>
        <w:t>We can share some of the questions with you by email, to help you find the right person to take part.</w:t>
      </w:r>
    </w:p>
    <w:p w14:paraId="35067E9F" w14:textId="1291C649" w:rsidR="006E0879" w:rsidRPr="00095BB2" w:rsidRDefault="006E0879" w:rsidP="006E0879">
      <w:pPr>
        <w:numPr>
          <w:ilvl w:val="0"/>
          <w:numId w:val="18"/>
        </w:numPr>
        <w:spacing w:after="0" w:line="240" w:lineRule="auto"/>
        <w:rPr>
          <w:rFonts w:cs="Arial"/>
          <w:b/>
          <w:color w:val="1D1D1B" w:themeColor="text1"/>
        </w:rPr>
      </w:pPr>
      <w:r w:rsidRPr="00095BB2">
        <w:rPr>
          <w:rFonts w:cs="Arial"/>
          <w:bCs/>
          <w:color w:val="FF0000"/>
        </w:rPr>
        <w:t xml:space="preserve">SHOW FOR ALL: </w:t>
      </w:r>
      <w:r w:rsidRPr="00095BB2">
        <w:rPr>
          <w:rFonts w:cs="Arial"/>
          <w:b/>
          <w:color w:val="1D1D1B" w:themeColor="text1"/>
        </w:rPr>
        <w:t>Should you wish to get verification on the survey, the contact at Ipsos is [Rob Sinclair</w:t>
      </w:r>
      <w:r w:rsidRPr="00095BB2">
        <w:rPr>
          <w:rFonts w:cs="Arial"/>
          <w:b/>
          <w:iCs/>
          <w:color w:val="1D1D1B" w:themeColor="text1"/>
        </w:rPr>
        <w:t xml:space="preserve">] </w:t>
      </w:r>
      <w:r w:rsidRPr="00095BB2">
        <w:rPr>
          <w:rFonts w:cs="Arial"/>
          <w:b/>
          <w:color w:val="1D1D1B" w:themeColor="text1"/>
        </w:rPr>
        <w:t xml:space="preserve">at </w:t>
      </w:r>
      <w:r w:rsidRPr="00095BB2">
        <w:rPr>
          <w:rFonts w:cs="Arial"/>
          <w:b/>
          <w:iCs/>
          <w:color w:val="1D1D1B" w:themeColor="text1"/>
        </w:rPr>
        <w:t>[</w:t>
      </w:r>
      <w:r w:rsidRPr="00095BB2">
        <w:rPr>
          <w:rFonts w:cs="Arial"/>
          <w:b/>
          <w:color w:val="1D1D1B" w:themeColor="text1"/>
        </w:rPr>
        <w:t>rob.sinclair@ipsos.com</w:t>
      </w:r>
      <w:r w:rsidRPr="00095BB2">
        <w:rPr>
          <w:rFonts w:cs="Arial"/>
          <w:b/>
          <w:iCs/>
          <w:color w:val="1D1D1B" w:themeColor="text1"/>
        </w:rPr>
        <w:t>]</w:t>
      </w:r>
      <w:r w:rsidRPr="00095BB2">
        <w:rPr>
          <w:rFonts w:cs="Arial"/>
          <w:b/>
          <w:color w:val="1D1D1B" w:themeColor="text1"/>
        </w:rPr>
        <w:t>, and the contact</w:t>
      </w:r>
      <w:r w:rsidRPr="00095BB2">
        <w:rPr>
          <w:rFonts w:cs="Arial"/>
          <w:b/>
          <w:color w:val="1D1D1B" w:themeColor="text1"/>
          <w:lang w:val="en-US"/>
        </w:rPr>
        <w:t xml:space="preserve"> at British Business Bank is </w:t>
      </w:r>
      <w:r w:rsidRPr="00095BB2">
        <w:rPr>
          <w:rFonts w:cs="Arial"/>
          <w:b/>
          <w:iCs/>
          <w:color w:val="1D1D1B" w:themeColor="text1"/>
        </w:rPr>
        <w:t xml:space="preserve">[Naren Mistry] </w:t>
      </w:r>
      <w:r w:rsidRPr="00095BB2">
        <w:rPr>
          <w:rFonts w:cs="Arial"/>
          <w:b/>
          <w:color w:val="1D1D1B" w:themeColor="text1"/>
        </w:rPr>
        <w:t xml:space="preserve">at </w:t>
      </w:r>
      <w:r w:rsidRPr="00095BB2">
        <w:rPr>
          <w:rFonts w:cs="Arial"/>
          <w:b/>
          <w:iCs/>
          <w:color w:val="1D1D1B" w:themeColor="text1"/>
        </w:rPr>
        <w:t>[</w:t>
      </w:r>
      <w:hyperlink r:id="rId42">
        <w:r w:rsidRPr="00095BB2">
          <w:rPr>
            <w:rStyle w:val="Hyperlink"/>
            <w:rFonts w:ascii="Arial" w:hAnsi="Arial" w:cs="Arial"/>
            <w:b/>
            <w:bCs/>
          </w:rPr>
          <w:t>naren.mistry@british-business-bank.co.uk</w:t>
        </w:r>
      </w:hyperlink>
      <w:r w:rsidRPr="00095BB2">
        <w:rPr>
          <w:rFonts w:cs="Arial"/>
          <w:b/>
          <w:iCs/>
          <w:color w:val="1D1D1B" w:themeColor="text1"/>
        </w:rPr>
        <w:t>]</w:t>
      </w:r>
      <w:r w:rsidRPr="00095BB2">
        <w:rPr>
          <w:rFonts w:cs="Arial"/>
          <w:b/>
          <w:color w:val="1D1D1B" w:themeColor="text1"/>
          <w:lang w:val="en-US"/>
        </w:rPr>
        <w:t>.</w:t>
      </w:r>
    </w:p>
    <w:p w14:paraId="55347B3E" w14:textId="6671E935" w:rsidR="006E0879" w:rsidRPr="00925DF4" w:rsidRDefault="006E0879" w:rsidP="006E0879">
      <w:pPr>
        <w:numPr>
          <w:ilvl w:val="0"/>
          <w:numId w:val="18"/>
        </w:numPr>
        <w:spacing w:after="0" w:line="240" w:lineRule="auto"/>
        <w:rPr>
          <w:rFonts w:cs="Arial"/>
          <w:b/>
          <w:color w:val="1D1D1B" w:themeColor="text1"/>
          <w:lang w:val="en-US"/>
        </w:rPr>
      </w:pPr>
      <w:r w:rsidRPr="00095BB2">
        <w:rPr>
          <w:rFonts w:cs="Arial"/>
          <w:bCs/>
          <w:color w:val="FF0000"/>
        </w:rPr>
        <w:t>SHOW FOR ALL:</w:t>
      </w:r>
      <w:r w:rsidRPr="00095BB2">
        <w:rPr>
          <w:rFonts w:cs="Arial"/>
          <w:b/>
          <w:color w:val="FF0000"/>
          <w:lang w:val="en-US"/>
        </w:rPr>
        <w:t xml:space="preserve"> </w:t>
      </w:r>
      <w:r w:rsidRPr="00095BB2">
        <w:rPr>
          <w:rFonts w:cs="Arial"/>
          <w:b/>
          <w:color w:val="1D1D1B" w:themeColor="text1"/>
          <w:lang w:val="en-US"/>
        </w:rPr>
        <w:t>Further information on British</w:t>
      </w:r>
      <w:r w:rsidRPr="00925DF4">
        <w:rPr>
          <w:rFonts w:cs="Arial"/>
          <w:b/>
          <w:color w:val="1D1D1B" w:themeColor="text1"/>
          <w:lang w:val="en-US"/>
        </w:rPr>
        <w:t xml:space="preserve"> Business Bank evaluations can be accessed online at </w:t>
      </w:r>
      <w:r w:rsidRPr="00925DF4">
        <w:rPr>
          <w:rFonts w:cs="Arial"/>
        </w:rPr>
        <w:t xml:space="preserve"> </w:t>
      </w:r>
      <w:hyperlink r:id="rId43" w:history="1">
        <w:r w:rsidRPr="00925DF4">
          <w:rPr>
            <w:rStyle w:val="Hyperlink"/>
            <w:rFonts w:ascii="Arial" w:hAnsi="Arial" w:cs="Arial"/>
          </w:rPr>
          <w:t>https://www.british-business-bank.co.uk/about-our-evaluations/</w:t>
        </w:r>
      </w:hyperlink>
    </w:p>
    <w:p w14:paraId="01052B6F" w14:textId="77777777" w:rsidR="000824F2" w:rsidRDefault="000824F2" w:rsidP="006E0879">
      <w:pPr>
        <w:spacing w:after="160" w:line="259" w:lineRule="auto"/>
        <w:rPr>
          <w:rFonts w:cs="Arial"/>
          <w:color w:val="1D1D1B" w:themeColor="text1"/>
          <w:lang w:eastAsia="en-GB"/>
        </w:rPr>
      </w:pPr>
    </w:p>
    <w:p w14:paraId="1EFF7510" w14:textId="333B324B" w:rsidR="006E0879" w:rsidRPr="00925DF4" w:rsidRDefault="006E0879" w:rsidP="006E0879">
      <w:pPr>
        <w:spacing w:after="160" w:line="259" w:lineRule="auto"/>
        <w:rPr>
          <w:rFonts w:cs="Arial"/>
          <w:color w:val="FF0000"/>
          <w:lang w:eastAsia="en-GB"/>
        </w:rPr>
      </w:pPr>
      <w:r w:rsidRPr="00925DF4">
        <w:rPr>
          <w:rFonts w:cs="Arial"/>
          <w:color w:val="FF0000"/>
          <w:lang w:eastAsia="en-GB"/>
        </w:rPr>
        <w:t>[SCREEN 3]</w:t>
      </w:r>
    </w:p>
    <w:p w14:paraId="493ABB08" w14:textId="77777777" w:rsidR="006E0879" w:rsidRPr="00925DF4" w:rsidRDefault="006E0879" w:rsidP="006E0879">
      <w:pPr>
        <w:rPr>
          <w:rFonts w:cs="Arial"/>
          <w:color w:val="FF0000"/>
          <w:lang w:eastAsia="en-GB"/>
        </w:rPr>
      </w:pPr>
      <w:r w:rsidRPr="00925DF4">
        <w:rPr>
          <w:rFonts w:cs="Arial"/>
          <w:color w:val="FF0000"/>
          <w:lang w:eastAsia="en-GB"/>
        </w:rPr>
        <w:t xml:space="preserve">Q_VOLUNTARY. </w:t>
      </w:r>
    </w:p>
    <w:p w14:paraId="6D260209" w14:textId="77777777" w:rsidR="006E0879" w:rsidRPr="00925DF4" w:rsidRDefault="006E0879" w:rsidP="006E0879">
      <w:pPr>
        <w:rPr>
          <w:rFonts w:cs="Arial"/>
          <w:color w:val="FF0000"/>
          <w:lang w:eastAsia="en-GB"/>
        </w:rPr>
      </w:pPr>
      <w:r w:rsidRPr="00925DF4">
        <w:rPr>
          <w:rFonts w:cs="Arial"/>
          <w:color w:val="FF0000"/>
          <w:lang w:eastAsia="en-GB"/>
        </w:rPr>
        <w:t>ASK ALL</w:t>
      </w:r>
      <w:r>
        <w:rPr>
          <w:rFonts w:cs="Arial"/>
          <w:color w:val="FF0000"/>
          <w:lang w:eastAsia="en-GB"/>
        </w:rPr>
        <w:t xml:space="preserve"> CATI ONLY</w:t>
      </w:r>
    </w:p>
    <w:p w14:paraId="511EF7CE" w14:textId="69460298" w:rsidR="006E0879" w:rsidRDefault="006E0879" w:rsidP="006E0879">
      <w:pPr>
        <w:rPr>
          <w:rFonts w:cs="Arial"/>
          <w:color w:val="1D1D1B" w:themeColor="text1"/>
          <w:lang w:eastAsia="en-GB"/>
        </w:rPr>
      </w:pPr>
      <w:r w:rsidRPr="00925DF4">
        <w:rPr>
          <w:rFonts w:eastAsia="Calibri" w:cs="Arial"/>
          <w:b/>
          <w:color w:val="1D1D1B" w:themeColor="text1"/>
        </w:rPr>
        <w:t xml:space="preserve">Before we start, I want to clarify that participation in the survey is voluntary and you can change your mind at any time. </w:t>
      </w:r>
      <w:r w:rsidRPr="00925DF4">
        <w:rPr>
          <w:rFonts w:cs="Arial"/>
          <w:b/>
          <w:bCs/>
        </w:rPr>
        <w:t>Please note that there are questions which asks you to describe your ethnic origin, age and gender identity, however you are free to not answer.</w:t>
      </w:r>
      <w:r w:rsidRPr="00925DF4">
        <w:rPr>
          <w:rFonts w:eastAsia="Calibri" w:cs="Arial"/>
          <w:b/>
          <w:color w:val="1D1D1B" w:themeColor="text1"/>
        </w:rPr>
        <w:t xml:space="preserve"> Are you happy to proceed with the interview? </w:t>
      </w:r>
      <w:r w:rsidRPr="00925DF4">
        <w:rPr>
          <w:rFonts w:eastAsia="Calibri" w:cs="Arial"/>
          <w:color w:val="1D1D1B" w:themeColor="text1"/>
        </w:rPr>
        <w:t>IF NECESSARY:</w:t>
      </w:r>
      <w:r w:rsidRPr="00925DF4">
        <w:rPr>
          <w:rFonts w:eastAsia="Calibri" w:cs="Arial"/>
          <w:b/>
          <w:color w:val="1D1D1B" w:themeColor="text1"/>
        </w:rPr>
        <w:t xml:space="preserve"> If you would like to read the Privacy Notice beforehand you can access it online at </w:t>
      </w:r>
      <w:hyperlink r:id="rId44" w:history="1">
        <w:r w:rsidRPr="00925DF4">
          <w:rPr>
            <w:rStyle w:val="Hyperlink"/>
            <w:rFonts w:ascii="Arial" w:hAnsi="Arial" w:cs="Arial"/>
            <w:color w:val="1D1D1B" w:themeColor="text1"/>
            <w:lang w:eastAsia="en-GB"/>
          </w:rPr>
          <w:t>ADD</w:t>
        </w:r>
      </w:hyperlink>
      <w:r w:rsidRPr="00925DF4">
        <w:rPr>
          <w:rFonts w:cs="Arial"/>
          <w:color w:val="1D1D1B" w:themeColor="text1"/>
          <w:lang w:eastAsia="en-GB"/>
        </w:rPr>
        <w:t xml:space="preserve"> PRIVACY NOTICE LINK</w:t>
      </w:r>
    </w:p>
    <w:p w14:paraId="2C156F1B" w14:textId="77777777" w:rsidR="006E0879" w:rsidRDefault="006E0879" w:rsidP="006E0879">
      <w:pPr>
        <w:rPr>
          <w:rFonts w:cs="Arial"/>
          <w:color w:val="FF0000"/>
          <w:lang w:eastAsia="en-GB"/>
        </w:rPr>
      </w:pPr>
      <w:r w:rsidRPr="00925DF4">
        <w:rPr>
          <w:rFonts w:cs="Arial"/>
          <w:color w:val="FF0000"/>
          <w:lang w:eastAsia="en-GB"/>
        </w:rPr>
        <w:t>Q_</w:t>
      </w:r>
      <w:r>
        <w:rPr>
          <w:rFonts w:cs="Arial"/>
          <w:color w:val="FF0000"/>
          <w:lang w:eastAsia="en-GB"/>
        </w:rPr>
        <w:t>REASSURANCE</w:t>
      </w:r>
    </w:p>
    <w:p w14:paraId="315EDD60" w14:textId="1719AB9F" w:rsidR="006E0879" w:rsidRDefault="006E0879" w:rsidP="006E0879">
      <w:pPr>
        <w:rPr>
          <w:rFonts w:cs="Arial"/>
          <w:color w:val="FF0000"/>
          <w:lang w:eastAsia="en-GB"/>
        </w:rPr>
      </w:pPr>
      <w:r>
        <w:rPr>
          <w:rFonts w:cs="Arial"/>
          <w:color w:val="FF0000"/>
          <w:lang w:eastAsia="en-GB"/>
        </w:rPr>
        <w:t>ASK ALL CATI ONLY</w:t>
      </w:r>
    </w:p>
    <w:p w14:paraId="1F5F899D" w14:textId="77777777" w:rsidR="006E0879" w:rsidRPr="00925DF4" w:rsidRDefault="006E0879" w:rsidP="006E0879">
      <w:pPr>
        <w:rPr>
          <w:rFonts w:cs="Arial"/>
          <w:color w:val="FF0000"/>
          <w:lang w:eastAsia="en-GB"/>
        </w:rPr>
      </w:pPr>
      <w:r>
        <w:rPr>
          <w:rFonts w:cs="Arial"/>
          <w:color w:val="FF0000"/>
          <w:lang w:eastAsia="en-GB"/>
        </w:rPr>
        <w:t>Option to send reassurance email</w:t>
      </w:r>
    </w:p>
    <w:p w14:paraId="3F28D94A" w14:textId="77777777" w:rsidR="006E0879" w:rsidRPr="00925DF4" w:rsidRDefault="006E0879" w:rsidP="006E0879">
      <w:pPr>
        <w:rPr>
          <w:rFonts w:cs="Arial"/>
          <w:color w:val="FF0000"/>
        </w:rPr>
      </w:pPr>
      <w:r w:rsidRPr="00925DF4">
        <w:rPr>
          <w:rFonts w:cs="Arial"/>
          <w:color w:val="FF0000"/>
        </w:rPr>
        <w:t>ASK ALL</w:t>
      </w:r>
    </w:p>
    <w:p w14:paraId="1D24BA8F" w14:textId="77777777" w:rsidR="006E0879" w:rsidRPr="00925DF4" w:rsidRDefault="006E0879" w:rsidP="006E0879">
      <w:pPr>
        <w:rPr>
          <w:rFonts w:cs="Arial"/>
          <w:color w:val="FF0000"/>
        </w:rPr>
      </w:pPr>
      <w:r w:rsidRPr="00925DF4">
        <w:rPr>
          <w:rFonts w:cs="Arial"/>
          <w:color w:val="FF0000"/>
        </w:rPr>
        <w:t>ASK IF CATI</w:t>
      </w:r>
    </w:p>
    <w:p w14:paraId="50B8BE6B" w14:textId="57D15AB8" w:rsidR="006E0879" w:rsidRPr="00925DF4" w:rsidRDefault="006E0879" w:rsidP="000824F2">
      <w:pPr>
        <w:tabs>
          <w:tab w:val="left" w:pos="720"/>
        </w:tabs>
        <w:ind w:left="486" w:hanging="486"/>
        <w:rPr>
          <w:rFonts w:cs="Arial"/>
          <w:b/>
          <w:color w:val="1D1D1B" w:themeColor="text1"/>
        </w:rPr>
      </w:pPr>
      <w:r w:rsidRPr="00925DF4">
        <w:rPr>
          <w:rFonts w:cs="Arial"/>
          <w:b/>
          <w:bCs/>
          <w:color w:val="1D1D1B" w:themeColor="text1"/>
        </w:rPr>
        <w:t>S1</w:t>
      </w:r>
      <w:r w:rsidRPr="00925DF4">
        <w:rPr>
          <w:rFonts w:cs="Arial"/>
          <w:color w:val="1D1D1B" w:themeColor="text1"/>
        </w:rPr>
        <w:t> </w:t>
      </w:r>
      <w:r w:rsidRPr="00925DF4">
        <w:rPr>
          <w:rFonts w:cs="Arial"/>
          <w:b/>
          <w:color w:val="1D1D1B" w:themeColor="text1"/>
        </w:rPr>
        <w:t xml:space="preserve">Can I just check the business name that we have for you is </w:t>
      </w:r>
      <w:r w:rsidRPr="00925DF4">
        <w:rPr>
          <w:rFonts w:cs="Arial"/>
          <w:iCs/>
          <w:color w:val="1D1D1B" w:themeColor="text1"/>
        </w:rPr>
        <w:t>[INSERT TRADING NAME]</w:t>
      </w:r>
      <w:r w:rsidRPr="00925DF4">
        <w:rPr>
          <w:rFonts w:cs="Arial"/>
          <w:b/>
          <w:color w:val="1D1D1B" w:themeColor="text1"/>
        </w:rPr>
        <w:t xml:space="preserve">, is this correct? </w:t>
      </w:r>
      <w:r w:rsidRPr="00925DF4">
        <w:rPr>
          <w:rFonts w:cs="Arial"/>
          <w:color w:val="1D1D1B" w:themeColor="text1"/>
        </w:rPr>
        <w:t xml:space="preserve">IF NO: </w:t>
      </w:r>
      <w:r w:rsidRPr="00925DF4">
        <w:rPr>
          <w:rFonts w:cs="Arial"/>
          <w:b/>
          <w:color w:val="1D1D1B" w:themeColor="text1"/>
        </w:rPr>
        <w:t>Can you please tell me the correct business name?</w:t>
      </w:r>
    </w:p>
    <w:p w14:paraId="5A6DF200" w14:textId="77777777" w:rsidR="006E0879" w:rsidRPr="00925DF4" w:rsidRDefault="006E0879" w:rsidP="006E0879">
      <w:pPr>
        <w:tabs>
          <w:tab w:val="left" w:pos="720"/>
        </w:tabs>
        <w:ind w:left="486" w:hanging="486"/>
        <w:rPr>
          <w:rFonts w:cs="Arial"/>
          <w:bCs/>
          <w:color w:val="FF0000"/>
        </w:rPr>
      </w:pPr>
      <w:r w:rsidRPr="00925DF4">
        <w:rPr>
          <w:rFonts w:cs="Arial"/>
          <w:bCs/>
          <w:color w:val="FF0000"/>
        </w:rPr>
        <w:t>ASK IF WEB</w:t>
      </w:r>
    </w:p>
    <w:p w14:paraId="6719D04C" w14:textId="4DB216EE" w:rsidR="006E0879" w:rsidRPr="00925DF4" w:rsidRDefault="006E0879" w:rsidP="00C31D26">
      <w:pPr>
        <w:tabs>
          <w:tab w:val="left" w:pos="720"/>
        </w:tabs>
        <w:ind w:left="486" w:hanging="486"/>
        <w:rPr>
          <w:rFonts w:cs="Arial"/>
          <w:b/>
          <w:color w:val="1D1D1B" w:themeColor="text1"/>
        </w:rPr>
      </w:pPr>
      <w:r w:rsidRPr="00925DF4">
        <w:rPr>
          <w:rFonts w:cs="Arial"/>
          <w:b/>
          <w:bCs/>
          <w:color w:val="1D1D1B" w:themeColor="text1"/>
        </w:rPr>
        <w:t>S1</w:t>
      </w:r>
      <w:r w:rsidRPr="00925DF4">
        <w:rPr>
          <w:rFonts w:cs="Arial"/>
          <w:color w:val="1D1D1B" w:themeColor="text1"/>
        </w:rPr>
        <w:t> </w:t>
      </w:r>
      <w:r w:rsidRPr="00925DF4">
        <w:rPr>
          <w:rFonts w:cs="Arial"/>
          <w:b/>
          <w:bCs/>
          <w:color w:val="1D1D1B" w:themeColor="text1"/>
        </w:rPr>
        <w:t>The</w:t>
      </w:r>
      <w:r w:rsidRPr="00925DF4">
        <w:rPr>
          <w:rFonts w:cs="Arial"/>
          <w:b/>
          <w:color w:val="1D1D1B" w:themeColor="text1"/>
        </w:rPr>
        <w:t xml:space="preserve"> business name that we have for you is </w:t>
      </w:r>
      <w:r w:rsidRPr="00925DF4">
        <w:rPr>
          <w:rFonts w:cs="Arial"/>
          <w:iCs/>
          <w:color w:val="1D1D1B" w:themeColor="text1"/>
        </w:rPr>
        <w:t>[INSERT TRADING NAME]</w:t>
      </w:r>
      <w:r w:rsidRPr="00925DF4">
        <w:rPr>
          <w:rFonts w:cs="Arial"/>
          <w:b/>
          <w:color w:val="1D1D1B" w:themeColor="text1"/>
        </w:rPr>
        <w:t xml:space="preserve">, is this correct? </w:t>
      </w:r>
      <w:r w:rsidRPr="00925DF4">
        <w:rPr>
          <w:rFonts w:cs="Arial"/>
          <w:color w:val="1D1D1B" w:themeColor="text1"/>
        </w:rPr>
        <w:t xml:space="preserve">IF NO: </w:t>
      </w:r>
      <w:r w:rsidRPr="00925DF4">
        <w:rPr>
          <w:rFonts w:cs="Arial"/>
          <w:b/>
          <w:color w:val="1D1D1B" w:themeColor="text1"/>
        </w:rPr>
        <w:t>Please can you provide us with the correct business name?</w:t>
      </w:r>
    </w:p>
    <w:p w14:paraId="3F3E75E5" w14:textId="7F014B96" w:rsidR="006E0879" w:rsidRPr="00925DF4" w:rsidRDefault="006E0879" w:rsidP="006E0879">
      <w:pPr>
        <w:tabs>
          <w:tab w:val="left" w:pos="720"/>
        </w:tabs>
        <w:rPr>
          <w:rFonts w:cs="Arial"/>
          <w:color w:val="1D1D1B" w:themeColor="text1"/>
        </w:rPr>
      </w:pPr>
      <w:r w:rsidRPr="00925DF4">
        <w:rPr>
          <w:rFonts w:cs="Arial"/>
          <w:color w:val="F06603" w:themeColor="accent6"/>
        </w:rPr>
        <w:t>INTERVIEWER NOTE FOR LOAN RECIPIENTS: IF THE RESPONDENT SAYS THEY HAVE MORE THAN ONE BUSINESS, AND THAT IT DOESN’T INCLUDE THE ONE NAMED HERE, SAY THAT FOR THE PURPOSE OF THIS SURVEY WE ARE INTERESTED IN ONE OF THEIR BUSINESSES FOR WHICH THEY SOUGHT EXTERNAL FINANCE THROUGH THE</w:t>
      </w:r>
      <w:r w:rsidRPr="00925DF4">
        <w:rPr>
          <w:rFonts w:cs="Arial"/>
          <w:color w:val="1D1D1B" w:themeColor="text1"/>
        </w:rPr>
        <w:t xml:space="preserve"> </w:t>
      </w:r>
      <w:r w:rsidRPr="00871B7D">
        <w:rPr>
          <w:rFonts w:cs="Arial"/>
          <w:b/>
          <w:bCs/>
        </w:rPr>
        <w:t>Recovery Loan Scheme</w:t>
      </w:r>
    </w:p>
    <w:p w14:paraId="0C5C30CE" w14:textId="70A8D430" w:rsidR="006E0879" w:rsidRPr="00C31D26" w:rsidRDefault="006E0879" w:rsidP="006E0879">
      <w:pPr>
        <w:tabs>
          <w:tab w:val="left" w:pos="720"/>
        </w:tabs>
        <w:rPr>
          <w:rFonts w:cs="Arial"/>
          <w:color w:val="F06603" w:themeColor="accent6"/>
        </w:rPr>
      </w:pPr>
      <w:r w:rsidRPr="00925DF4">
        <w:rPr>
          <w:rFonts w:cs="Arial"/>
          <w:color w:val="F06603" w:themeColor="accent6"/>
        </w:rPr>
        <w:t xml:space="preserve">INTERVIEWER NOTE FOR CONTROL GROUP: IF THE RESPONDENT SAYS THEY HAVE MORE THAN ONE BUSINESS, AND THAT IT DOESN’T INCLUDE THE ONE NAMED HERE, SAY THAT FOR THE PURPOSE OF THIS SURVEY WE ARE INTERESTED IN ONE OF THEIR BUSINESSES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8168"/>
        <w:gridCol w:w="1976"/>
      </w:tblGrid>
      <w:tr w:rsidR="006E0879" w:rsidRPr="00925DF4" w14:paraId="0A8B9C40" w14:textId="77777777" w:rsidTr="00AB3D40">
        <w:trPr>
          <w:cantSplit/>
          <w:trHeight w:val="320"/>
        </w:trPr>
        <w:tc>
          <w:tcPr>
            <w:tcW w:w="4026" w:type="pct"/>
            <w:tcBorders>
              <w:top w:val="single" w:sz="4" w:space="0" w:color="auto"/>
              <w:left w:val="single" w:sz="4" w:space="0" w:color="auto"/>
              <w:bottom w:val="single" w:sz="4" w:space="0" w:color="auto"/>
              <w:right w:val="single" w:sz="4" w:space="0" w:color="auto"/>
            </w:tcBorders>
            <w:hideMark/>
          </w:tcPr>
          <w:p w14:paraId="47C8FDD1"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Yes</w:t>
            </w:r>
          </w:p>
        </w:tc>
        <w:tc>
          <w:tcPr>
            <w:tcW w:w="974" w:type="pct"/>
            <w:tcBorders>
              <w:top w:val="single" w:sz="4" w:space="0" w:color="auto"/>
              <w:left w:val="single" w:sz="4" w:space="0" w:color="auto"/>
              <w:bottom w:val="single" w:sz="4" w:space="0" w:color="auto"/>
              <w:right w:val="single" w:sz="4" w:space="0" w:color="auto"/>
            </w:tcBorders>
            <w:vAlign w:val="center"/>
            <w:hideMark/>
          </w:tcPr>
          <w:p w14:paraId="04BE107F"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p>
        </w:tc>
      </w:tr>
      <w:tr w:rsidR="006E0879" w:rsidRPr="00925DF4" w14:paraId="5A8E2AAE" w14:textId="77777777" w:rsidTr="00AB3D40">
        <w:trPr>
          <w:cantSplit/>
          <w:trHeight w:val="320"/>
        </w:trPr>
        <w:tc>
          <w:tcPr>
            <w:tcW w:w="4026" w:type="pct"/>
            <w:tcBorders>
              <w:top w:val="single" w:sz="4" w:space="0" w:color="auto"/>
              <w:left w:val="single" w:sz="4" w:space="0" w:color="auto"/>
              <w:bottom w:val="single" w:sz="4" w:space="0" w:color="auto"/>
              <w:right w:val="single" w:sz="4" w:space="0" w:color="auto"/>
            </w:tcBorders>
            <w:hideMark/>
          </w:tcPr>
          <w:p w14:paraId="28F5FB00"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No – WRITE IN CORRECT NAME</w:t>
            </w:r>
          </w:p>
        </w:tc>
        <w:tc>
          <w:tcPr>
            <w:tcW w:w="974" w:type="pct"/>
            <w:tcBorders>
              <w:top w:val="single" w:sz="4" w:space="0" w:color="auto"/>
              <w:left w:val="single" w:sz="4" w:space="0" w:color="auto"/>
              <w:bottom w:val="single" w:sz="4" w:space="0" w:color="auto"/>
              <w:right w:val="single" w:sz="4" w:space="0" w:color="auto"/>
            </w:tcBorders>
            <w:vAlign w:val="center"/>
            <w:hideMark/>
          </w:tcPr>
          <w:p w14:paraId="7FAAE7DE" w14:textId="77777777" w:rsidR="006E0879" w:rsidRPr="00925DF4" w:rsidRDefault="006E0879" w:rsidP="00AB3D40">
            <w:pPr>
              <w:spacing w:before="60"/>
              <w:jc w:val="center"/>
              <w:rPr>
                <w:rFonts w:cs="Arial"/>
                <w:color w:val="1D1D1B" w:themeColor="text1"/>
              </w:rPr>
            </w:pPr>
            <w:r w:rsidRPr="00925DF4">
              <w:rPr>
                <w:rFonts w:cs="Arial"/>
                <w:color w:val="1D1D1B" w:themeColor="text1"/>
              </w:rPr>
              <w:t>2</w:t>
            </w:r>
          </w:p>
        </w:tc>
      </w:tr>
      <w:tr w:rsidR="006E0879" w:rsidRPr="00925DF4" w14:paraId="51FFB0A6" w14:textId="77777777" w:rsidTr="00AB3D40">
        <w:trPr>
          <w:cantSplit/>
          <w:trHeight w:val="320"/>
        </w:trPr>
        <w:tc>
          <w:tcPr>
            <w:tcW w:w="4026" w:type="pct"/>
            <w:tcBorders>
              <w:top w:val="single" w:sz="4" w:space="0" w:color="auto"/>
              <w:left w:val="single" w:sz="4" w:space="0" w:color="auto"/>
              <w:bottom w:val="single" w:sz="4" w:space="0" w:color="auto"/>
              <w:right w:val="single" w:sz="4" w:space="0" w:color="auto"/>
            </w:tcBorders>
            <w:hideMark/>
          </w:tcPr>
          <w:p w14:paraId="1B0838F1"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Don’t know</w:t>
            </w:r>
          </w:p>
        </w:tc>
        <w:tc>
          <w:tcPr>
            <w:tcW w:w="974" w:type="pct"/>
            <w:tcBorders>
              <w:top w:val="single" w:sz="4" w:space="0" w:color="auto"/>
              <w:left w:val="single" w:sz="4" w:space="0" w:color="auto"/>
              <w:bottom w:val="single" w:sz="4" w:space="0" w:color="auto"/>
              <w:right w:val="single" w:sz="4" w:space="0" w:color="auto"/>
            </w:tcBorders>
            <w:vAlign w:val="center"/>
            <w:hideMark/>
          </w:tcPr>
          <w:p w14:paraId="257D4653" w14:textId="77777777" w:rsidR="006E0879" w:rsidRPr="00925DF4" w:rsidRDefault="006E0879" w:rsidP="00AB3D40">
            <w:pPr>
              <w:spacing w:before="60"/>
              <w:jc w:val="center"/>
              <w:rPr>
                <w:rFonts w:cs="Arial"/>
                <w:color w:val="1D1D1B" w:themeColor="text1"/>
              </w:rPr>
            </w:pPr>
            <w:r w:rsidRPr="00925DF4">
              <w:rPr>
                <w:rFonts w:cs="Arial"/>
                <w:color w:val="1D1D1B" w:themeColor="text1"/>
              </w:rPr>
              <w:t>98</w:t>
            </w:r>
          </w:p>
        </w:tc>
      </w:tr>
    </w:tbl>
    <w:p w14:paraId="12D9BE93" w14:textId="77777777" w:rsidR="000824F2" w:rsidRDefault="000824F2" w:rsidP="006E0879">
      <w:pPr>
        <w:rPr>
          <w:rFonts w:cs="Arial"/>
          <w:color w:val="FF0000"/>
        </w:rPr>
      </w:pPr>
    </w:p>
    <w:p w14:paraId="030D8FB2" w14:textId="72431717" w:rsidR="006E0879" w:rsidRPr="00925DF4" w:rsidRDefault="006E0879" w:rsidP="006E0879">
      <w:pPr>
        <w:rPr>
          <w:rFonts w:cs="Arial"/>
          <w:color w:val="FF0000"/>
        </w:rPr>
      </w:pPr>
      <w:r w:rsidRPr="00925DF4">
        <w:rPr>
          <w:rFonts w:cs="Arial"/>
          <w:color w:val="FF0000"/>
        </w:rPr>
        <w:t>ASK ALL</w:t>
      </w:r>
    </w:p>
    <w:p w14:paraId="67B63652" w14:textId="24B85BD0" w:rsidR="006E0879" w:rsidRPr="00C31D26" w:rsidRDefault="006E0879" w:rsidP="00C31D26">
      <w:pPr>
        <w:rPr>
          <w:rFonts w:cs="Arial"/>
          <w:b/>
          <w:bCs/>
        </w:rPr>
      </w:pPr>
      <w:r w:rsidRPr="00925DF4">
        <w:rPr>
          <w:rFonts w:cs="Arial"/>
          <w:b/>
          <w:bCs/>
        </w:rPr>
        <w:t xml:space="preserve">We will be focussing on </w:t>
      </w:r>
      <w:r w:rsidRPr="00925DF4">
        <w:rPr>
          <w:rFonts w:cs="Arial"/>
          <w:bCs/>
          <w:color w:val="FF0000"/>
        </w:rPr>
        <w:t>[INSERT BUSINESS NAME FROM SAMPLE IF CODE 1 AT S1 OR FROM SCRIPT IF CODE 2 AT S1]</w:t>
      </w:r>
      <w:r w:rsidRPr="00925DF4">
        <w:rPr>
          <w:rFonts w:cs="Arial"/>
          <w:b/>
          <w:bCs/>
          <w:color w:val="FF0000"/>
        </w:rPr>
        <w:t xml:space="preserve"> </w:t>
      </w:r>
      <w:r w:rsidRPr="00925DF4">
        <w:rPr>
          <w:rFonts w:cs="Arial"/>
          <w:b/>
          <w:bCs/>
        </w:rPr>
        <w:t>throughout</w:t>
      </w:r>
      <w:r w:rsidRPr="00925DF4">
        <w:rPr>
          <w:rFonts w:cs="Arial"/>
          <w:b/>
          <w:bCs/>
          <w:color w:val="FF0000"/>
        </w:rPr>
        <w:t xml:space="preserve"> </w:t>
      </w:r>
      <w:r w:rsidRPr="00925DF4">
        <w:rPr>
          <w:rFonts w:cs="Arial"/>
          <w:b/>
          <w:bCs/>
        </w:rPr>
        <w:t>this interview.</w:t>
      </w:r>
    </w:p>
    <w:p w14:paraId="544EE7EA" w14:textId="77777777" w:rsidR="006E0879" w:rsidRPr="00925DF4" w:rsidRDefault="006E0879" w:rsidP="006E0879">
      <w:pPr>
        <w:rPr>
          <w:rFonts w:cs="Arial"/>
          <w:color w:val="FF0000"/>
        </w:rPr>
      </w:pPr>
      <w:r w:rsidRPr="00925DF4">
        <w:rPr>
          <w:rFonts w:cs="Arial"/>
          <w:color w:val="FF0000"/>
        </w:rPr>
        <w:t>ASK ALL</w:t>
      </w:r>
    </w:p>
    <w:p w14:paraId="3C03E35C" w14:textId="0D284198" w:rsidR="006E0879" w:rsidRPr="00C31D26" w:rsidRDefault="006E0879" w:rsidP="006E0879">
      <w:pPr>
        <w:rPr>
          <w:rFonts w:cs="Arial"/>
          <w:b/>
        </w:rPr>
      </w:pPr>
      <w:r w:rsidRPr="00925DF4">
        <w:rPr>
          <w:rFonts w:cs="Arial"/>
          <w:b/>
        </w:rPr>
        <w:t>S2 [</w:t>
      </w:r>
      <w:r w:rsidRPr="00925DF4">
        <w:rPr>
          <w:rFonts w:cs="Arial"/>
          <w:bCs/>
          <w:color w:val="FF0000"/>
        </w:rPr>
        <w:t xml:space="preserve">CATI: </w:t>
      </w:r>
      <w:r w:rsidRPr="00925DF4">
        <w:rPr>
          <w:rFonts w:cs="Arial"/>
          <w:b/>
        </w:rPr>
        <w:t>Can I just check, are] [</w:t>
      </w:r>
      <w:r w:rsidRPr="00925DF4">
        <w:rPr>
          <w:rFonts w:cs="Arial"/>
          <w:bCs/>
          <w:color w:val="FF0000"/>
        </w:rPr>
        <w:t xml:space="preserve">WEB: </w:t>
      </w:r>
      <w:r w:rsidRPr="00925DF4">
        <w:rPr>
          <w:rFonts w:cs="Arial"/>
          <w:b/>
        </w:rPr>
        <w:t xml:space="preserve">Are] you able to answer questions about the business’s financial performance and its finance needs?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3577"/>
        <w:gridCol w:w="1126"/>
        <w:gridCol w:w="5441"/>
      </w:tblGrid>
      <w:tr w:rsidR="006E0879" w:rsidRPr="00925DF4" w14:paraId="7FF3CA30"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7C360FB1"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Yes</w:t>
            </w:r>
          </w:p>
        </w:tc>
        <w:tc>
          <w:tcPr>
            <w:tcW w:w="555" w:type="pct"/>
            <w:tcBorders>
              <w:top w:val="single" w:sz="4" w:space="0" w:color="auto"/>
              <w:left w:val="single" w:sz="4" w:space="0" w:color="auto"/>
              <w:bottom w:val="single" w:sz="4" w:space="0" w:color="auto"/>
              <w:right w:val="single" w:sz="4" w:space="0" w:color="auto"/>
            </w:tcBorders>
            <w:vAlign w:val="center"/>
            <w:hideMark/>
          </w:tcPr>
          <w:p w14:paraId="4105003F"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p>
        </w:tc>
        <w:tc>
          <w:tcPr>
            <w:tcW w:w="2682" w:type="pct"/>
            <w:tcBorders>
              <w:top w:val="single" w:sz="4" w:space="0" w:color="auto"/>
              <w:left w:val="single" w:sz="4" w:space="0" w:color="auto"/>
              <w:bottom w:val="single" w:sz="4" w:space="0" w:color="auto"/>
              <w:right w:val="single" w:sz="4" w:space="0" w:color="auto"/>
            </w:tcBorders>
            <w:hideMark/>
          </w:tcPr>
          <w:p w14:paraId="77E74FF8" w14:textId="77777777" w:rsidR="006E0879" w:rsidRPr="00925DF4" w:rsidRDefault="006E0879" w:rsidP="00AB3D40">
            <w:pPr>
              <w:spacing w:before="60"/>
              <w:ind w:left="120"/>
              <w:rPr>
                <w:rFonts w:cs="Arial"/>
                <w:color w:val="1D1D1B" w:themeColor="text1"/>
              </w:rPr>
            </w:pPr>
            <w:r w:rsidRPr="00925DF4">
              <w:rPr>
                <w:rFonts w:cs="Arial"/>
                <w:color w:val="FF0000"/>
              </w:rPr>
              <w:t>CONTINUE</w:t>
            </w:r>
          </w:p>
        </w:tc>
      </w:tr>
      <w:tr w:rsidR="006E0879" w:rsidRPr="00925DF4" w14:paraId="7805708A"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46A07F42"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No – transfer</w:t>
            </w:r>
          </w:p>
        </w:tc>
        <w:tc>
          <w:tcPr>
            <w:tcW w:w="555" w:type="pct"/>
            <w:tcBorders>
              <w:top w:val="single" w:sz="4" w:space="0" w:color="auto"/>
              <w:left w:val="single" w:sz="4" w:space="0" w:color="auto"/>
              <w:bottom w:val="single" w:sz="4" w:space="0" w:color="auto"/>
              <w:right w:val="single" w:sz="4" w:space="0" w:color="auto"/>
            </w:tcBorders>
            <w:vAlign w:val="center"/>
            <w:hideMark/>
          </w:tcPr>
          <w:p w14:paraId="163EEF81" w14:textId="77777777" w:rsidR="006E0879" w:rsidRPr="00925DF4" w:rsidRDefault="006E0879" w:rsidP="00AB3D40">
            <w:pPr>
              <w:spacing w:before="60"/>
              <w:jc w:val="center"/>
              <w:rPr>
                <w:rFonts w:cs="Arial"/>
                <w:color w:val="1D1D1B" w:themeColor="text1"/>
              </w:rPr>
            </w:pPr>
            <w:r w:rsidRPr="00925DF4">
              <w:rPr>
                <w:rFonts w:cs="Arial"/>
                <w:color w:val="1D1D1B" w:themeColor="text1"/>
              </w:rPr>
              <w:t>2</w:t>
            </w:r>
          </w:p>
        </w:tc>
        <w:tc>
          <w:tcPr>
            <w:tcW w:w="2682" w:type="pct"/>
            <w:tcBorders>
              <w:top w:val="single" w:sz="4" w:space="0" w:color="auto"/>
              <w:left w:val="single" w:sz="4" w:space="0" w:color="auto"/>
              <w:bottom w:val="single" w:sz="4" w:space="0" w:color="auto"/>
              <w:right w:val="single" w:sz="4" w:space="0" w:color="auto"/>
            </w:tcBorders>
            <w:hideMark/>
          </w:tcPr>
          <w:p w14:paraId="0776EA41" w14:textId="77777777" w:rsidR="006E0879" w:rsidRPr="00925DF4" w:rsidRDefault="006E0879" w:rsidP="00AB3D40">
            <w:pPr>
              <w:spacing w:before="60"/>
              <w:ind w:left="120"/>
              <w:rPr>
                <w:rFonts w:cs="Arial"/>
                <w:color w:val="FF0000"/>
              </w:rPr>
            </w:pPr>
            <w:r w:rsidRPr="00925DF4">
              <w:rPr>
                <w:rFonts w:cs="Arial"/>
                <w:color w:val="FF0000"/>
              </w:rPr>
              <w:t>TRANSFER AND RETURN TO INTRO FOR CATI SCREEN OUT FOR WEB</w:t>
            </w:r>
          </w:p>
        </w:tc>
      </w:tr>
      <w:tr w:rsidR="006E0879" w:rsidRPr="00925DF4" w14:paraId="0318EAEF"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03BB4F6E"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No – they are unavailable</w:t>
            </w:r>
          </w:p>
        </w:tc>
        <w:tc>
          <w:tcPr>
            <w:tcW w:w="555" w:type="pct"/>
            <w:tcBorders>
              <w:top w:val="single" w:sz="4" w:space="0" w:color="auto"/>
              <w:left w:val="single" w:sz="4" w:space="0" w:color="auto"/>
              <w:bottom w:val="single" w:sz="4" w:space="0" w:color="auto"/>
              <w:right w:val="single" w:sz="4" w:space="0" w:color="auto"/>
            </w:tcBorders>
            <w:vAlign w:val="center"/>
            <w:hideMark/>
          </w:tcPr>
          <w:p w14:paraId="43E2D4A6" w14:textId="77777777" w:rsidR="006E0879" w:rsidRPr="00925DF4" w:rsidRDefault="006E0879" w:rsidP="00AB3D40">
            <w:pPr>
              <w:spacing w:before="60"/>
              <w:jc w:val="center"/>
              <w:rPr>
                <w:rFonts w:cs="Arial"/>
                <w:color w:val="1D1D1B" w:themeColor="text1"/>
              </w:rPr>
            </w:pPr>
            <w:r w:rsidRPr="00925DF4">
              <w:rPr>
                <w:rFonts w:cs="Arial"/>
                <w:color w:val="1D1D1B" w:themeColor="text1"/>
              </w:rPr>
              <w:t>3</w:t>
            </w:r>
          </w:p>
        </w:tc>
        <w:tc>
          <w:tcPr>
            <w:tcW w:w="2682" w:type="pct"/>
            <w:tcBorders>
              <w:top w:val="single" w:sz="4" w:space="0" w:color="auto"/>
              <w:left w:val="single" w:sz="4" w:space="0" w:color="auto"/>
              <w:bottom w:val="single" w:sz="4" w:space="0" w:color="auto"/>
              <w:right w:val="single" w:sz="4" w:space="0" w:color="auto"/>
            </w:tcBorders>
            <w:hideMark/>
          </w:tcPr>
          <w:p w14:paraId="7004CC27" w14:textId="77777777" w:rsidR="006E0879" w:rsidRPr="00925DF4" w:rsidRDefault="006E0879" w:rsidP="00AB3D40">
            <w:pPr>
              <w:spacing w:before="60"/>
              <w:ind w:left="120"/>
              <w:rPr>
                <w:rFonts w:cs="Arial"/>
                <w:color w:val="FF0000"/>
              </w:rPr>
            </w:pPr>
            <w:r w:rsidRPr="00925DF4">
              <w:rPr>
                <w:rFonts w:cs="Arial"/>
                <w:color w:val="FF0000"/>
              </w:rPr>
              <w:t>ASK FOR NAME OF CORRECT RESPONDENT TO CALL. THANK AND CLOSE</w:t>
            </w:r>
          </w:p>
        </w:tc>
      </w:tr>
    </w:tbl>
    <w:p w14:paraId="15A469CB" w14:textId="77777777" w:rsidR="000824F2" w:rsidRDefault="000824F2" w:rsidP="000824F2">
      <w:pPr>
        <w:spacing w:after="160" w:line="259" w:lineRule="auto"/>
        <w:rPr>
          <w:rFonts w:cs="Arial"/>
          <w:color w:val="FF0000"/>
        </w:rPr>
      </w:pPr>
      <w:bookmarkStart w:id="83" w:name="_Hlk85201976"/>
    </w:p>
    <w:p w14:paraId="18FDB123" w14:textId="518FD327" w:rsidR="006E0879" w:rsidRPr="00925DF4" w:rsidRDefault="006E0879" w:rsidP="00C31D26">
      <w:pPr>
        <w:spacing w:after="160" w:line="259" w:lineRule="auto"/>
        <w:rPr>
          <w:rFonts w:cs="Arial"/>
          <w:color w:val="FF0000"/>
        </w:rPr>
      </w:pPr>
      <w:r w:rsidRPr="00925DF4">
        <w:rPr>
          <w:rFonts w:cs="Arial"/>
          <w:color w:val="FF0000"/>
        </w:rPr>
        <w:t>ASK ALL</w:t>
      </w:r>
    </w:p>
    <w:p w14:paraId="152B436C" w14:textId="68EFECB3" w:rsidR="006E0879" w:rsidRDefault="006E0879" w:rsidP="006E0879">
      <w:pPr>
        <w:rPr>
          <w:rFonts w:cs="Arial"/>
          <w:b/>
          <w:bCs/>
          <w:color w:val="1D1D1B" w:themeColor="text1"/>
        </w:rPr>
      </w:pPr>
      <w:r w:rsidRPr="00925DF4">
        <w:rPr>
          <w:rFonts w:cs="Arial"/>
          <w:b/>
          <w:bCs/>
          <w:color w:val="1D1D1B" w:themeColor="text1"/>
        </w:rPr>
        <w:t xml:space="preserve">S3 </w:t>
      </w:r>
      <w:r>
        <w:rPr>
          <w:rFonts w:cs="Arial"/>
          <w:b/>
          <w:bCs/>
          <w:color w:val="1D1D1B" w:themeColor="text1"/>
        </w:rPr>
        <w:t>Did</w:t>
      </w:r>
      <w:r w:rsidRPr="00925DF4">
        <w:rPr>
          <w:rFonts w:cs="Arial"/>
          <w:b/>
          <w:bCs/>
          <w:color w:val="1D1D1B" w:themeColor="text1"/>
        </w:rPr>
        <w:t xml:space="preserve"> your business face any challenges</w:t>
      </w:r>
      <w:r>
        <w:rPr>
          <w:rFonts w:cs="Arial"/>
          <w:b/>
          <w:bCs/>
          <w:color w:val="1D1D1B" w:themeColor="text1"/>
        </w:rPr>
        <w:t xml:space="preserve"> or opportunities</w:t>
      </w:r>
      <w:r w:rsidRPr="00925DF4">
        <w:rPr>
          <w:rFonts w:cs="Arial"/>
          <w:b/>
          <w:bCs/>
          <w:color w:val="1D1D1B" w:themeColor="text1"/>
        </w:rPr>
        <w:t xml:space="preserve"> </w:t>
      </w:r>
      <w:r>
        <w:rPr>
          <w:rFonts w:cs="Arial"/>
          <w:b/>
          <w:bCs/>
          <w:color w:val="1D1D1B" w:themeColor="text1"/>
        </w:rPr>
        <w:t>as a result of</w:t>
      </w:r>
      <w:r w:rsidRPr="00925DF4">
        <w:rPr>
          <w:rFonts w:cs="Arial"/>
          <w:b/>
          <w:bCs/>
          <w:color w:val="1D1D1B" w:themeColor="text1"/>
        </w:rPr>
        <w:t xml:space="preserve"> the Covid-19 pandemic? </w:t>
      </w:r>
    </w:p>
    <w:p w14:paraId="37C64BB2" w14:textId="77777777" w:rsidR="006E0879" w:rsidRPr="00283223" w:rsidRDefault="006E0879" w:rsidP="006E0879">
      <w:pPr>
        <w:rPr>
          <w:rFonts w:cs="Arial"/>
          <w:color w:val="1D1D1B" w:themeColor="text1"/>
        </w:rPr>
      </w:pPr>
      <w:r w:rsidRPr="00283223">
        <w:rPr>
          <w:rFonts w:cs="Arial"/>
          <w:color w:val="FF0000"/>
        </w:rPr>
        <w:t>READ OUT TO ALL BUSINESSES</w:t>
      </w:r>
      <w:r>
        <w:rPr>
          <w:rFonts w:cs="Arial"/>
          <w:color w:val="FF0000"/>
        </w:rPr>
        <w:t xml:space="preserve"> THAT ARE UNSURE</w:t>
      </w:r>
    </w:p>
    <w:p w14:paraId="77E08087" w14:textId="4DBB241D" w:rsidR="006E0879" w:rsidRDefault="006E0879" w:rsidP="006E0879">
      <w:pPr>
        <w:rPr>
          <w:rFonts w:cs="Arial"/>
          <w:b/>
          <w:bCs/>
          <w:color w:val="1D1D1B" w:themeColor="text1"/>
        </w:rPr>
      </w:pPr>
      <w:r w:rsidRPr="00925DF4">
        <w:rPr>
          <w:rFonts w:cs="Arial"/>
          <w:b/>
          <w:bCs/>
          <w:color w:val="1D1D1B" w:themeColor="text1"/>
        </w:rPr>
        <w:t xml:space="preserve">By this we mean </w:t>
      </w:r>
      <w:r>
        <w:rPr>
          <w:rFonts w:cs="Arial"/>
          <w:b/>
          <w:bCs/>
          <w:color w:val="1D1D1B" w:themeColor="text1"/>
        </w:rPr>
        <w:t xml:space="preserve">putting staff on furlough, accessing a government or local authority grant, experiencing </w:t>
      </w:r>
      <w:r w:rsidRPr="00925DF4">
        <w:rPr>
          <w:rFonts w:cs="Arial"/>
          <w:b/>
          <w:bCs/>
          <w:color w:val="1D1D1B" w:themeColor="text1"/>
        </w:rPr>
        <w:t xml:space="preserve">a fall in demand, </w:t>
      </w:r>
      <w:r>
        <w:rPr>
          <w:rFonts w:cs="Arial"/>
          <w:b/>
          <w:bCs/>
          <w:color w:val="1D1D1B" w:themeColor="text1"/>
        </w:rPr>
        <w:t xml:space="preserve">facing any operational challenges, </w:t>
      </w:r>
      <w:r w:rsidRPr="00925DF4">
        <w:rPr>
          <w:rFonts w:cs="Arial"/>
          <w:b/>
          <w:bCs/>
          <w:color w:val="1D1D1B" w:themeColor="text1"/>
        </w:rPr>
        <w:t xml:space="preserve">increase in costs or unexpected business expenses, and/or business constraints resulting from social distancing and/or lockdowns. </w:t>
      </w:r>
    </w:p>
    <w:p w14:paraId="42EB8ED8" w14:textId="2E699E3C" w:rsidR="006E0879" w:rsidRDefault="006E0879" w:rsidP="006E0879">
      <w:pPr>
        <w:rPr>
          <w:rFonts w:cs="Arial"/>
          <w:b/>
          <w:bCs/>
          <w:color w:val="1D1D1B" w:themeColor="text1"/>
        </w:rPr>
      </w:pPr>
      <w:r>
        <w:rPr>
          <w:rFonts w:cs="Arial"/>
          <w:b/>
          <w:bCs/>
          <w:color w:val="1D1D1B" w:themeColor="text1"/>
        </w:rPr>
        <w:t xml:space="preserve">This could also include an unexpected rise in demand as a result of the pandemic. </w:t>
      </w:r>
    </w:p>
    <w:p w14:paraId="14178FF6" w14:textId="37EB0339" w:rsidR="006E0879" w:rsidRDefault="006E0879" w:rsidP="006E0879">
      <w:pPr>
        <w:rPr>
          <w:rFonts w:cs="Arial"/>
          <w:color w:val="FF0000"/>
        </w:rPr>
      </w:pPr>
      <w:r>
        <w:rPr>
          <w:rFonts w:cs="Arial"/>
          <w:color w:val="FF0000"/>
        </w:rPr>
        <w:t>SINGLE CODE</w:t>
      </w:r>
      <w:r w:rsidRPr="00925DF4">
        <w:rPr>
          <w:rFonts w:cs="Arial"/>
          <w:color w:val="FF0000"/>
        </w:rPr>
        <w:t xml:space="preserve"> ONLY</w:t>
      </w:r>
    </w:p>
    <w:p w14:paraId="0A2F1C04" w14:textId="6CBEA264" w:rsidR="006E0879" w:rsidRPr="00C31D26" w:rsidRDefault="006E0879" w:rsidP="006E0879">
      <w:pPr>
        <w:rPr>
          <w:rFonts w:cs="Arial"/>
          <w:color w:val="FF0000"/>
        </w:rPr>
      </w:pPr>
      <w:r w:rsidRPr="00925DF4">
        <w:rPr>
          <w:color w:val="FF0000"/>
        </w:rPr>
        <w:t>INTERVIEWER</w:t>
      </w:r>
      <w:r>
        <w:rPr>
          <w:color w:val="FF0000"/>
        </w:rPr>
        <w:t xml:space="preserve"> IF ANSWER IS NO: PLEASE PROBE FULLY AND EXPLORE ANY ISSUES BUSINESSES MIGHT HAVE FACED. EVEN IF THEY DID NOT NEED FINANCIAL HELP, PUTTING STAFF ON FURLOUGH COUNTS AS AN ISSUE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3577"/>
        <w:gridCol w:w="1126"/>
        <w:gridCol w:w="5441"/>
      </w:tblGrid>
      <w:tr w:rsidR="006E0879" w14:paraId="036F179B"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4C526CDD" w14:textId="77777777" w:rsidR="006E0879" w:rsidRDefault="006E0879" w:rsidP="00AB3D40">
            <w:pPr>
              <w:pStyle w:val="responsecodes"/>
              <w:tabs>
                <w:tab w:val="left" w:pos="0"/>
                <w:tab w:val="left" w:leader="dot" w:pos="8280"/>
              </w:tabs>
              <w:spacing w:before="60" w:line="254" w:lineRule="auto"/>
              <w:ind w:left="0"/>
              <w:rPr>
                <w:bCs w:val="0"/>
                <w:color w:val="1D1D1B" w:themeColor="text1"/>
                <w:sz w:val="20"/>
                <w:szCs w:val="20"/>
              </w:rPr>
            </w:pPr>
            <w:r>
              <w:rPr>
                <w:bCs w:val="0"/>
                <w:color w:val="1D1D1B" w:themeColor="text1"/>
                <w:sz w:val="20"/>
                <w:szCs w:val="20"/>
              </w:rPr>
              <w:t>Yes – major challenge(s)</w:t>
            </w:r>
          </w:p>
        </w:tc>
        <w:tc>
          <w:tcPr>
            <w:tcW w:w="555" w:type="pct"/>
            <w:tcBorders>
              <w:top w:val="single" w:sz="4" w:space="0" w:color="auto"/>
              <w:left w:val="single" w:sz="4" w:space="0" w:color="auto"/>
              <w:bottom w:val="single" w:sz="4" w:space="0" w:color="auto"/>
              <w:right w:val="single" w:sz="4" w:space="0" w:color="auto"/>
            </w:tcBorders>
            <w:vAlign w:val="center"/>
            <w:hideMark/>
          </w:tcPr>
          <w:p w14:paraId="112748F5" w14:textId="77777777" w:rsidR="006E0879" w:rsidRDefault="006E0879" w:rsidP="00AB3D40">
            <w:pPr>
              <w:spacing w:before="60" w:line="254" w:lineRule="auto"/>
              <w:jc w:val="center"/>
              <w:rPr>
                <w:rFonts w:cs="Arial"/>
                <w:color w:val="1D1D1B" w:themeColor="text1"/>
              </w:rPr>
            </w:pPr>
            <w:r>
              <w:rPr>
                <w:rFonts w:cs="Arial"/>
                <w:color w:val="1D1D1B" w:themeColor="text1"/>
              </w:rPr>
              <w:t>1</w:t>
            </w:r>
          </w:p>
        </w:tc>
        <w:tc>
          <w:tcPr>
            <w:tcW w:w="2682" w:type="pct"/>
            <w:tcBorders>
              <w:top w:val="single" w:sz="4" w:space="0" w:color="auto"/>
              <w:left w:val="single" w:sz="4" w:space="0" w:color="auto"/>
              <w:bottom w:val="single" w:sz="4" w:space="0" w:color="auto"/>
              <w:right w:val="single" w:sz="4" w:space="0" w:color="auto"/>
            </w:tcBorders>
            <w:hideMark/>
          </w:tcPr>
          <w:p w14:paraId="2B269D59" w14:textId="77777777" w:rsidR="006E0879" w:rsidRDefault="006E0879" w:rsidP="00AB3D40">
            <w:pPr>
              <w:spacing w:before="60" w:line="254" w:lineRule="auto"/>
              <w:ind w:left="120"/>
              <w:rPr>
                <w:rFonts w:cs="Arial"/>
                <w:color w:val="1D1D1B" w:themeColor="text1"/>
              </w:rPr>
            </w:pPr>
            <w:r>
              <w:rPr>
                <w:rFonts w:cs="Arial"/>
                <w:color w:val="FF0000"/>
              </w:rPr>
              <w:t xml:space="preserve">CONTINUE </w:t>
            </w:r>
          </w:p>
        </w:tc>
      </w:tr>
      <w:tr w:rsidR="006E0879" w14:paraId="7029CA4F"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57E95898" w14:textId="77777777" w:rsidR="006E0879" w:rsidRDefault="006E0879" w:rsidP="00AB3D40">
            <w:pPr>
              <w:pStyle w:val="responsecodes"/>
              <w:tabs>
                <w:tab w:val="left" w:pos="0"/>
                <w:tab w:val="left" w:leader="dot" w:pos="8280"/>
              </w:tabs>
              <w:spacing w:before="60" w:line="254" w:lineRule="auto"/>
              <w:ind w:left="0"/>
              <w:rPr>
                <w:bCs w:val="0"/>
                <w:color w:val="1D1D1B" w:themeColor="text1"/>
                <w:sz w:val="20"/>
                <w:szCs w:val="20"/>
              </w:rPr>
            </w:pPr>
            <w:r>
              <w:rPr>
                <w:bCs w:val="0"/>
                <w:color w:val="1D1D1B" w:themeColor="text1"/>
                <w:sz w:val="20"/>
                <w:szCs w:val="20"/>
              </w:rPr>
              <w:t>Yes – major opportunity(ies)</w:t>
            </w:r>
          </w:p>
        </w:tc>
        <w:tc>
          <w:tcPr>
            <w:tcW w:w="555" w:type="pct"/>
            <w:tcBorders>
              <w:top w:val="single" w:sz="4" w:space="0" w:color="auto"/>
              <w:left w:val="single" w:sz="4" w:space="0" w:color="auto"/>
              <w:bottom w:val="single" w:sz="4" w:space="0" w:color="auto"/>
              <w:right w:val="single" w:sz="4" w:space="0" w:color="auto"/>
            </w:tcBorders>
            <w:vAlign w:val="center"/>
            <w:hideMark/>
          </w:tcPr>
          <w:p w14:paraId="2DF89D68" w14:textId="77777777" w:rsidR="006E0879" w:rsidRDefault="006E0879" w:rsidP="00AB3D40">
            <w:pPr>
              <w:spacing w:before="60" w:line="254" w:lineRule="auto"/>
              <w:jc w:val="center"/>
              <w:rPr>
                <w:rFonts w:cs="Arial"/>
                <w:color w:val="1D1D1B" w:themeColor="text1"/>
              </w:rPr>
            </w:pPr>
            <w:r>
              <w:rPr>
                <w:rFonts w:cs="Arial"/>
                <w:color w:val="1D1D1B" w:themeColor="text1"/>
              </w:rPr>
              <w:t>2</w:t>
            </w:r>
          </w:p>
        </w:tc>
        <w:tc>
          <w:tcPr>
            <w:tcW w:w="2682" w:type="pct"/>
            <w:tcBorders>
              <w:top w:val="single" w:sz="4" w:space="0" w:color="auto"/>
              <w:left w:val="single" w:sz="4" w:space="0" w:color="auto"/>
              <w:bottom w:val="single" w:sz="4" w:space="0" w:color="auto"/>
              <w:right w:val="single" w:sz="4" w:space="0" w:color="auto"/>
            </w:tcBorders>
            <w:hideMark/>
          </w:tcPr>
          <w:p w14:paraId="35BB5E9F" w14:textId="77777777" w:rsidR="006E0879" w:rsidRDefault="006E0879" w:rsidP="00AB3D40">
            <w:pPr>
              <w:spacing w:before="60" w:line="254" w:lineRule="auto"/>
              <w:ind w:left="120"/>
              <w:rPr>
                <w:rFonts w:cs="Arial"/>
                <w:color w:val="FF0000"/>
              </w:rPr>
            </w:pPr>
            <w:r>
              <w:rPr>
                <w:rFonts w:cs="Arial"/>
                <w:color w:val="FF0000"/>
              </w:rPr>
              <w:t xml:space="preserve">CONTINUE </w:t>
            </w:r>
          </w:p>
        </w:tc>
      </w:tr>
      <w:tr w:rsidR="006E0879" w14:paraId="5D818773"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tcPr>
          <w:p w14:paraId="0E431CA8" w14:textId="77777777" w:rsidR="006E0879" w:rsidRDefault="006E0879" w:rsidP="00AB3D40">
            <w:pPr>
              <w:pStyle w:val="responsecodes"/>
              <w:tabs>
                <w:tab w:val="left" w:pos="0"/>
                <w:tab w:val="left" w:leader="dot" w:pos="8280"/>
              </w:tabs>
              <w:spacing w:before="60" w:line="254" w:lineRule="auto"/>
              <w:ind w:left="0"/>
              <w:rPr>
                <w:bCs w:val="0"/>
                <w:color w:val="1D1D1B" w:themeColor="text1"/>
                <w:sz w:val="20"/>
                <w:szCs w:val="20"/>
              </w:rPr>
            </w:pPr>
            <w:r>
              <w:rPr>
                <w:bCs w:val="0"/>
                <w:color w:val="1D1D1B" w:themeColor="text1"/>
                <w:sz w:val="20"/>
                <w:szCs w:val="20"/>
              </w:rPr>
              <w:t>Yes – minor challenge(s)</w:t>
            </w:r>
          </w:p>
        </w:tc>
        <w:tc>
          <w:tcPr>
            <w:tcW w:w="555" w:type="pct"/>
            <w:tcBorders>
              <w:top w:val="single" w:sz="4" w:space="0" w:color="auto"/>
              <w:left w:val="single" w:sz="4" w:space="0" w:color="auto"/>
              <w:bottom w:val="single" w:sz="4" w:space="0" w:color="auto"/>
              <w:right w:val="single" w:sz="4" w:space="0" w:color="auto"/>
            </w:tcBorders>
            <w:vAlign w:val="center"/>
          </w:tcPr>
          <w:p w14:paraId="3FAF187F" w14:textId="77777777" w:rsidR="006E0879" w:rsidRDefault="006E0879" w:rsidP="00AB3D40">
            <w:pPr>
              <w:spacing w:before="60" w:line="254" w:lineRule="auto"/>
              <w:jc w:val="center"/>
              <w:rPr>
                <w:rFonts w:cs="Arial"/>
                <w:color w:val="1D1D1B" w:themeColor="text1"/>
              </w:rPr>
            </w:pPr>
            <w:r>
              <w:rPr>
                <w:rFonts w:cs="Arial"/>
                <w:color w:val="1D1D1B" w:themeColor="text1"/>
              </w:rPr>
              <w:t>3</w:t>
            </w:r>
          </w:p>
        </w:tc>
        <w:tc>
          <w:tcPr>
            <w:tcW w:w="2682" w:type="pct"/>
            <w:tcBorders>
              <w:top w:val="single" w:sz="4" w:space="0" w:color="auto"/>
              <w:left w:val="single" w:sz="4" w:space="0" w:color="auto"/>
              <w:bottom w:val="single" w:sz="4" w:space="0" w:color="auto"/>
              <w:right w:val="single" w:sz="4" w:space="0" w:color="auto"/>
            </w:tcBorders>
          </w:tcPr>
          <w:p w14:paraId="3B4B9435" w14:textId="77777777" w:rsidR="006E0879" w:rsidRDefault="006E0879" w:rsidP="00AB3D40">
            <w:pPr>
              <w:spacing w:before="60" w:line="254" w:lineRule="auto"/>
              <w:ind w:left="120"/>
              <w:rPr>
                <w:rFonts w:cs="Arial"/>
                <w:color w:val="FF0000"/>
              </w:rPr>
            </w:pPr>
            <w:r>
              <w:rPr>
                <w:rFonts w:cs="Arial"/>
                <w:color w:val="FF0000"/>
              </w:rPr>
              <w:t xml:space="preserve">CONTINUE </w:t>
            </w:r>
          </w:p>
        </w:tc>
      </w:tr>
      <w:tr w:rsidR="006E0879" w14:paraId="2296F9A8"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tcPr>
          <w:p w14:paraId="4D362A95" w14:textId="77777777" w:rsidR="006E0879" w:rsidRDefault="006E0879" w:rsidP="00AB3D40">
            <w:pPr>
              <w:pStyle w:val="responsecodes"/>
              <w:tabs>
                <w:tab w:val="left" w:pos="0"/>
                <w:tab w:val="left" w:leader="dot" w:pos="8280"/>
              </w:tabs>
              <w:spacing w:before="60" w:line="254" w:lineRule="auto"/>
              <w:ind w:left="0"/>
              <w:rPr>
                <w:bCs w:val="0"/>
                <w:color w:val="1D1D1B" w:themeColor="text1"/>
                <w:sz w:val="20"/>
                <w:szCs w:val="20"/>
              </w:rPr>
            </w:pPr>
            <w:r>
              <w:rPr>
                <w:bCs w:val="0"/>
                <w:color w:val="1D1D1B" w:themeColor="text1"/>
                <w:sz w:val="20"/>
                <w:szCs w:val="20"/>
              </w:rPr>
              <w:t>Yes – minor opportunity(ies)</w:t>
            </w:r>
          </w:p>
        </w:tc>
        <w:tc>
          <w:tcPr>
            <w:tcW w:w="555" w:type="pct"/>
            <w:tcBorders>
              <w:top w:val="single" w:sz="4" w:space="0" w:color="auto"/>
              <w:left w:val="single" w:sz="4" w:space="0" w:color="auto"/>
              <w:bottom w:val="single" w:sz="4" w:space="0" w:color="auto"/>
              <w:right w:val="single" w:sz="4" w:space="0" w:color="auto"/>
            </w:tcBorders>
            <w:vAlign w:val="center"/>
          </w:tcPr>
          <w:p w14:paraId="320C6DDF" w14:textId="77777777" w:rsidR="006E0879" w:rsidRDefault="006E0879" w:rsidP="00AB3D40">
            <w:pPr>
              <w:spacing w:before="60" w:line="254" w:lineRule="auto"/>
              <w:jc w:val="center"/>
              <w:rPr>
                <w:rFonts w:cs="Arial"/>
                <w:color w:val="1D1D1B" w:themeColor="text1"/>
              </w:rPr>
            </w:pPr>
            <w:r>
              <w:rPr>
                <w:rFonts w:cs="Arial"/>
                <w:color w:val="1D1D1B" w:themeColor="text1"/>
              </w:rPr>
              <w:t>4</w:t>
            </w:r>
          </w:p>
        </w:tc>
        <w:tc>
          <w:tcPr>
            <w:tcW w:w="2682" w:type="pct"/>
            <w:tcBorders>
              <w:top w:val="single" w:sz="4" w:space="0" w:color="auto"/>
              <w:left w:val="single" w:sz="4" w:space="0" w:color="auto"/>
              <w:bottom w:val="single" w:sz="4" w:space="0" w:color="auto"/>
              <w:right w:val="single" w:sz="4" w:space="0" w:color="auto"/>
            </w:tcBorders>
          </w:tcPr>
          <w:p w14:paraId="21DFD264" w14:textId="77777777" w:rsidR="006E0879" w:rsidRDefault="006E0879" w:rsidP="00AB3D40">
            <w:pPr>
              <w:spacing w:before="60" w:line="254" w:lineRule="auto"/>
              <w:ind w:left="120"/>
              <w:rPr>
                <w:rFonts w:cs="Arial"/>
                <w:color w:val="FF0000"/>
              </w:rPr>
            </w:pPr>
            <w:r>
              <w:rPr>
                <w:rFonts w:cs="Arial"/>
                <w:color w:val="FF0000"/>
              </w:rPr>
              <w:t xml:space="preserve">CONTINUE </w:t>
            </w:r>
          </w:p>
        </w:tc>
      </w:tr>
      <w:tr w:rsidR="006E0879" w14:paraId="7F967349"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14F465C5" w14:textId="77777777" w:rsidR="006E0879" w:rsidRDefault="006E0879" w:rsidP="00AB3D40">
            <w:pPr>
              <w:pStyle w:val="responsecodes"/>
              <w:tabs>
                <w:tab w:val="left" w:pos="0"/>
                <w:tab w:val="left" w:leader="dot" w:pos="8280"/>
              </w:tabs>
              <w:spacing w:before="60" w:line="254" w:lineRule="auto"/>
              <w:ind w:left="0"/>
              <w:rPr>
                <w:bCs w:val="0"/>
                <w:color w:val="1D1D1B" w:themeColor="text1"/>
                <w:sz w:val="20"/>
                <w:szCs w:val="20"/>
              </w:rPr>
            </w:pPr>
            <w:r>
              <w:rPr>
                <w:bCs w:val="0"/>
                <w:color w:val="1D1D1B" w:themeColor="text1"/>
                <w:sz w:val="20"/>
                <w:szCs w:val="20"/>
              </w:rPr>
              <w:t xml:space="preserve">No </w:t>
            </w:r>
          </w:p>
        </w:tc>
        <w:tc>
          <w:tcPr>
            <w:tcW w:w="555" w:type="pct"/>
            <w:tcBorders>
              <w:top w:val="single" w:sz="4" w:space="0" w:color="auto"/>
              <w:left w:val="single" w:sz="4" w:space="0" w:color="auto"/>
              <w:bottom w:val="single" w:sz="4" w:space="0" w:color="auto"/>
              <w:right w:val="single" w:sz="4" w:space="0" w:color="auto"/>
            </w:tcBorders>
            <w:vAlign w:val="center"/>
            <w:hideMark/>
          </w:tcPr>
          <w:p w14:paraId="7EF0F1D5" w14:textId="77777777" w:rsidR="006E0879" w:rsidRDefault="006E0879" w:rsidP="00AB3D40">
            <w:pPr>
              <w:spacing w:before="60" w:line="254" w:lineRule="auto"/>
              <w:jc w:val="center"/>
              <w:rPr>
                <w:rFonts w:cs="Arial"/>
                <w:color w:val="1D1D1B" w:themeColor="text1"/>
              </w:rPr>
            </w:pPr>
            <w:r>
              <w:rPr>
                <w:rFonts w:cs="Arial"/>
                <w:color w:val="1D1D1B" w:themeColor="text1"/>
              </w:rPr>
              <w:t>5</w:t>
            </w:r>
          </w:p>
        </w:tc>
        <w:tc>
          <w:tcPr>
            <w:tcW w:w="2682" w:type="pct"/>
            <w:tcBorders>
              <w:top w:val="single" w:sz="4" w:space="0" w:color="auto"/>
              <w:left w:val="single" w:sz="4" w:space="0" w:color="auto"/>
              <w:bottom w:val="single" w:sz="4" w:space="0" w:color="auto"/>
              <w:right w:val="single" w:sz="4" w:space="0" w:color="auto"/>
            </w:tcBorders>
            <w:hideMark/>
          </w:tcPr>
          <w:p w14:paraId="7C7A6C37" w14:textId="77777777" w:rsidR="006E0879" w:rsidRDefault="006E0879" w:rsidP="00AB3D40">
            <w:pPr>
              <w:spacing w:before="60" w:line="254" w:lineRule="auto"/>
              <w:ind w:left="120"/>
              <w:rPr>
                <w:rFonts w:cs="Arial"/>
                <w:color w:val="1D1D1B" w:themeColor="text1"/>
              </w:rPr>
            </w:pPr>
            <w:r>
              <w:rPr>
                <w:rFonts w:cs="Arial"/>
                <w:color w:val="FF0000"/>
              </w:rPr>
              <w:t>THANK AND CLOSE IF CONTROL GROUP, IF RECIPIENT ALLOW TO CONTINUE</w:t>
            </w:r>
          </w:p>
        </w:tc>
      </w:tr>
      <w:tr w:rsidR="006E0879" w14:paraId="2A7C4C37"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49D1BAB8" w14:textId="77777777" w:rsidR="006E0879" w:rsidRDefault="006E0879" w:rsidP="00AB3D40">
            <w:pPr>
              <w:pStyle w:val="responsecodes"/>
              <w:tabs>
                <w:tab w:val="left" w:pos="0"/>
                <w:tab w:val="left" w:leader="dot" w:pos="8280"/>
              </w:tabs>
              <w:spacing w:before="60" w:line="254" w:lineRule="auto"/>
              <w:ind w:left="0"/>
              <w:rPr>
                <w:bCs w:val="0"/>
                <w:color w:val="1D1D1B" w:themeColor="text1"/>
                <w:sz w:val="20"/>
                <w:szCs w:val="20"/>
              </w:rPr>
            </w:pPr>
            <w:r>
              <w:rPr>
                <w:bCs w:val="0"/>
                <w:color w:val="1D1D1B" w:themeColor="text1"/>
                <w:sz w:val="20"/>
                <w:szCs w:val="20"/>
              </w:rPr>
              <w:t>Don’t know</w:t>
            </w:r>
          </w:p>
        </w:tc>
        <w:tc>
          <w:tcPr>
            <w:tcW w:w="555" w:type="pct"/>
            <w:tcBorders>
              <w:top w:val="single" w:sz="4" w:space="0" w:color="auto"/>
              <w:left w:val="single" w:sz="4" w:space="0" w:color="auto"/>
              <w:bottom w:val="single" w:sz="4" w:space="0" w:color="auto"/>
              <w:right w:val="single" w:sz="4" w:space="0" w:color="auto"/>
            </w:tcBorders>
            <w:vAlign w:val="center"/>
            <w:hideMark/>
          </w:tcPr>
          <w:p w14:paraId="0DF500C9" w14:textId="77777777" w:rsidR="006E0879" w:rsidRDefault="006E0879" w:rsidP="00AB3D40">
            <w:pPr>
              <w:spacing w:before="60" w:line="254" w:lineRule="auto"/>
              <w:jc w:val="center"/>
              <w:rPr>
                <w:rFonts w:cs="Arial"/>
                <w:color w:val="1D1D1B" w:themeColor="text1"/>
              </w:rPr>
            </w:pPr>
            <w:r>
              <w:rPr>
                <w:rFonts w:cs="Arial"/>
                <w:color w:val="1D1D1B" w:themeColor="text1"/>
              </w:rPr>
              <w:t>98</w:t>
            </w:r>
          </w:p>
        </w:tc>
        <w:tc>
          <w:tcPr>
            <w:tcW w:w="2682" w:type="pct"/>
            <w:tcBorders>
              <w:top w:val="single" w:sz="4" w:space="0" w:color="auto"/>
              <w:left w:val="single" w:sz="4" w:space="0" w:color="auto"/>
              <w:bottom w:val="single" w:sz="4" w:space="0" w:color="auto"/>
              <w:right w:val="single" w:sz="4" w:space="0" w:color="auto"/>
            </w:tcBorders>
            <w:hideMark/>
          </w:tcPr>
          <w:p w14:paraId="0B2BCDA1" w14:textId="77777777" w:rsidR="006E0879" w:rsidRDefault="006E0879" w:rsidP="00AB3D40">
            <w:pPr>
              <w:spacing w:before="60" w:line="254" w:lineRule="auto"/>
              <w:ind w:left="120"/>
              <w:rPr>
                <w:rFonts w:cs="Arial"/>
                <w:color w:val="1D1D1B" w:themeColor="text1"/>
              </w:rPr>
            </w:pPr>
            <w:r>
              <w:rPr>
                <w:rFonts w:cs="Arial"/>
                <w:color w:val="FF0000"/>
              </w:rPr>
              <w:t>THANK AND CLOSE IF CONTROL GROUP, IF RECIPIENT ALLOW TO CONTINUE</w:t>
            </w:r>
          </w:p>
        </w:tc>
      </w:tr>
      <w:bookmarkEnd w:id="83"/>
    </w:tbl>
    <w:p w14:paraId="7D84B2B1" w14:textId="77777777" w:rsidR="006E0879" w:rsidRDefault="006E0879" w:rsidP="006E0879">
      <w:pPr>
        <w:rPr>
          <w:rFonts w:cs="Arial"/>
          <w:color w:val="1D1D1B" w:themeColor="text1"/>
        </w:rPr>
      </w:pPr>
    </w:p>
    <w:p w14:paraId="66C832E6" w14:textId="77777777" w:rsidR="006E0879" w:rsidRPr="00925DF4" w:rsidRDefault="006E0879" w:rsidP="006E0879">
      <w:pPr>
        <w:spacing w:after="160" w:line="259" w:lineRule="auto"/>
        <w:rPr>
          <w:rFonts w:cs="Arial"/>
          <w:color w:val="FF0000"/>
        </w:rPr>
      </w:pPr>
      <w:r w:rsidRPr="00925DF4">
        <w:rPr>
          <w:rFonts w:cs="Arial"/>
          <w:color w:val="FF0000"/>
        </w:rPr>
        <w:t>ASK ALL</w:t>
      </w:r>
    </w:p>
    <w:p w14:paraId="52E0FB88" w14:textId="0A017C8C" w:rsidR="006E0879" w:rsidRDefault="006E0879" w:rsidP="006E0879">
      <w:pPr>
        <w:rPr>
          <w:rFonts w:cs="Arial"/>
          <w:b/>
          <w:color w:val="1D1D1B" w:themeColor="text1"/>
        </w:rPr>
      </w:pPr>
      <w:r w:rsidRPr="00925DF4">
        <w:rPr>
          <w:rFonts w:cs="Arial"/>
          <w:b/>
          <w:color w:val="1D1D1B" w:themeColor="text1"/>
        </w:rPr>
        <w:t xml:space="preserve">S7 </w:t>
      </w:r>
    </w:p>
    <w:p w14:paraId="1C1E6680" w14:textId="77777777" w:rsidR="006E0879" w:rsidRDefault="006E0879" w:rsidP="006E0879">
      <w:pPr>
        <w:rPr>
          <w:rFonts w:cs="Arial"/>
          <w:b/>
          <w:color w:val="1D1D1B" w:themeColor="text1"/>
        </w:rPr>
      </w:pPr>
      <w:r>
        <w:rPr>
          <w:rFonts w:cs="Arial"/>
          <w:b/>
          <w:color w:val="1D1D1B" w:themeColor="text1"/>
        </w:rPr>
        <w:t>READ OUT TO LOAN RECIPIENT</w:t>
      </w:r>
    </w:p>
    <w:p w14:paraId="5466CCCE" w14:textId="250AE4B8" w:rsidR="006E0879" w:rsidRPr="00925DF4" w:rsidRDefault="006E0879" w:rsidP="006E0879">
      <w:pPr>
        <w:rPr>
          <w:rFonts w:cs="Arial"/>
          <w:b/>
          <w:color w:val="1D1D1B" w:themeColor="text1"/>
        </w:rPr>
      </w:pPr>
      <w:r>
        <w:rPr>
          <w:rFonts w:cs="Arial"/>
          <w:b/>
          <w:color w:val="1D1D1B" w:themeColor="text1"/>
        </w:rPr>
        <w:t xml:space="preserve">As a reminder, this survey is specifically about the Recovery Loan Scheme, which was launched by the Government in late April 2021, and closed at the end of 2021. This is distinct from the earlier loan schemes offered by the Government, such as Bounce Back Loans, Coronavirus Business Interruption Loans, or Coronavirus Large Business Interruption Loans, which you may have also applied for. </w:t>
      </w:r>
    </w:p>
    <w:p w14:paraId="06CBDCB2" w14:textId="14C5B967" w:rsidR="006E0879" w:rsidRPr="00925DF4" w:rsidRDefault="006E0879" w:rsidP="33259E91">
      <w:pPr>
        <w:rPr>
          <w:rFonts w:cs="Arial"/>
          <w:color w:val="FF0000"/>
        </w:rPr>
      </w:pPr>
      <w:r w:rsidRPr="33259E91">
        <w:rPr>
          <w:rFonts w:cs="Arial"/>
          <w:color w:val="FF0000"/>
        </w:rPr>
        <w:t xml:space="preserve">IF LOAN </w:t>
      </w:r>
      <w:r w:rsidR="6DFEF082" w:rsidRPr="33259E91">
        <w:rPr>
          <w:rFonts w:cs="Arial"/>
          <w:color w:val="FF0000"/>
        </w:rPr>
        <w:t>RECIPIENT:</w:t>
      </w:r>
    </w:p>
    <w:p w14:paraId="18A88F6C" w14:textId="040C5F74" w:rsidR="006E0879" w:rsidRPr="00C31D26" w:rsidRDefault="006E0879" w:rsidP="006E0879">
      <w:pPr>
        <w:rPr>
          <w:rFonts w:cs="Arial"/>
          <w:b/>
          <w:color w:val="1D1D1B" w:themeColor="text1"/>
        </w:rPr>
      </w:pPr>
      <w:r>
        <w:rPr>
          <w:rFonts w:cs="Arial"/>
          <w:b/>
          <w:color w:val="1D1D1B" w:themeColor="text1"/>
        </w:rPr>
        <w:t>C</w:t>
      </w:r>
      <w:r w:rsidRPr="00925DF4">
        <w:rPr>
          <w:rFonts w:cs="Arial"/>
          <w:b/>
          <w:color w:val="1D1D1B" w:themeColor="text1"/>
        </w:rPr>
        <w:t xml:space="preserve">an </w:t>
      </w:r>
      <w:r>
        <w:rPr>
          <w:rFonts w:cs="Arial"/>
          <w:b/>
          <w:color w:val="1D1D1B" w:themeColor="text1"/>
        </w:rPr>
        <w:t>you</w:t>
      </w:r>
      <w:r w:rsidRPr="00925DF4">
        <w:rPr>
          <w:rFonts w:cs="Arial"/>
          <w:b/>
          <w:color w:val="1D1D1B" w:themeColor="text1"/>
        </w:rPr>
        <w:t xml:space="preserve"> confirm </w:t>
      </w:r>
      <w:r>
        <w:rPr>
          <w:rFonts w:cs="Arial"/>
          <w:b/>
          <w:color w:val="1D1D1B" w:themeColor="text1"/>
        </w:rPr>
        <w:t xml:space="preserve">that </w:t>
      </w:r>
      <w:r w:rsidRPr="00925DF4">
        <w:rPr>
          <w:rFonts w:cs="Arial"/>
          <w:b/>
          <w:color w:val="1D1D1B" w:themeColor="text1"/>
        </w:rPr>
        <w:t xml:space="preserve">your business obtained finance through the </w:t>
      </w:r>
      <w:r w:rsidRPr="00E66935">
        <w:rPr>
          <w:rFonts w:cs="Arial"/>
          <w:b/>
          <w:bCs/>
        </w:rPr>
        <w:t>Recovery Loan Scheme</w:t>
      </w:r>
      <w:r>
        <w:rPr>
          <w:rFonts w:cs="Arial"/>
          <w:b/>
          <w:bCs/>
        </w:rPr>
        <w:t xml:space="preserve"> during these dates</w:t>
      </w:r>
      <w:r w:rsidRPr="00925DF4">
        <w:rPr>
          <w:rFonts w:cs="Arial"/>
          <w:b/>
          <w:color w:val="1D1D1B" w:themeColor="text1"/>
        </w:rPr>
        <w:t>?</w:t>
      </w:r>
    </w:p>
    <w:p w14:paraId="1592DC4F" w14:textId="77777777" w:rsidR="006E0879" w:rsidRPr="00925DF4" w:rsidRDefault="006E0879" w:rsidP="006E0879">
      <w:pPr>
        <w:rPr>
          <w:rFonts w:cs="Arial"/>
          <w:bCs/>
          <w:color w:val="FF0000"/>
        </w:rPr>
      </w:pPr>
      <w:r w:rsidRPr="00925DF4">
        <w:rPr>
          <w:rFonts w:cs="Arial"/>
          <w:bCs/>
          <w:color w:val="FF0000"/>
        </w:rPr>
        <w:t>IF CONTROL GROUP:</w:t>
      </w:r>
    </w:p>
    <w:p w14:paraId="3A3B0AC2" w14:textId="60A33092" w:rsidR="006E0879" w:rsidRPr="00C31D26" w:rsidRDefault="006E0879" w:rsidP="006E0879">
      <w:pPr>
        <w:rPr>
          <w:rFonts w:cs="Arial"/>
          <w:b/>
          <w:color w:val="1D1D1B" w:themeColor="text1"/>
        </w:rPr>
      </w:pPr>
      <w:r>
        <w:rPr>
          <w:rFonts w:cs="Arial"/>
          <w:b/>
          <w:color w:val="1D1D1B" w:themeColor="text1"/>
        </w:rPr>
        <w:t>H</w:t>
      </w:r>
      <w:r w:rsidRPr="00925DF4">
        <w:rPr>
          <w:rFonts w:cs="Arial"/>
          <w:b/>
          <w:color w:val="1D1D1B" w:themeColor="text1"/>
        </w:rPr>
        <w:t xml:space="preserve">ave you or your business obtained finance through </w:t>
      </w:r>
      <w:r>
        <w:rPr>
          <w:rFonts w:cs="Arial"/>
          <w:b/>
          <w:color w:val="1D1D1B" w:themeColor="text1"/>
        </w:rPr>
        <w:t>the Recovery Loan Scheme</w:t>
      </w:r>
      <w:r w:rsidRPr="00925DF4">
        <w:rPr>
          <w:rFonts w:cs="Arial"/>
          <w:b/>
          <w:bCs/>
          <w:color w:val="1D1D1B" w:themeColor="text1"/>
        </w:rPr>
        <w:t>?</w:t>
      </w:r>
      <w:r>
        <w:rPr>
          <w:rFonts w:cs="Arial"/>
          <w:b/>
          <w:bCs/>
          <w:color w:val="1D1D1B" w:themeColor="text1"/>
        </w:rPr>
        <w:t xml:space="preserve"> </w:t>
      </w:r>
      <w:r>
        <w:rPr>
          <w:rFonts w:cs="Arial"/>
          <w:b/>
          <w:color w:val="1D1D1B" w:themeColor="text1"/>
        </w:rPr>
        <w:t xml:space="preserve">This scheme was launched by the Government in late April 2021, and closed at the end of 2021. This is distinct from the earlier loan schemes offered by the Government, such as Bounce Back Loans, Coronavirus Business Interruption Loans, or Coronavirus Large Business Interruption Loans, which you may have also applied for.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3577"/>
        <w:gridCol w:w="1126"/>
        <w:gridCol w:w="5441"/>
      </w:tblGrid>
      <w:tr w:rsidR="006E0879" w:rsidRPr="00925DF4" w14:paraId="19E9BA19"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hideMark/>
          </w:tcPr>
          <w:p w14:paraId="06187644"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 xml:space="preserve">Yes </w:t>
            </w:r>
          </w:p>
        </w:tc>
        <w:tc>
          <w:tcPr>
            <w:tcW w:w="555" w:type="pct"/>
            <w:tcBorders>
              <w:top w:val="single" w:sz="4" w:space="0" w:color="auto"/>
              <w:left w:val="single" w:sz="4" w:space="0" w:color="auto"/>
              <w:bottom w:val="single" w:sz="4" w:space="0" w:color="auto"/>
              <w:right w:val="single" w:sz="4" w:space="0" w:color="auto"/>
            </w:tcBorders>
            <w:vAlign w:val="center"/>
            <w:hideMark/>
          </w:tcPr>
          <w:p w14:paraId="737DD49C"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p>
        </w:tc>
        <w:tc>
          <w:tcPr>
            <w:tcW w:w="2682" w:type="pct"/>
            <w:tcBorders>
              <w:top w:val="single" w:sz="4" w:space="0" w:color="auto"/>
              <w:left w:val="single" w:sz="4" w:space="0" w:color="auto"/>
              <w:bottom w:val="single" w:sz="4" w:space="0" w:color="auto"/>
              <w:right w:val="single" w:sz="4" w:space="0" w:color="auto"/>
            </w:tcBorders>
            <w:hideMark/>
          </w:tcPr>
          <w:p w14:paraId="3D525092" w14:textId="77777777" w:rsidR="006E0879" w:rsidRPr="00925DF4" w:rsidRDefault="006E0879" w:rsidP="00AB3D40">
            <w:pPr>
              <w:spacing w:before="60"/>
              <w:ind w:left="120"/>
              <w:rPr>
                <w:rFonts w:cs="Arial"/>
                <w:color w:val="1D1D1B" w:themeColor="text1"/>
              </w:rPr>
            </w:pPr>
            <w:r w:rsidRPr="00925DF4">
              <w:rPr>
                <w:rFonts w:cs="Arial"/>
                <w:color w:val="FF0000"/>
              </w:rPr>
              <w:t xml:space="preserve">CONTINUE IF RECIPIENT, CLOSE IF CONTROL GROUP </w:t>
            </w:r>
            <w:r>
              <w:rPr>
                <w:rFonts w:cs="Arial"/>
                <w:color w:val="FF0000"/>
              </w:rPr>
              <w:t>AND NO CRN PROVIDED, IF CRN IS PROVIDED ALLOW AS LOAN RECIPIENT</w:t>
            </w:r>
          </w:p>
        </w:tc>
      </w:tr>
      <w:tr w:rsidR="006E0879" w:rsidRPr="00925DF4" w14:paraId="70B704BB"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tcPr>
          <w:p w14:paraId="36950861"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No</w:t>
            </w:r>
          </w:p>
        </w:tc>
        <w:tc>
          <w:tcPr>
            <w:tcW w:w="555" w:type="pct"/>
            <w:tcBorders>
              <w:top w:val="single" w:sz="4" w:space="0" w:color="auto"/>
              <w:left w:val="single" w:sz="4" w:space="0" w:color="auto"/>
              <w:bottom w:val="single" w:sz="4" w:space="0" w:color="auto"/>
              <w:right w:val="single" w:sz="4" w:space="0" w:color="auto"/>
            </w:tcBorders>
            <w:vAlign w:val="center"/>
          </w:tcPr>
          <w:p w14:paraId="0E6F4D07" w14:textId="77777777" w:rsidR="006E0879" w:rsidRPr="00925DF4" w:rsidRDefault="006E0879" w:rsidP="00AB3D40">
            <w:pPr>
              <w:spacing w:before="60"/>
              <w:jc w:val="center"/>
              <w:rPr>
                <w:rFonts w:cs="Arial"/>
                <w:color w:val="1D1D1B" w:themeColor="text1"/>
              </w:rPr>
            </w:pPr>
            <w:r>
              <w:rPr>
                <w:rFonts w:cs="Arial"/>
                <w:color w:val="1D1D1B" w:themeColor="text1"/>
              </w:rPr>
              <w:t>2</w:t>
            </w:r>
          </w:p>
        </w:tc>
        <w:tc>
          <w:tcPr>
            <w:tcW w:w="2682" w:type="pct"/>
            <w:tcBorders>
              <w:top w:val="single" w:sz="4" w:space="0" w:color="auto"/>
              <w:left w:val="single" w:sz="4" w:space="0" w:color="auto"/>
              <w:bottom w:val="single" w:sz="4" w:space="0" w:color="auto"/>
              <w:right w:val="single" w:sz="4" w:space="0" w:color="auto"/>
            </w:tcBorders>
          </w:tcPr>
          <w:p w14:paraId="5EEACC93" w14:textId="77777777" w:rsidR="006E0879" w:rsidRPr="00925DF4" w:rsidRDefault="006E0879" w:rsidP="00AB3D40">
            <w:pPr>
              <w:spacing w:before="60"/>
              <w:ind w:left="120"/>
              <w:rPr>
                <w:rFonts w:cs="Arial"/>
                <w:color w:val="FF0000"/>
              </w:rPr>
            </w:pPr>
            <w:r w:rsidRPr="00925DF4">
              <w:rPr>
                <w:rFonts w:cs="Arial"/>
                <w:color w:val="FF0000"/>
              </w:rPr>
              <w:t xml:space="preserve">CLOSE IF RECIPIENT, CONTINUE IF CONTROL GROUP </w:t>
            </w:r>
          </w:p>
        </w:tc>
      </w:tr>
      <w:tr w:rsidR="006E0879" w:rsidRPr="00925DF4" w14:paraId="4FBDF4FF" w14:textId="77777777" w:rsidTr="00AB3D40">
        <w:trPr>
          <w:cantSplit/>
          <w:trHeight w:val="320"/>
        </w:trPr>
        <w:tc>
          <w:tcPr>
            <w:tcW w:w="1763" w:type="pct"/>
            <w:tcBorders>
              <w:top w:val="single" w:sz="4" w:space="0" w:color="auto"/>
              <w:left w:val="single" w:sz="4" w:space="0" w:color="auto"/>
              <w:bottom w:val="single" w:sz="4" w:space="0" w:color="auto"/>
              <w:right w:val="single" w:sz="4" w:space="0" w:color="auto"/>
            </w:tcBorders>
          </w:tcPr>
          <w:p w14:paraId="383D7843"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Don’t know</w:t>
            </w:r>
          </w:p>
        </w:tc>
        <w:tc>
          <w:tcPr>
            <w:tcW w:w="555" w:type="pct"/>
            <w:tcBorders>
              <w:top w:val="single" w:sz="4" w:space="0" w:color="auto"/>
              <w:left w:val="single" w:sz="4" w:space="0" w:color="auto"/>
              <w:bottom w:val="single" w:sz="4" w:space="0" w:color="auto"/>
              <w:right w:val="single" w:sz="4" w:space="0" w:color="auto"/>
            </w:tcBorders>
            <w:vAlign w:val="center"/>
          </w:tcPr>
          <w:p w14:paraId="293B85C5" w14:textId="77777777" w:rsidR="006E0879" w:rsidRPr="00925DF4" w:rsidRDefault="006E0879" w:rsidP="00AB3D40">
            <w:pPr>
              <w:spacing w:before="60"/>
              <w:jc w:val="center"/>
              <w:rPr>
                <w:rFonts w:cs="Arial"/>
                <w:color w:val="1D1D1B" w:themeColor="text1"/>
              </w:rPr>
            </w:pPr>
            <w:r w:rsidRPr="00925DF4">
              <w:rPr>
                <w:rFonts w:cs="Arial"/>
                <w:color w:val="1D1D1B" w:themeColor="text1"/>
              </w:rPr>
              <w:t>98</w:t>
            </w:r>
          </w:p>
        </w:tc>
        <w:tc>
          <w:tcPr>
            <w:tcW w:w="2682" w:type="pct"/>
            <w:tcBorders>
              <w:top w:val="single" w:sz="4" w:space="0" w:color="auto"/>
              <w:left w:val="single" w:sz="4" w:space="0" w:color="auto"/>
              <w:bottom w:val="single" w:sz="4" w:space="0" w:color="auto"/>
              <w:right w:val="single" w:sz="4" w:space="0" w:color="auto"/>
            </w:tcBorders>
          </w:tcPr>
          <w:p w14:paraId="6B87B1D4" w14:textId="77777777" w:rsidR="006E0879" w:rsidRPr="00925DF4" w:rsidRDefault="006E0879" w:rsidP="00AB3D40">
            <w:pPr>
              <w:spacing w:before="60"/>
              <w:ind w:left="120"/>
              <w:rPr>
                <w:rFonts w:cs="Arial"/>
                <w:color w:val="1D1D1B" w:themeColor="text1"/>
              </w:rPr>
            </w:pPr>
            <w:r w:rsidRPr="00925DF4">
              <w:rPr>
                <w:rFonts w:cs="Arial"/>
                <w:color w:val="FF0000"/>
              </w:rPr>
              <w:t xml:space="preserve">CLOSE IF RECIPIENT, CONTINUE IF CONTROL GROUP </w:t>
            </w:r>
          </w:p>
        </w:tc>
      </w:tr>
    </w:tbl>
    <w:p w14:paraId="456CB287" w14:textId="77777777" w:rsidR="006E0879" w:rsidRPr="00925DF4" w:rsidRDefault="006E0879" w:rsidP="006E0879">
      <w:pPr>
        <w:tabs>
          <w:tab w:val="left" w:pos="720"/>
        </w:tabs>
        <w:rPr>
          <w:rFonts w:cs="Arial"/>
          <w:color w:val="1D1D1B" w:themeColor="text1"/>
        </w:rPr>
      </w:pPr>
    </w:p>
    <w:p w14:paraId="7609C15A" w14:textId="77777777" w:rsidR="006E0879" w:rsidRDefault="006E0879" w:rsidP="006E0879">
      <w:pPr>
        <w:rPr>
          <w:rFonts w:cs="Arial"/>
          <w:color w:val="1D1D1B" w:themeColor="text1"/>
          <w:lang w:eastAsia="en-GB"/>
        </w:rPr>
      </w:pPr>
    </w:p>
    <w:p w14:paraId="6F4B9181" w14:textId="77777777" w:rsidR="006E0879" w:rsidRDefault="006E0879" w:rsidP="006E0879">
      <w:r>
        <w:t>IF CONTROL GROUPS ANSWER CODE 1 AND THEY HAVE A CRN/COMPANY REGISTRATION NUMBERS IN THE SAMPLE, THEY WILL NO LONGER SCREEN OUT BUT WILL BE ALLOWED TO CONTINUE AS ONE OF THE RECIPIENT GROUPS.</w:t>
      </w:r>
    </w:p>
    <w:p w14:paraId="1A9DBCA7" w14:textId="3A77F983" w:rsidR="006E0879" w:rsidRPr="00C31D26" w:rsidRDefault="006E0879" w:rsidP="006E0879">
      <w:r>
        <w:t xml:space="preserve">FOR THE REMAINING QUESTIONNAIRE, THEY NEED TO BE TREATED AS RECIPIENTS AND BE SHOWN ALL OF THE RELEVANT QUESTIONS. </w:t>
      </w:r>
    </w:p>
    <w:p w14:paraId="305B2025" w14:textId="77777777" w:rsidR="006E0879" w:rsidRPr="00925DF4" w:rsidRDefault="006E0879" w:rsidP="006E0879">
      <w:pPr>
        <w:rPr>
          <w:rFonts w:cs="Arial"/>
          <w:b/>
          <w:bCs/>
          <w:color w:val="1D1D1B" w:themeColor="text1"/>
        </w:rPr>
      </w:pPr>
      <w:r w:rsidRPr="00925DF4">
        <w:rPr>
          <w:rFonts w:cs="Arial"/>
          <w:b/>
          <w:bCs/>
          <w:color w:val="1D1D1B" w:themeColor="text1"/>
        </w:rPr>
        <w:t xml:space="preserve">S8 </w:t>
      </w:r>
    </w:p>
    <w:p w14:paraId="32ECFE3D" w14:textId="77777777" w:rsidR="006E0879" w:rsidRPr="00925DF4" w:rsidRDefault="006E0879" w:rsidP="006E0879">
      <w:pPr>
        <w:rPr>
          <w:rFonts w:cs="Arial"/>
          <w:b/>
          <w:color w:val="1D1D1B" w:themeColor="text1"/>
        </w:rPr>
      </w:pPr>
      <w:r w:rsidRPr="00925DF4">
        <w:rPr>
          <w:rFonts w:cs="Arial"/>
          <w:b/>
          <w:bCs/>
          <w:color w:val="FF0000"/>
        </w:rPr>
        <w:t>[FOR CONTROL GROU</w:t>
      </w:r>
      <w:r>
        <w:rPr>
          <w:rFonts w:cs="Arial"/>
          <w:b/>
          <w:bCs/>
          <w:color w:val="FF0000"/>
        </w:rPr>
        <w:t>P</w:t>
      </w:r>
      <w:r w:rsidRPr="00925DF4">
        <w:rPr>
          <w:rFonts w:cs="Arial"/>
          <w:b/>
          <w:bCs/>
          <w:color w:val="FF0000"/>
        </w:rPr>
        <w:t>]</w:t>
      </w:r>
    </w:p>
    <w:p w14:paraId="29B0F8AF" w14:textId="73EF3729" w:rsidR="006E0879" w:rsidRPr="00C31D26" w:rsidRDefault="006E0879" w:rsidP="006E0879">
      <w:pPr>
        <w:rPr>
          <w:rFonts w:cs="Arial"/>
          <w:bCs/>
          <w:color w:val="FF0000"/>
        </w:rPr>
      </w:pPr>
      <w:r w:rsidRPr="00925DF4">
        <w:rPr>
          <w:rFonts w:cs="Arial"/>
          <w:b/>
          <w:bCs/>
          <w:color w:val="1D1D1B" w:themeColor="text1"/>
        </w:rPr>
        <w:t>Did yo</w:t>
      </w:r>
      <w:r>
        <w:rPr>
          <w:rFonts w:cs="Arial"/>
          <w:b/>
          <w:bCs/>
          <w:color w:val="1D1D1B" w:themeColor="text1"/>
        </w:rPr>
        <w:t>u</w:t>
      </w:r>
      <w:r w:rsidRPr="00925DF4">
        <w:rPr>
          <w:rFonts w:cs="Arial"/>
          <w:b/>
          <w:bCs/>
        </w:rPr>
        <w:t xml:space="preserve"> </w:t>
      </w:r>
      <w:r w:rsidRPr="00925DF4">
        <w:rPr>
          <w:rFonts w:cs="Arial"/>
          <w:b/>
          <w:bCs/>
          <w:color w:val="1D1D1B" w:themeColor="text1"/>
        </w:rPr>
        <w:t xml:space="preserve">apply for external finance </w:t>
      </w:r>
      <w:r>
        <w:rPr>
          <w:rFonts w:cs="Arial"/>
          <w:b/>
          <w:bCs/>
          <w:color w:val="1D1D1B" w:themeColor="text1"/>
        </w:rPr>
        <w:t>that would be provided under</w:t>
      </w:r>
      <w:r w:rsidRPr="00925DF4">
        <w:rPr>
          <w:rFonts w:cs="Arial"/>
          <w:b/>
          <w:bCs/>
          <w:color w:val="1D1D1B" w:themeColor="text1"/>
        </w:rPr>
        <w:t xml:space="preserve"> </w:t>
      </w:r>
      <w:r>
        <w:rPr>
          <w:rFonts w:cs="Arial"/>
          <w:b/>
          <w:bCs/>
          <w:color w:val="1D1D1B" w:themeColor="text1"/>
        </w:rPr>
        <w:t>the Recovery Loan Scheme</w:t>
      </w:r>
      <w:r w:rsidRPr="00925DF4">
        <w:rPr>
          <w:rFonts w:cs="Arial"/>
          <w:b/>
          <w:bCs/>
          <w:color w:val="1D1D1B" w:themeColor="text1"/>
        </w:rPr>
        <w:t>?</w:t>
      </w:r>
      <w:r w:rsidRPr="00925DF4">
        <w:rPr>
          <w:rFonts w:cs="Arial"/>
          <w:b/>
          <w:color w:val="1D1D1B" w:themeColor="text1"/>
        </w:rPr>
        <w:t xml:space="preserve"> </w:t>
      </w:r>
    </w:p>
    <w:p w14:paraId="2EE681CB" w14:textId="7B207D95" w:rsidR="006E0879" w:rsidRPr="00C31D26" w:rsidRDefault="006E0879" w:rsidP="006E0879">
      <w:pPr>
        <w:rPr>
          <w:rFonts w:cs="Arial"/>
          <w:bCs/>
          <w:color w:val="F06603" w:themeColor="accent6"/>
        </w:rPr>
      </w:pPr>
      <w:r w:rsidRPr="00925DF4">
        <w:rPr>
          <w:rFonts w:cs="Arial"/>
          <w:bCs/>
          <w:color w:val="F06603" w:themeColor="accent6"/>
        </w:rPr>
        <w:t xml:space="preserve">INTERVIEWER NOTE: </w:t>
      </w:r>
      <w:r>
        <w:rPr>
          <w:rFonts w:cs="Arial"/>
          <w:bCs/>
          <w:color w:val="F06603" w:themeColor="accent6"/>
        </w:rPr>
        <w:t>WE ARE</w:t>
      </w:r>
      <w:r w:rsidRPr="00925DF4">
        <w:rPr>
          <w:rFonts w:cs="Arial"/>
          <w:bCs/>
          <w:color w:val="F06603" w:themeColor="accent6"/>
        </w:rPr>
        <w:t xml:space="preserve"> SCREEN</w:t>
      </w:r>
      <w:r>
        <w:rPr>
          <w:rFonts w:cs="Arial"/>
          <w:bCs/>
          <w:color w:val="F06603" w:themeColor="accent6"/>
        </w:rPr>
        <w:t>ING</w:t>
      </w:r>
      <w:r w:rsidRPr="00925DF4">
        <w:rPr>
          <w:rFonts w:cs="Arial"/>
          <w:bCs/>
          <w:color w:val="F06603" w:themeColor="accent6"/>
        </w:rPr>
        <w:t xml:space="preserve"> OUT BUSINESSES THAT WERE ALLOCATED TO THE CONTROL GROUP AND WERE UNSUCCESSFUL WITH THEIR APPLICATION</w:t>
      </w:r>
      <w:r>
        <w:rPr>
          <w:rFonts w:cs="Arial"/>
          <w:bCs/>
          <w:color w:val="F06603" w:themeColor="accent6"/>
        </w:rPr>
        <w:t>.</w:t>
      </w:r>
      <w:r w:rsidRPr="00925DF4">
        <w:rPr>
          <w:rFonts w:cs="Arial"/>
          <w:bCs/>
          <w:color w:val="F06603" w:themeColor="accent6"/>
        </w:rPr>
        <w:t xml:space="preserve"> </w:t>
      </w:r>
    </w:p>
    <w:p w14:paraId="260C7DC2" w14:textId="0C279325" w:rsidR="006E0879" w:rsidRPr="00C31D26" w:rsidRDefault="006E0879" w:rsidP="006E0879">
      <w:pPr>
        <w:rPr>
          <w:rFonts w:cs="Arial"/>
          <w:bCs/>
          <w:color w:val="F06603" w:themeColor="accent6"/>
          <w:lang w:eastAsia="en-GB"/>
        </w:rPr>
      </w:pPr>
      <w:r w:rsidRPr="00925DF4">
        <w:rPr>
          <w:rFonts w:cs="Arial"/>
          <w:bCs/>
          <w:color w:val="FF0000"/>
          <w:lang w:eastAsia="en-GB"/>
        </w:rPr>
        <w:t>SINGLE CODE ONLY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4940"/>
        <w:gridCol w:w="956"/>
        <w:gridCol w:w="4248"/>
      </w:tblGrid>
      <w:tr w:rsidR="006E0879" w:rsidRPr="00925DF4" w14:paraId="71C31ECA" w14:textId="77777777" w:rsidTr="00AB3D40">
        <w:trPr>
          <w:cantSplit/>
          <w:trHeight w:val="320"/>
        </w:trPr>
        <w:tc>
          <w:tcPr>
            <w:tcW w:w="2435" w:type="pct"/>
            <w:tcBorders>
              <w:top w:val="single" w:sz="4" w:space="0" w:color="auto"/>
              <w:left w:val="single" w:sz="4" w:space="0" w:color="auto"/>
              <w:bottom w:val="single" w:sz="4" w:space="0" w:color="auto"/>
              <w:right w:val="single" w:sz="4" w:space="0" w:color="auto"/>
            </w:tcBorders>
            <w:hideMark/>
          </w:tcPr>
          <w:p w14:paraId="4841558A"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No, did not apply</w:t>
            </w:r>
          </w:p>
        </w:tc>
        <w:tc>
          <w:tcPr>
            <w:tcW w:w="471" w:type="pct"/>
            <w:tcBorders>
              <w:top w:val="single" w:sz="4" w:space="0" w:color="auto"/>
              <w:left w:val="single" w:sz="4" w:space="0" w:color="auto"/>
              <w:bottom w:val="single" w:sz="4" w:space="0" w:color="auto"/>
              <w:right w:val="single" w:sz="4" w:space="0" w:color="auto"/>
            </w:tcBorders>
            <w:vAlign w:val="center"/>
            <w:hideMark/>
          </w:tcPr>
          <w:p w14:paraId="0D7B75B7"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p>
        </w:tc>
        <w:tc>
          <w:tcPr>
            <w:tcW w:w="2094" w:type="pct"/>
            <w:tcBorders>
              <w:top w:val="single" w:sz="4" w:space="0" w:color="auto"/>
              <w:left w:val="single" w:sz="4" w:space="0" w:color="auto"/>
              <w:bottom w:val="single" w:sz="4" w:space="0" w:color="auto"/>
              <w:right w:val="single" w:sz="4" w:space="0" w:color="auto"/>
            </w:tcBorders>
          </w:tcPr>
          <w:p w14:paraId="545F9424" w14:textId="77777777" w:rsidR="006E0879" w:rsidRPr="00925DF4" w:rsidRDefault="006E0879" w:rsidP="00AB3D40">
            <w:pPr>
              <w:spacing w:before="60"/>
              <w:rPr>
                <w:rFonts w:cs="Arial"/>
                <w:color w:val="FF0000"/>
              </w:rPr>
            </w:pPr>
            <w:r w:rsidRPr="00925DF4">
              <w:rPr>
                <w:rFonts w:cs="Arial"/>
                <w:color w:val="FF0000"/>
              </w:rPr>
              <w:t>CONTINUE</w:t>
            </w:r>
          </w:p>
        </w:tc>
      </w:tr>
      <w:tr w:rsidR="006E0879" w:rsidRPr="00925DF4" w14:paraId="4FDC069A" w14:textId="77777777" w:rsidTr="00AB3D40">
        <w:trPr>
          <w:cantSplit/>
          <w:trHeight w:val="320"/>
        </w:trPr>
        <w:tc>
          <w:tcPr>
            <w:tcW w:w="2435" w:type="pct"/>
            <w:tcBorders>
              <w:top w:val="single" w:sz="4" w:space="0" w:color="auto"/>
              <w:left w:val="single" w:sz="4" w:space="0" w:color="auto"/>
              <w:bottom w:val="single" w:sz="4" w:space="0" w:color="auto"/>
              <w:right w:val="single" w:sz="4" w:space="0" w:color="auto"/>
            </w:tcBorders>
          </w:tcPr>
          <w:p w14:paraId="658112EF"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Yes, applied but later withdrew my application</w:t>
            </w:r>
          </w:p>
        </w:tc>
        <w:tc>
          <w:tcPr>
            <w:tcW w:w="471" w:type="pct"/>
            <w:tcBorders>
              <w:top w:val="single" w:sz="4" w:space="0" w:color="auto"/>
              <w:left w:val="single" w:sz="4" w:space="0" w:color="auto"/>
              <w:bottom w:val="single" w:sz="4" w:space="0" w:color="auto"/>
              <w:right w:val="single" w:sz="4" w:space="0" w:color="auto"/>
            </w:tcBorders>
            <w:vAlign w:val="center"/>
          </w:tcPr>
          <w:p w14:paraId="23C035DD" w14:textId="77777777" w:rsidR="006E0879" w:rsidRPr="00925DF4" w:rsidRDefault="006E0879" w:rsidP="00AB3D40">
            <w:pPr>
              <w:spacing w:before="60"/>
              <w:jc w:val="center"/>
              <w:rPr>
                <w:rFonts w:cs="Arial"/>
                <w:color w:val="1D1D1B" w:themeColor="text1"/>
              </w:rPr>
            </w:pPr>
            <w:r w:rsidRPr="00925DF4">
              <w:rPr>
                <w:rFonts w:cs="Arial"/>
                <w:color w:val="1D1D1B" w:themeColor="text1"/>
              </w:rPr>
              <w:t>2</w:t>
            </w:r>
          </w:p>
        </w:tc>
        <w:tc>
          <w:tcPr>
            <w:tcW w:w="2094" w:type="pct"/>
            <w:tcBorders>
              <w:top w:val="single" w:sz="4" w:space="0" w:color="auto"/>
              <w:left w:val="single" w:sz="4" w:space="0" w:color="auto"/>
              <w:bottom w:val="single" w:sz="4" w:space="0" w:color="auto"/>
              <w:right w:val="single" w:sz="4" w:space="0" w:color="auto"/>
            </w:tcBorders>
          </w:tcPr>
          <w:p w14:paraId="1FDF2D5D" w14:textId="77777777" w:rsidR="006E0879" w:rsidRPr="00925DF4" w:rsidRDefault="006E0879" w:rsidP="00AB3D40">
            <w:pPr>
              <w:spacing w:before="60"/>
              <w:rPr>
                <w:rFonts w:cs="Arial"/>
                <w:color w:val="FF0000"/>
              </w:rPr>
            </w:pPr>
            <w:r w:rsidRPr="00925DF4">
              <w:rPr>
                <w:rFonts w:cs="Arial"/>
                <w:color w:val="FF0000"/>
              </w:rPr>
              <w:t>CONTINUE</w:t>
            </w:r>
          </w:p>
        </w:tc>
      </w:tr>
      <w:tr w:rsidR="006E0879" w:rsidRPr="00925DF4" w14:paraId="5A004F51" w14:textId="77777777" w:rsidTr="00AB3D40">
        <w:trPr>
          <w:cantSplit/>
          <w:trHeight w:val="320"/>
        </w:trPr>
        <w:tc>
          <w:tcPr>
            <w:tcW w:w="2435" w:type="pct"/>
            <w:tcBorders>
              <w:top w:val="single" w:sz="4" w:space="0" w:color="auto"/>
              <w:left w:val="single" w:sz="4" w:space="0" w:color="auto"/>
              <w:bottom w:val="single" w:sz="4" w:space="0" w:color="auto"/>
              <w:right w:val="single" w:sz="4" w:space="0" w:color="auto"/>
            </w:tcBorders>
          </w:tcPr>
          <w:p w14:paraId="46F6162A"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Yes, application was not successful</w:t>
            </w:r>
          </w:p>
        </w:tc>
        <w:tc>
          <w:tcPr>
            <w:tcW w:w="471" w:type="pct"/>
            <w:tcBorders>
              <w:top w:val="single" w:sz="4" w:space="0" w:color="auto"/>
              <w:left w:val="single" w:sz="4" w:space="0" w:color="auto"/>
              <w:bottom w:val="single" w:sz="4" w:space="0" w:color="auto"/>
              <w:right w:val="single" w:sz="4" w:space="0" w:color="auto"/>
            </w:tcBorders>
            <w:vAlign w:val="center"/>
          </w:tcPr>
          <w:p w14:paraId="69BD2963" w14:textId="77777777" w:rsidR="006E0879" w:rsidRPr="00925DF4" w:rsidRDefault="006E0879" w:rsidP="00AB3D40">
            <w:pPr>
              <w:spacing w:before="60"/>
              <w:jc w:val="center"/>
              <w:rPr>
                <w:rFonts w:cs="Arial"/>
                <w:color w:val="1D1D1B" w:themeColor="text1"/>
              </w:rPr>
            </w:pPr>
            <w:r w:rsidRPr="00925DF4">
              <w:rPr>
                <w:rFonts w:cs="Arial"/>
                <w:color w:val="1D1D1B" w:themeColor="text1"/>
              </w:rPr>
              <w:t>3</w:t>
            </w:r>
          </w:p>
        </w:tc>
        <w:tc>
          <w:tcPr>
            <w:tcW w:w="2094" w:type="pct"/>
            <w:tcBorders>
              <w:top w:val="single" w:sz="4" w:space="0" w:color="auto"/>
              <w:left w:val="single" w:sz="4" w:space="0" w:color="auto"/>
              <w:bottom w:val="single" w:sz="4" w:space="0" w:color="auto"/>
              <w:right w:val="single" w:sz="4" w:space="0" w:color="auto"/>
            </w:tcBorders>
          </w:tcPr>
          <w:p w14:paraId="18E9BCE5" w14:textId="77777777" w:rsidR="006E0879" w:rsidRPr="00925DF4" w:rsidRDefault="006E0879" w:rsidP="00AB3D40">
            <w:pPr>
              <w:spacing w:before="60"/>
              <w:rPr>
                <w:rFonts w:cs="Arial"/>
                <w:color w:val="FF0000"/>
              </w:rPr>
            </w:pPr>
            <w:r w:rsidRPr="00925DF4">
              <w:rPr>
                <w:rFonts w:cs="Arial"/>
                <w:color w:val="FF0000"/>
              </w:rPr>
              <w:t xml:space="preserve">GO TO E8 AND THEN CLOSE </w:t>
            </w:r>
          </w:p>
        </w:tc>
      </w:tr>
      <w:tr w:rsidR="006E0879" w:rsidRPr="00925DF4" w14:paraId="369BD2AA" w14:textId="77777777" w:rsidTr="00AB3D40">
        <w:trPr>
          <w:cantSplit/>
          <w:trHeight w:val="320"/>
        </w:trPr>
        <w:tc>
          <w:tcPr>
            <w:tcW w:w="2435" w:type="pct"/>
            <w:tcBorders>
              <w:top w:val="single" w:sz="4" w:space="0" w:color="auto"/>
              <w:left w:val="single" w:sz="4" w:space="0" w:color="auto"/>
              <w:bottom w:val="single" w:sz="4" w:space="0" w:color="auto"/>
              <w:right w:val="single" w:sz="4" w:space="0" w:color="auto"/>
            </w:tcBorders>
          </w:tcPr>
          <w:p w14:paraId="58EFC41F"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Yes, application was successful</w:t>
            </w:r>
          </w:p>
        </w:tc>
        <w:tc>
          <w:tcPr>
            <w:tcW w:w="471" w:type="pct"/>
            <w:tcBorders>
              <w:top w:val="single" w:sz="4" w:space="0" w:color="auto"/>
              <w:left w:val="single" w:sz="4" w:space="0" w:color="auto"/>
              <w:bottom w:val="single" w:sz="4" w:space="0" w:color="auto"/>
              <w:right w:val="single" w:sz="4" w:space="0" w:color="auto"/>
            </w:tcBorders>
            <w:vAlign w:val="center"/>
          </w:tcPr>
          <w:p w14:paraId="0143B01C" w14:textId="77777777" w:rsidR="006E0879" w:rsidRPr="00925DF4" w:rsidRDefault="006E0879" w:rsidP="00AB3D40">
            <w:pPr>
              <w:spacing w:before="60"/>
              <w:jc w:val="center"/>
              <w:rPr>
                <w:rFonts w:cs="Arial"/>
                <w:color w:val="1D1D1B" w:themeColor="text1"/>
              </w:rPr>
            </w:pPr>
            <w:r w:rsidRPr="00925DF4">
              <w:rPr>
                <w:rFonts w:cs="Arial"/>
                <w:color w:val="1D1D1B" w:themeColor="text1"/>
              </w:rPr>
              <w:t>4</w:t>
            </w:r>
          </w:p>
        </w:tc>
        <w:tc>
          <w:tcPr>
            <w:tcW w:w="2094" w:type="pct"/>
            <w:tcBorders>
              <w:top w:val="single" w:sz="4" w:space="0" w:color="auto"/>
              <w:left w:val="single" w:sz="4" w:space="0" w:color="auto"/>
              <w:bottom w:val="single" w:sz="4" w:space="0" w:color="auto"/>
              <w:right w:val="single" w:sz="4" w:space="0" w:color="auto"/>
            </w:tcBorders>
          </w:tcPr>
          <w:p w14:paraId="1CC7C34B" w14:textId="77777777" w:rsidR="006E0879" w:rsidRPr="00925DF4" w:rsidRDefault="006E0879" w:rsidP="00AB3D40">
            <w:pPr>
              <w:spacing w:before="60"/>
              <w:rPr>
                <w:rFonts w:cs="Arial"/>
                <w:color w:val="FF0000"/>
              </w:rPr>
            </w:pPr>
            <w:r w:rsidRPr="00925DF4">
              <w:rPr>
                <w:rFonts w:cs="Arial"/>
                <w:color w:val="FF0000"/>
              </w:rPr>
              <w:t xml:space="preserve">GO TO E8 AND THEN CLOSE </w:t>
            </w:r>
          </w:p>
        </w:tc>
      </w:tr>
      <w:tr w:rsidR="006E0879" w:rsidRPr="00925DF4" w14:paraId="595781C9" w14:textId="77777777" w:rsidTr="00AB3D40">
        <w:trPr>
          <w:cantSplit/>
          <w:trHeight w:val="320"/>
        </w:trPr>
        <w:tc>
          <w:tcPr>
            <w:tcW w:w="2435" w:type="pct"/>
            <w:tcBorders>
              <w:top w:val="single" w:sz="4" w:space="0" w:color="auto"/>
              <w:left w:val="single" w:sz="4" w:space="0" w:color="auto"/>
              <w:bottom w:val="single" w:sz="4" w:space="0" w:color="auto"/>
              <w:right w:val="single" w:sz="4" w:space="0" w:color="auto"/>
            </w:tcBorders>
          </w:tcPr>
          <w:p w14:paraId="12ED8E80"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Don’t know</w:t>
            </w:r>
          </w:p>
        </w:tc>
        <w:tc>
          <w:tcPr>
            <w:tcW w:w="471" w:type="pct"/>
            <w:tcBorders>
              <w:top w:val="single" w:sz="4" w:space="0" w:color="auto"/>
              <w:left w:val="single" w:sz="4" w:space="0" w:color="auto"/>
              <w:bottom w:val="single" w:sz="4" w:space="0" w:color="auto"/>
              <w:right w:val="single" w:sz="4" w:space="0" w:color="auto"/>
            </w:tcBorders>
            <w:vAlign w:val="center"/>
          </w:tcPr>
          <w:p w14:paraId="3E809247" w14:textId="77777777" w:rsidR="006E0879" w:rsidRPr="00925DF4" w:rsidRDefault="006E0879" w:rsidP="00AB3D40">
            <w:pPr>
              <w:spacing w:before="60"/>
              <w:jc w:val="center"/>
              <w:rPr>
                <w:rFonts w:cs="Arial"/>
                <w:color w:val="1D1D1B" w:themeColor="text1"/>
              </w:rPr>
            </w:pPr>
            <w:r w:rsidRPr="00925DF4">
              <w:rPr>
                <w:rFonts w:cs="Arial"/>
                <w:color w:val="1D1D1B" w:themeColor="text1"/>
              </w:rPr>
              <w:t>98</w:t>
            </w:r>
          </w:p>
        </w:tc>
        <w:tc>
          <w:tcPr>
            <w:tcW w:w="2094" w:type="pct"/>
            <w:tcBorders>
              <w:top w:val="single" w:sz="4" w:space="0" w:color="auto"/>
              <w:left w:val="single" w:sz="4" w:space="0" w:color="auto"/>
              <w:bottom w:val="single" w:sz="4" w:space="0" w:color="auto"/>
              <w:right w:val="single" w:sz="4" w:space="0" w:color="auto"/>
            </w:tcBorders>
          </w:tcPr>
          <w:p w14:paraId="65787619" w14:textId="77777777" w:rsidR="006E0879" w:rsidRPr="00925DF4" w:rsidRDefault="006E0879" w:rsidP="00AB3D40">
            <w:pPr>
              <w:spacing w:before="60"/>
              <w:rPr>
                <w:rFonts w:cs="Arial"/>
                <w:color w:val="FF0000"/>
              </w:rPr>
            </w:pPr>
            <w:r w:rsidRPr="00925DF4">
              <w:rPr>
                <w:rFonts w:cs="Arial"/>
                <w:color w:val="FF0000"/>
              </w:rPr>
              <w:t xml:space="preserve">CLOSE </w:t>
            </w:r>
          </w:p>
        </w:tc>
      </w:tr>
      <w:tr w:rsidR="006E0879" w:rsidRPr="00925DF4" w14:paraId="762F55DF" w14:textId="77777777" w:rsidTr="00AB3D40">
        <w:trPr>
          <w:cantSplit/>
          <w:trHeight w:val="320"/>
        </w:trPr>
        <w:tc>
          <w:tcPr>
            <w:tcW w:w="2435" w:type="pct"/>
            <w:tcBorders>
              <w:top w:val="single" w:sz="4" w:space="0" w:color="auto"/>
              <w:left w:val="single" w:sz="4" w:space="0" w:color="auto"/>
              <w:bottom w:val="single" w:sz="4" w:space="0" w:color="auto"/>
              <w:right w:val="single" w:sz="4" w:space="0" w:color="auto"/>
            </w:tcBorders>
            <w:vAlign w:val="center"/>
          </w:tcPr>
          <w:p w14:paraId="0D1ADAA8"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Refused</w:t>
            </w:r>
          </w:p>
        </w:tc>
        <w:tc>
          <w:tcPr>
            <w:tcW w:w="471" w:type="pct"/>
            <w:tcBorders>
              <w:top w:val="single" w:sz="4" w:space="0" w:color="auto"/>
              <w:left w:val="single" w:sz="4" w:space="0" w:color="auto"/>
              <w:bottom w:val="single" w:sz="4" w:space="0" w:color="auto"/>
              <w:right w:val="single" w:sz="4" w:space="0" w:color="auto"/>
            </w:tcBorders>
            <w:vAlign w:val="center"/>
          </w:tcPr>
          <w:p w14:paraId="5A432251" w14:textId="77777777" w:rsidR="006E0879" w:rsidRPr="00925DF4" w:rsidRDefault="006E0879" w:rsidP="00AB3D40">
            <w:pPr>
              <w:spacing w:before="60"/>
              <w:jc w:val="center"/>
              <w:rPr>
                <w:rFonts w:cs="Arial"/>
                <w:color w:val="1D1D1B" w:themeColor="text1"/>
              </w:rPr>
            </w:pPr>
            <w:r w:rsidRPr="00925DF4">
              <w:rPr>
                <w:rFonts w:cs="Arial"/>
              </w:rPr>
              <w:t>99</w:t>
            </w:r>
          </w:p>
        </w:tc>
        <w:tc>
          <w:tcPr>
            <w:tcW w:w="2094" w:type="pct"/>
            <w:tcBorders>
              <w:top w:val="single" w:sz="4" w:space="0" w:color="auto"/>
              <w:left w:val="single" w:sz="4" w:space="0" w:color="auto"/>
              <w:bottom w:val="single" w:sz="4" w:space="0" w:color="auto"/>
              <w:right w:val="single" w:sz="4" w:space="0" w:color="auto"/>
            </w:tcBorders>
          </w:tcPr>
          <w:p w14:paraId="5C885B9C" w14:textId="77777777" w:rsidR="006E0879" w:rsidRPr="00925DF4" w:rsidRDefault="006E0879" w:rsidP="00AB3D40">
            <w:pPr>
              <w:spacing w:before="60"/>
              <w:rPr>
                <w:rFonts w:cs="Arial"/>
                <w:color w:val="FF0000"/>
              </w:rPr>
            </w:pPr>
            <w:r w:rsidRPr="00925DF4">
              <w:rPr>
                <w:rFonts w:cs="Arial"/>
                <w:color w:val="FF0000"/>
              </w:rPr>
              <w:t xml:space="preserve">CLOSE </w:t>
            </w:r>
          </w:p>
        </w:tc>
      </w:tr>
    </w:tbl>
    <w:p w14:paraId="426CE931" w14:textId="77777777" w:rsidR="000824F2" w:rsidRDefault="000824F2" w:rsidP="006E0879">
      <w:pPr>
        <w:rPr>
          <w:rFonts w:cs="Arial"/>
          <w:color w:val="FF0000"/>
        </w:rPr>
      </w:pPr>
    </w:p>
    <w:p w14:paraId="71B3947C" w14:textId="3322358B" w:rsidR="006E0879" w:rsidRPr="00925DF4" w:rsidRDefault="006E0879" w:rsidP="006E0879">
      <w:pPr>
        <w:rPr>
          <w:rFonts w:cs="Arial"/>
          <w:color w:val="FF0000"/>
        </w:rPr>
      </w:pPr>
      <w:r w:rsidRPr="00925DF4">
        <w:rPr>
          <w:rFonts w:cs="Arial"/>
          <w:color w:val="FF0000"/>
        </w:rPr>
        <w:t>ASK ALL</w:t>
      </w:r>
    </w:p>
    <w:p w14:paraId="1154416D" w14:textId="77777777" w:rsidR="006E0879" w:rsidRDefault="006E0879" w:rsidP="006E0879">
      <w:pPr>
        <w:rPr>
          <w:rFonts w:cs="Arial"/>
          <w:b/>
          <w:bCs/>
        </w:rPr>
      </w:pPr>
      <w:r w:rsidRPr="00925DF4">
        <w:rPr>
          <w:rFonts w:cs="Arial"/>
          <w:b/>
          <w:bCs/>
        </w:rPr>
        <w:t xml:space="preserve">S9 What is the current </w:t>
      </w:r>
      <w:r>
        <w:rPr>
          <w:rFonts w:cs="Arial"/>
          <w:b/>
          <w:bCs/>
        </w:rPr>
        <w:t xml:space="preserve">trading </w:t>
      </w:r>
      <w:r w:rsidRPr="00925DF4">
        <w:rPr>
          <w:rFonts w:cs="Arial"/>
          <w:b/>
          <w:bCs/>
        </w:rPr>
        <w:t xml:space="preserve">status of your </w:t>
      </w:r>
      <w:r>
        <w:rPr>
          <w:rFonts w:cs="Arial"/>
          <w:b/>
          <w:bCs/>
        </w:rPr>
        <w:t>organization</w:t>
      </w:r>
      <w:r w:rsidRPr="00925DF4">
        <w:rPr>
          <w:rFonts w:cs="Arial"/>
          <w:b/>
          <w:bCs/>
        </w:rPr>
        <w:t xml:space="preserve">? </w:t>
      </w:r>
    </w:p>
    <w:p w14:paraId="685EA71F" w14:textId="77777777" w:rsidR="006E0879" w:rsidRPr="00D06E01" w:rsidRDefault="006E0879" w:rsidP="006E0879">
      <w:pPr>
        <w:rPr>
          <w:rFonts w:cs="Arial"/>
          <w:color w:val="FF0000"/>
        </w:rPr>
      </w:pPr>
      <w:r w:rsidRPr="00D06E01">
        <w:rPr>
          <w:rFonts w:cs="Arial"/>
          <w:color w:val="FF0000"/>
        </w:rPr>
        <w:t>SINGLE CODE</w:t>
      </w:r>
    </w:p>
    <w:p w14:paraId="77C7C342" w14:textId="31A47B27" w:rsidR="006E0879" w:rsidRDefault="006E0879" w:rsidP="006E0879">
      <w:pPr>
        <w:rPr>
          <w:rFonts w:cs="Arial"/>
          <w:color w:val="FF0000"/>
        </w:rPr>
      </w:pPr>
      <w:r w:rsidRPr="00925DF4">
        <w:rPr>
          <w:rFonts w:cs="Arial"/>
          <w:color w:val="F06603" w:themeColor="accent6"/>
        </w:rPr>
        <w:t>READ OUT</w:t>
      </w:r>
      <w:r w:rsidRPr="00925DF4">
        <w:rPr>
          <w:rFonts w:cs="Arial"/>
          <w:color w:val="FF0000"/>
        </w:rPr>
        <w:t>.</w:t>
      </w: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4941"/>
        <w:gridCol w:w="4836"/>
      </w:tblGrid>
      <w:tr w:rsidR="00DA3C1F" w:rsidRPr="00925DF4" w14:paraId="418FD44E" w14:textId="77777777" w:rsidTr="4BE82EAB">
        <w:trPr>
          <w:cantSplit/>
          <w:trHeight w:val="320"/>
        </w:trPr>
        <w:tc>
          <w:tcPr>
            <w:tcW w:w="2527" w:type="pct"/>
            <w:tcBorders>
              <w:top w:val="single" w:sz="4" w:space="0" w:color="auto"/>
              <w:left w:val="single" w:sz="4" w:space="0" w:color="auto"/>
              <w:bottom w:val="single" w:sz="4" w:space="0" w:color="auto"/>
              <w:right w:val="single" w:sz="4" w:space="0" w:color="auto"/>
            </w:tcBorders>
            <w:hideMark/>
          </w:tcPr>
          <w:p w14:paraId="0F4A21B5" w14:textId="508C42E2" w:rsidR="00DA3C1F" w:rsidRPr="00925DF4" w:rsidRDefault="00DA3C1F" w:rsidP="00AB3D40">
            <w:pPr>
              <w:pStyle w:val="responsecodes"/>
              <w:tabs>
                <w:tab w:val="left" w:pos="0"/>
                <w:tab w:val="left" w:leader="dot" w:pos="8280"/>
              </w:tabs>
              <w:spacing w:before="60"/>
              <w:ind w:left="0"/>
              <w:rPr>
                <w:bCs w:val="0"/>
                <w:color w:val="1D1D1B" w:themeColor="text1"/>
                <w:sz w:val="20"/>
                <w:szCs w:val="20"/>
              </w:rPr>
            </w:pPr>
            <w:r>
              <w:rPr>
                <w:bCs w:val="0"/>
                <w:color w:val="1D1D1B" w:themeColor="text1"/>
                <w:sz w:val="20"/>
                <w:szCs w:val="20"/>
              </w:rPr>
              <w:t>Currently trading</w:t>
            </w:r>
          </w:p>
        </w:tc>
        <w:tc>
          <w:tcPr>
            <w:tcW w:w="2473" w:type="pct"/>
            <w:tcBorders>
              <w:top w:val="single" w:sz="4" w:space="0" w:color="auto"/>
              <w:left w:val="single" w:sz="4" w:space="0" w:color="auto"/>
              <w:bottom w:val="single" w:sz="4" w:space="0" w:color="auto"/>
              <w:right w:val="single" w:sz="4" w:space="0" w:color="auto"/>
            </w:tcBorders>
            <w:vAlign w:val="center"/>
            <w:hideMark/>
          </w:tcPr>
          <w:p w14:paraId="29FBE776" w14:textId="77777777" w:rsidR="00DA3C1F" w:rsidRPr="00925DF4" w:rsidRDefault="00DA3C1F" w:rsidP="00AB3D40">
            <w:pPr>
              <w:spacing w:before="60"/>
              <w:jc w:val="center"/>
              <w:rPr>
                <w:rFonts w:cs="Arial"/>
                <w:color w:val="1D1D1B" w:themeColor="text1"/>
              </w:rPr>
            </w:pPr>
            <w:r w:rsidRPr="00925DF4">
              <w:rPr>
                <w:rFonts w:cs="Arial"/>
                <w:color w:val="1D1D1B" w:themeColor="text1"/>
              </w:rPr>
              <w:t>1</w:t>
            </w:r>
          </w:p>
        </w:tc>
      </w:tr>
      <w:tr w:rsidR="00DA3C1F" w:rsidRPr="00925DF4" w14:paraId="1C61FDE4" w14:textId="77777777" w:rsidTr="4BE82EAB">
        <w:trPr>
          <w:cantSplit/>
          <w:trHeight w:val="320"/>
        </w:trPr>
        <w:tc>
          <w:tcPr>
            <w:tcW w:w="2527" w:type="pct"/>
            <w:tcBorders>
              <w:top w:val="single" w:sz="4" w:space="0" w:color="auto"/>
              <w:left w:val="single" w:sz="4" w:space="0" w:color="auto"/>
              <w:bottom w:val="single" w:sz="4" w:space="0" w:color="auto"/>
              <w:right w:val="single" w:sz="4" w:space="0" w:color="auto"/>
            </w:tcBorders>
          </w:tcPr>
          <w:p w14:paraId="45D0839C" w14:textId="00666F80" w:rsidR="00DA3C1F" w:rsidRPr="00925DF4" w:rsidRDefault="6EDD3EDF" w:rsidP="4BE82EAB">
            <w:pPr>
              <w:pStyle w:val="responsecodes"/>
              <w:tabs>
                <w:tab w:val="left" w:leader="dot" w:pos="8280"/>
              </w:tabs>
              <w:spacing w:before="60"/>
              <w:ind w:left="0"/>
              <w:rPr>
                <w:color w:val="1D1D1B" w:themeColor="text1"/>
                <w:sz w:val="20"/>
                <w:szCs w:val="20"/>
              </w:rPr>
            </w:pPr>
            <w:r w:rsidRPr="4BE82EAB">
              <w:rPr>
                <w:color w:val="1D1D1B" w:themeColor="text1"/>
                <w:sz w:val="20"/>
                <w:szCs w:val="20"/>
              </w:rPr>
              <w:t>Temporarily</w:t>
            </w:r>
            <w:r w:rsidR="05122BDB" w:rsidRPr="4BE82EAB">
              <w:rPr>
                <w:color w:val="1D1D1B" w:themeColor="text1"/>
                <w:sz w:val="20"/>
                <w:szCs w:val="20"/>
              </w:rPr>
              <w:t xml:space="preserve"> closed or paused operations or trade</w:t>
            </w:r>
          </w:p>
        </w:tc>
        <w:tc>
          <w:tcPr>
            <w:tcW w:w="2473" w:type="pct"/>
            <w:tcBorders>
              <w:top w:val="single" w:sz="4" w:space="0" w:color="auto"/>
              <w:left w:val="single" w:sz="4" w:space="0" w:color="auto"/>
              <w:bottom w:val="single" w:sz="4" w:space="0" w:color="auto"/>
              <w:right w:val="single" w:sz="4" w:space="0" w:color="auto"/>
            </w:tcBorders>
            <w:vAlign w:val="center"/>
          </w:tcPr>
          <w:p w14:paraId="6B55D841" w14:textId="77777777" w:rsidR="00DA3C1F" w:rsidRPr="00925DF4" w:rsidRDefault="00DA3C1F" w:rsidP="00AB3D40">
            <w:pPr>
              <w:spacing w:before="60"/>
              <w:jc w:val="center"/>
              <w:rPr>
                <w:rFonts w:cs="Arial"/>
                <w:color w:val="1D1D1B" w:themeColor="text1"/>
              </w:rPr>
            </w:pPr>
            <w:r w:rsidRPr="00925DF4">
              <w:rPr>
                <w:rFonts w:cs="Arial"/>
                <w:color w:val="1D1D1B" w:themeColor="text1"/>
              </w:rPr>
              <w:t>2</w:t>
            </w:r>
          </w:p>
        </w:tc>
      </w:tr>
      <w:tr w:rsidR="00DA3C1F" w:rsidRPr="00925DF4" w14:paraId="63CC5BCF" w14:textId="77777777" w:rsidTr="4BE82EAB">
        <w:trPr>
          <w:cantSplit/>
          <w:trHeight w:val="320"/>
        </w:trPr>
        <w:tc>
          <w:tcPr>
            <w:tcW w:w="2527" w:type="pct"/>
            <w:tcBorders>
              <w:top w:val="single" w:sz="4" w:space="0" w:color="auto"/>
              <w:left w:val="single" w:sz="4" w:space="0" w:color="auto"/>
              <w:bottom w:val="single" w:sz="4" w:space="0" w:color="auto"/>
              <w:right w:val="single" w:sz="4" w:space="0" w:color="auto"/>
            </w:tcBorders>
          </w:tcPr>
          <w:p w14:paraId="7655DD68" w14:textId="5055136A" w:rsidR="00DA3C1F" w:rsidRPr="00925DF4" w:rsidRDefault="00DA3C1F" w:rsidP="00AB3D40">
            <w:pPr>
              <w:pStyle w:val="responsecodes"/>
              <w:tabs>
                <w:tab w:val="left" w:pos="0"/>
                <w:tab w:val="left" w:leader="dot" w:pos="8280"/>
              </w:tabs>
              <w:spacing w:before="60"/>
              <w:ind w:left="0"/>
              <w:rPr>
                <w:bCs w:val="0"/>
                <w:color w:val="1D1D1B" w:themeColor="text1"/>
                <w:sz w:val="20"/>
                <w:szCs w:val="20"/>
              </w:rPr>
            </w:pPr>
            <w:r>
              <w:rPr>
                <w:bCs w:val="0"/>
                <w:color w:val="1D1D1B" w:themeColor="text1"/>
                <w:sz w:val="20"/>
                <w:szCs w:val="20"/>
              </w:rPr>
              <w:t>Permanently closed</w:t>
            </w:r>
          </w:p>
        </w:tc>
        <w:tc>
          <w:tcPr>
            <w:tcW w:w="2473" w:type="pct"/>
            <w:tcBorders>
              <w:top w:val="single" w:sz="4" w:space="0" w:color="auto"/>
              <w:left w:val="single" w:sz="4" w:space="0" w:color="auto"/>
              <w:bottom w:val="single" w:sz="4" w:space="0" w:color="auto"/>
              <w:right w:val="single" w:sz="4" w:space="0" w:color="auto"/>
            </w:tcBorders>
            <w:vAlign w:val="center"/>
          </w:tcPr>
          <w:p w14:paraId="571BC6DB" w14:textId="77777777" w:rsidR="00DA3C1F" w:rsidRPr="00925DF4" w:rsidRDefault="00DA3C1F" w:rsidP="00AB3D40">
            <w:pPr>
              <w:spacing w:before="60"/>
              <w:jc w:val="center"/>
              <w:rPr>
                <w:rFonts w:cs="Arial"/>
                <w:color w:val="1D1D1B" w:themeColor="text1"/>
              </w:rPr>
            </w:pPr>
            <w:r w:rsidRPr="00925DF4">
              <w:rPr>
                <w:rFonts w:cs="Arial"/>
                <w:color w:val="1D1D1B" w:themeColor="text1"/>
              </w:rPr>
              <w:t>3</w:t>
            </w:r>
          </w:p>
        </w:tc>
      </w:tr>
      <w:tr w:rsidR="00DA3C1F" w:rsidRPr="00925DF4" w14:paraId="58E73695" w14:textId="77777777" w:rsidTr="4BE82EAB">
        <w:trPr>
          <w:cantSplit/>
          <w:trHeight w:val="320"/>
        </w:trPr>
        <w:tc>
          <w:tcPr>
            <w:tcW w:w="2527" w:type="pct"/>
            <w:tcBorders>
              <w:top w:val="single" w:sz="4" w:space="0" w:color="auto"/>
              <w:left w:val="single" w:sz="4" w:space="0" w:color="auto"/>
              <w:bottom w:val="single" w:sz="4" w:space="0" w:color="auto"/>
              <w:right w:val="single" w:sz="4" w:space="0" w:color="auto"/>
            </w:tcBorders>
          </w:tcPr>
          <w:p w14:paraId="04667AFF" w14:textId="77777777" w:rsidR="00DA3C1F" w:rsidRPr="00925DF4" w:rsidRDefault="00DA3C1F"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Don’t know</w:t>
            </w:r>
          </w:p>
        </w:tc>
        <w:tc>
          <w:tcPr>
            <w:tcW w:w="2473" w:type="pct"/>
            <w:tcBorders>
              <w:top w:val="single" w:sz="4" w:space="0" w:color="auto"/>
              <w:left w:val="single" w:sz="4" w:space="0" w:color="auto"/>
              <w:bottom w:val="single" w:sz="4" w:space="0" w:color="auto"/>
              <w:right w:val="single" w:sz="4" w:space="0" w:color="auto"/>
            </w:tcBorders>
            <w:vAlign w:val="center"/>
          </w:tcPr>
          <w:p w14:paraId="6A894301" w14:textId="77777777" w:rsidR="00DA3C1F" w:rsidRPr="00925DF4" w:rsidRDefault="00DA3C1F" w:rsidP="00AB3D40">
            <w:pPr>
              <w:spacing w:before="60"/>
              <w:jc w:val="center"/>
              <w:rPr>
                <w:rFonts w:cs="Arial"/>
                <w:color w:val="1D1D1B" w:themeColor="text1"/>
              </w:rPr>
            </w:pPr>
            <w:r w:rsidRPr="00925DF4">
              <w:rPr>
                <w:rFonts w:cs="Arial"/>
                <w:color w:val="1D1D1B" w:themeColor="text1"/>
              </w:rPr>
              <w:t>98</w:t>
            </w:r>
          </w:p>
        </w:tc>
      </w:tr>
      <w:tr w:rsidR="00DA3C1F" w:rsidRPr="00925DF4" w14:paraId="26978570" w14:textId="77777777" w:rsidTr="4BE82EAB">
        <w:trPr>
          <w:cantSplit/>
          <w:trHeight w:val="320"/>
        </w:trPr>
        <w:tc>
          <w:tcPr>
            <w:tcW w:w="2527" w:type="pct"/>
            <w:tcBorders>
              <w:top w:val="single" w:sz="4" w:space="0" w:color="auto"/>
              <w:left w:val="single" w:sz="4" w:space="0" w:color="auto"/>
              <w:bottom w:val="single" w:sz="4" w:space="0" w:color="auto"/>
              <w:right w:val="single" w:sz="4" w:space="0" w:color="auto"/>
            </w:tcBorders>
            <w:vAlign w:val="center"/>
          </w:tcPr>
          <w:p w14:paraId="3925E2D2" w14:textId="77777777" w:rsidR="00DA3C1F" w:rsidRPr="00925DF4" w:rsidRDefault="00DA3C1F"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Refused</w:t>
            </w:r>
          </w:p>
        </w:tc>
        <w:tc>
          <w:tcPr>
            <w:tcW w:w="2473" w:type="pct"/>
            <w:tcBorders>
              <w:top w:val="single" w:sz="4" w:space="0" w:color="auto"/>
              <w:left w:val="single" w:sz="4" w:space="0" w:color="auto"/>
              <w:bottom w:val="single" w:sz="4" w:space="0" w:color="auto"/>
              <w:right w:val="single" w:sz="4" w:space="0" w:color="auto"/>
            </w:tcBorders>
            <w:vAlign w:val="center"/>
          </w:tcPr>
          <w:p w14:paraId="7D7B7351" w14:textId="77777777" w:rsidR="00DA3C1F" w:rsidRPr="00925DF4" w:rsidRDefault="00DA3C1F" w:rsidP="00AB3D40">
            <w:pPr>
              <w:spacing w:before="60"/>
              <w:jc w:val="center"/>
              <w:rPr>
                <w:rFonts w:cs="Arial"/>
                <w:color w:val="1D1D1B" w:themeColor="text1"/>
              </w:rPr>
            </w:pPr>
            <w:r w:rsidRPr="00925DF4">
              <w:rPr>
                <w:rFonts w:cs="Arial"/>
              </w:rPr>
              <w:t>99</w:t>
            </w:r>
          </w:p>
        </w:tc>
      </w:tr>
    </w:tbl>
    <w:p w14:paraId="31B766F1" w14:textId="77777777" w:rsidR="006E0879" w:rsidRPr="00925DF4" w:rsidRDefault="006E0879" w:rsidP="006E0879">
      <w:pPr>
        <w:rPr>
          <w:rFonts w:cs="Arial"/>
        </w:rPr>
      </w:pPr>
    </w:p>
    <w:p w14:paraId="4A9496B9" w14:textId="77777777" w:rsidR="006E0879" w:rsidRPr="00925DF4" w:rsidRDefault="006E0879" w:rsidP="006E0879">
      <w:pPr>
        <w:tabs>
          <w:tab w:val="left" w:pos="720"/>
        </w:tabs>
        <w:rPr>
          <w:rFonts w:cs="Arial"/>
          <w:color w:val="FF0000"/>
        </w:rPr>
      </w:pPr>
      <w:r w:rsidRPr="00925DF4">
        <w:rPr>
          <w:rFonts w:cs="Arial"/>
          <w:color w:val="FF0000"/>
        </w:rPr>
        <w:t>ASK ALL</w:t>
      </w:r>
    </w:p>
    <w:p w14:paraId="2AAC8388" w14:textId="0960E707" w:rsidR="006E0879" w:rsidRPr="00925DF4" w:rsidRDefault="006E0879" w:rsidP="006E0879">
      <w:pPr>
        <w:rPr>
          <w:rFonts w:cs="Arial"/>
        </w:rPr>
      </w:pPr>
      <w:bookmarkStart w:id="84" w:name="_Hlk47522567"/>
      <w:r w:rsidRPr="00925DF4">
        <w:rPr>
          <w:rFonts w:cs="Arial"/>
          <w:b/>
          <w:bCs/>
        </w:rPr>
        <w:t xml:space="preserve">S11 Is your business … </w:t>
      </w:r>
      <w:r w:rsidRPr="0042457C">
        <w:rPr>
          <w:rFonts w:cs="Arial"/>
          <w:color w:val="FF0000"/>
        </w:rPr>
        <w:t>IF CLOSED (S9=3):</w:t>
      </w:r>
      <w:r w:rsidRPr="00925DF4">
        <w:rPr>
          <w:rFonts w:cs="Arial"/>
          <w:b/>
          <w:bCs/>
          <w:color w:val="FF0000"/>
        </w:rPr>
        <w:t xml:space="preserve"> </w:t>
      </w:r>
      <w:r w:rsidRPr="00925DF4">
        <w:rPr>
          <w:rFonts w:cs="Arial"/>
          <w:b/>
          <w:bCs/>
        </w:rPr>
        <w:t>Was your business</w:t>
      </w:r>
      <w:r w:rsidRPr="00925DF4">
        <w:rPr>
          <w:rFonts w:cs="Arial"/>
          <w:b/>
          <w:bCs/>
          <w:color w:val="F06603" w:themeColor="accent6"/>
        </w:rPr>
        <w:t xml:space="preserve">… </w:t>
      </w:r>
      <w:r w:rsidRPr="00925DF4">
        <w:rPr>
          <w:rFonts w:cs="Arial"/>
          <w:color w:val="FF0000"/>
        </w:rPr>
        <w:t xml:space="preserve">SINGLE CODE ONLY. </w:t>
      </w:r>
      <w:r w:rsidRPr="00925DF4">
        <w:rPr>
          <w:rFonts w:cs="Arial"/>
          <w:bCs/>
          <w:color w:val="F06603" w:themeColor="accent6"/>
        </w:rPr>
        <w:t>READ OUT / SHOW A TO E</w:t>
      </w:r>
      <w:r w:rsidRPr="00925DF4">
        <w:rPr>
          <w:rFonts w:cs="Arial"/>
          <w:b/>
          <w:bCs/>
          <w:color w:val="F06603" w:themeColor="accent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6204"/>
        <w:gridCol w:w="1501"/>
        <w:gridCol w:w="2439"/>
      </w:tblGrid>
      <w:tr w:rsidR="006E0879" w:rsidRPr="00925DF4" w14:paraId="239EB5C4" w14:textId="77777777" w:rsidTr="00AB3D40">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373EC8F4" w14:textId="77777777" w:rsidR="006E0879" w:rsidRPr="00925DF4" w:rsidRDefault="006E0879" w:rsidP="006E0879">
            <w:pPr>
              <w:pStyle w:val="responsecodes"/>
              <w:numPr>
                <w:ilvl w:val="0"/>
                <w:numId w:val="39"/>
              </w:numPr>
              <w:tabs>
                <w:tab w:val="left" w:pos="0"/>
                <w:tab w:val="left" w:leader="dot" w:pos="8280"/>
              </w:tabs>
              <w:spacing w:before="60"/>
              <w:rPr>
                <w:bCs w:val="0"/>
                <w:color w:val="1D1D1B" w:themeColor="text1"/>
                <w:sz w:val="20"/>
                <w:szCs w:val="20"/>
              </w:rPr>
            </w:pPr>
            <w:r w:rsidRPr="00925DF4">
              <w:rPr>
                <w:bCs w:val="0"/>
                <w:color w:val="1D1D1B" w:themeColor="text1"/>
                <w:sz w:val="20"/>
                <w:szCs w:val="20"/>
              </w:rPr>
              <w:t>A private sector business</w:t>
            </w:r>
          </w:p>
        </w:tc>
        <w:tc>
          <w:tcPr>
            <w:tcW w:w="740" w:type="pct"/>
            <w:tcBorders>
              <w:top w:val="single" w:sz="4" w:space="0" w:color="auto"/>
              <w:left w:val="single" w:sz="4" w:space="0" w:color="auto"/>
              <w:bottom w:val="single" w:sz="4" w:space="0" w:color="auto"/>
              <w:right w:val="single" w:sz="4" w:space="0" w:color="auto"/>
            </w:tcBorders>
            <w:vAlign w:val="center"/>
            <w:hideMark/>
          </w:tcPr>
          <w:p w14:paraId="7EB01C97"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p>
        </w:tc>
        <w:tc>
          <w:tcPr>
            <w:tcW w:w="1202" w:type="pct"/>
            <w:tcBorders>
              <w:top w:val="single" w:sz="4" w:space="0" w:color="auto"/>
              <w:left w:val="single" w:sz="4" w:space="0" w:color="auto"/>
              <w:bottom w:val="single" w:sz="4" w:space="0" w:color="auto"/>
              <w:right w:val="single" w:sz="4" w:space="0" w:color="auto"/>
            </w:tcBorders>
            <w:hideMark/>
          </w:tcPr>
          <w:p w14:paraId="4545D8E5" w14:textId="77777777" w:rsidR="006E0879" w:rsidRPr="00925DF4" w:rsidRDefault="006E0879" w:rsidP="00AB3D40">
            <w:pPr>
              <w:spacing w:before="60"/>
              <w:ind w:left="120"/>
              <w:rPr>
                <w:rFonts w:cs="Arial"/>
                <w:color w:val="1D1D1B" w:themeColor="text1"/>
              </w:rPr>
            </w:pPr>
            <w:r w:rsidRPr="00925DF4">
              <w:rPr>
                <w:rFonts w:cs="Arial"/>
                <w:color w:val="1D1D1B" w:themeColor="text1"/>
              </w:rPr>
              <w:t>CONTINUE</w:t>
            </w:r>
          </w:p>
        </w:tc>
      </w:tr>
      <w:tr w:rsidR="006E0879" w:rsidRPr="00925DF4" w14:paraId="2681F27B" w14:textId="77777777" w:rsidTr="00AB3D40">
        <w:trPr>
          <w:cantSplit/>
          <w:trHeight w:val="320"/>
        </w:trPr>
        <w:tc>
          <w:tcPr>
            <w:tcW w:w="3058" w:type="pct"/>
            <w:tcBorders>
              <w:top w:val="single" w:sz="4" w:space="0" w:color="auto"/>
              <w:left w:val="single" w:sz="4" w:space="0" w:color="auto"/>
              <w:bottom w:val="single" w:sz="4" w:space="0" w:color="auto"/>
              <w:right w:val="single" w:sz="4" w:space="0" w:color="auto"/>
            </w:tcBorders>
          </w:tcPr>
          <w:p w14:paraId="1AAFDB40" w14:textId="77777777" w:rsidR="006E0879" w:rsidRPr="00925DF4" w:rsidRDefault="006E0879" w:rsidP="006E0879">
            <w:pPr>
              <w:pStyle w:val="responsecodes"/>
              <w:numPr>
                <w:ilvl w:val="0"/>
                <w:numId w:val="39"/>
              </w:numPr>
              <w:tabs>
                <w:tab w:val="left" w:pos="0"/>
                <w:tab w:val="left" w:leader="dot" w:pos="8280"/>
              </w:tabs>
              <w:spacing w:before="60"/>
              <w:rPr>
                <w:bCs w:val="0"/>
                <w:color w:val="1D1D1B" w:themeColor="text1"/>
                <w:sz w:val="20"/>
                <w:szCs w:val="20"/>
              </w:rPr>
            </w:pPr>
            <w:r w:rsidRPr="00925DF4">
              <w:rPr>
                <w:bCs w:val="0"/>
                <w:color w:val="1D1D1B" w:themeColor="text1"/>
                <w:sz w:val="20"/>
                <w:szCs w:val="20"/>
              </w:rPr>
              <w:t>A public sector organisation</w:t>
            </w:r>
          </w:p>
        </w:tc>
        <w:tc>
          <w:tcPr>
            <w:tcW w:w="740" w:type="pct"/>
            <w:tcBorders>
              <w:top w:val="single" w:sz="4" w:space="0" w:color="auto"/>
              <w:left w:val="single" w:sz="4" w:space="0" w:color="auto"/>
              <w:bottom w:val="single" w:sz="4" w:space="0" w:color="auto"/>
              <w:right w:val="single" w:sz="4" w:space="0" w:color="auto"/>
            </w:tcBorders>
            <w:vAlign w:val="center"/>
          </w:tcPr>
          <w:p w14:paraId="677ADED2" w14:textId="77777777" w:rsidR="006E0879" w:rsidRPr="00925DF4" w:rsidRDefault="006E0879" w:rsidP="00AB3D40">
            <w:pPr>
              <w:spacing w:before="60"/>
              <w:jc w:val="center"/>
              <w:rPr>
                <w:rFonts w:cs="Arial"/>
                <w:color w:val="1D1D1B" w:themeColor="text1"/>
              </w:rPr>
            </w:pPr>
            <w:r w:rsidRPr="00925DF4">
              <w:rPr>
                <w:rFonts w:cs="Arial"/>
                <w:color w:val="1D1D1B" w:themeColor="text1"/>
              </w:rPr>
              <w:t>2</w:t>
            </w:r>
          </w:p>
        </w:tc>
        <w:tc>
          <w:tcPr>
            <w:tcW w:w="1202" w:type="pct"/>
            <w:tcBorders>
              <w:top w:val="single" w:sz="4" w:space="0" w:color="auto"/>
              <w:left w:val="single" w:sz="4" w:space="0" w:color="auto"/>
              <w:bottom w:val="single" w:sz="4" w:space="0" w:color="auto"/>
              <w:right w:val="single" w:sz="4" w:space="0" w:color="auto"/>
            </w:tcBorders>
          </w:tcPr>
          <w:p w14:paraId="6FC2FD72" w14:textId="77777777" w:rsidR="006E0879" w:rsidRPr="00925DF4" w:rsidRDefault="006E0879" w:rsidP="00AB3D40">
            <w:pPr>
              <w:spacing w:before="60"/>
              <w:ind w:left="120"/>
              <w:rPr>
                <w:rFonts w:cs="Arial"/>
                <w:color w:val="1D1D1B" w:themeColor="text1"/>
              </w:rPr>
            </w:pPr>
            <w:r w:rsidRPr="00925DF4">
              <w:rPr>
                <w:rFonts w:cs="Arial"/>
                <w:color w:val="1D1D1B" w:themeColor="text1"/>
              </w:rPr>
              <w:t>CLOSE</w:t>
            </w:r>
          </w:p>
        </w:tc>
      </w:tr>
      <w:tr w:rsidR="006E0879" w:rsidRPr="00925DF4" w14:paraId="222AC61E" w14:textId="77777777" w:rsidTr="00AB3D40">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62401A18" w14:textId="77777777" w:rsidR="006E0879" w:rsidRPr="00925DF4" w:rsidRDefault="006E0879" w:rsidP="006E0879">
            <w:pPr>
              <w:pStyle w:val="responsecodes"/>
              <w:numPr>
                <w:ilvl w:val="0"/>
                <w:numId w:val="39"/>
              </w:numPr>
              <w:tabs>
                <w:tab w:val="left" w:pos="0"/>
                <w:tab w:val="left" w:leader="dot" w:pos="8280"/>
              </w:tabs>
              <w:spacing w:before="60"/>
              <w:rPr>
                <w:bCs w:val="0"/>
                <w:color w:val="1D1D1B" w:themeColor="text1"/>
                <w:sz w:val="20"/>
                <w:szCs w:val="20"/>
              </w:rPr>
            </w:pPr>
            <w:r w:rsidRPr="00925DF4">
              <w:rPr>
                <w:bCs w:val="0"/>
                <w:color w:val="1D1D1B" w:themeColor="text1"/>
                <w:sz w:val="20"/>
                <w:szCs w:val="20"/>
              </w:rPr>
              <w:t>A social enterprise or profit with purpose enterprise (run primarily for social objectives or with any surpluses being used to further these objectives)</w:t>
            </w:r>
          </w:p>
        </w:tc>
        <w:tc>
          <w:tcPr>
            <w:tcW w:w="740" w:type="pct"/>
            <w:tcBorders>
              <w:top w:val="single" w:sz="4" w:space="0" w:color="auto"/>
              <w:left w:val="single" w:sz="4" w:space="0" w:color="auto"/>
              <w:bottom w:val="single" w:sz="4" w:space="0" w:color="auto"/>
              <w:right w:val="single" w:sz="4" w:space="0" w:color="auto"/>
            </w:tcBorders>
            <w:vAlign w:val="center"/>
            <w:hideMark/>
          </w:tcPr>
          <w:p w14:paraId="5035FA83" w14:textId="77777777" w:rsidR="006E0879" w:rsidRPr="00925DF4" w:rsidRDefault="006E0879" w:rsidP="00AB3D40">
            <w:pPr>
              <w:spacing w:before="60"/>
              <w:jc w:val="center"/>
              <w:rPr>
                <w:rFonts w:cs="Arial"/>
                <w:color w:val="1D1D1B" w:themeColor="text1"/>
              </w:rPr>
            </w:pPr>
            <w:r w:rsidRPr="00925DF4">
              <w:rPr>
                <w:rFonts w:cs="Arial"/>
                <w:color w:val="1D1D1B" w:themeColor="text1"/>
              </w:rPr>
              <w:t>3</w:t>
            </w:r>
          </w:p>
        </w:tc>
        <w:tc>
          <w:tcPr>
            <w:tcW w:w="1202" w:type="pct"/>
            <w:tcBorders>
              <w:top w:val="single" w:sz="4" w:space="0" w:color="auto"/>
              <w:left w:val="single" w:sz="4" w:space="0" w:color="auto"/>
              <w:bottom w:val="single" w:sz="4" w:space="0" w:color="auto"/>
              <w:right w:val="single" w:sz="4" w:space="0" w:color="auto"/>
            </w:tcBorders>
            <w:vAlign w:val="center"/>
            <w:hideMark/>
          </w:tcPr>
          <w:p w14:paraId="41D84DBB" w14:textId="77777777" w:rsidR="006E0879" w:rsidRPr="00925DF4" w:rsidRDefault="006E0879" w:rsidP="00AB3D40">
            <w:pPr>
              <w:spacing w:before="60"/>
              <w:ind w:left="120"/>
              <w:rPr>
                <w:rFonts w:cs="Arial"/>
                <w:color w:val="1D1D1B" w:themeColor="text1"/>
              </w:rPr>
            </w:pPr>
            <w:r w:rsidRPr="00925DF4">
              <w:rPr>
                <w:rFonts w:cs="Arial"/>
                <w:color w:val="1D1D1B" w:themeColor="text1"/>
              </w:rPr>
              <w:t>CONTINUE</w:t>
            </w:r>
          </w:p>
        </w:tc>
      </w:tr>
      <w:tr w:rsidR="006E0879" w:rsidRPr="00925DF4" w14:paraId="5BD57777" w14:textId="77777777" w:rsidTr="00AB3D40">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5DFF35CD" w14:textId="77777777" w:rsidR="006E0879" w:rsidRPr="00925DF4" w:rsidRDefault="006E0879" w:rsidP="006E0879">
            <w:pPr>
              <w:pStyle w:val="responsecodes"/>
              <w:numPr>
                <w:ilvl w:val="0"/>
                <w:numId w:val="39"/>
              </w:numPr>
              <w:tabs>
                <w:tab w:val="left" w:pos="0"/>
                <w:tab w:val="left" w:leader="dot" w:pos="8280"/>
              </w:tabs>
              <w:spacing w:before="60"/>
              <w:rPr>
                <w:bCs w:val="0"/>
                <w:color w:val="1D1D1B" w:themeColor="text1"/>
                <w:sz w:val="20"/>
                <w:szCs w:val="20"/>
              </w:rPr>
            </w:pPr>
            <w:r w:rsidRPr="00925DF4">
              <w:rPr>
                <w:bCs w:val="0"/>
                <w:color w:val="1D1D1B" w:themeColor="text1"/>
                <w:sz w:val="20"/>
                <w:szCs w:val="20"/>
              </w:rPr>
              <w:t>A voluntary sector/non-profit-making organisation</w:t>
            </w:r>
          </w:p>
        </w:tc>
        <w:tc>
          <w:tcPr>
            <w:tcW w:w="740" w:type="pct"/>
            <w:tcBorders>
              <w:top w:val="single" w:sz="4" w:space="0" w:color="auto"/>
              <w:left w:val="single" w:sz="4" w:space="0" w:color="auto"/>
              <w:bottom w:val="single" w:sz="4" w:space="0" w:color="auto"/>
              <w:right w:val="single" w:sz="4" w:space="0" w:color="auto"/>
            </w:tcBorders>
            <w:vAlign w:val="center"/>
            <w:hideMark/>
          </w:tcPr>
          <w:p w14:paraId="22BFEF90" w14:textId="77777777" w:rsidR="006E0879" w:rsidRPr="00925DF4" w:rsidRDefault="006E0879" w:rsidP="00AB3D40">
            <w:pPr>
              <w:spacing w:before="60"/>
              <w:jc w:val="center"/>
              <w:rPr>
                <w:rFonts w:cs="Arial"/>
                <w:color w:val="1D1D1B" w:themeColor="text1"/>
              </w:rPr>
            </w:pPr>
            <w:r w:rsidRPr="00925DF4">
              <w:rPr>
                <w:rFonts w:cs="Arial"/>
                <w:color w:val="1D1D1B" w:themeColor="text1"/>
              </w:rPr>
              <w:t>4</w:t>
            </w:r>
          </w:p>
        </w:tc>
        <w:tc>
          <w:tcPr>
            <w:tcW w:w="1202" w:type="pct"/>
            <w:tcBorders>
              <w:top w:val="single" w:sz="4" w:space="0" w:color="auto"/>
              <w:left w:val="single" w:sz="4" w:space="0" w:color="auto"/>
              <w:bottom w:val="single" w:sz="4" w:space="0" w:color="auto"/>
              <w:right w:val="single" w:sz="4" w:space="0" w:color="auto"/>
            </w:tcBorders>
            <w:hideMark/>
          </w:tcPr>
          <w:p w14:paraId="385624FB" w14:textId="77777777" w:rsidR="006E0879" w:rsidRPr="00925DF4" w:rsidRDefault="006E0879" w:rsidP="00AB3D40">
            <w:pPr>
              <w:spacing w:before="60"/>
              <w:ind w:left="120"/>
              <w:rPr>
                <w:rFonts w:cs="Arial"/>
                <w:color w:val="1D1D1B" w:themeColor="text1"/>
              </w:rPr>
            </w:pPr>
            <w:r w:rsidRPr="00925DF4">
              <w:rPr>
                <w:rFonts w:cs="Arial"/>
                <w:color w:val="1D1D1B" w:themeColor="text1"/>
              </w:rPr>
              <w:t>CONTINUE</w:t>
            </w:r>
          </w:p>
        </w:tc>
      </w:tr>
      <w:tr w:rsidR="006E0879" w:rsidRPr="00925DF4" w14:paraId="365EA54B" w14:textId="77777777" w:rsidTr="00AB3D40">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2754F89B" w14:textId="77777777" w:rsidR="006E0879" w:rsidRPr="00925DF4" w:rsidRDefault="006E0879" w:rsidP="006E0879">
            <w:pPr>
              <w:pStyle w:val="responsecodes"/>
              <w:numPr>
                <w:ilvl w:val="0"/>
                <w:numId w:val="39"/>
              </w:numPr>
              <w:tabs>
                <w:tab w:val="left" w:pos="0"/>
                <w:tab w:val="left" w:leader="dot" w:pos="8280"/>
              </w:tabs>
              <w:spacing w:before="60"/>
              <w:rPr>
                <w:bCs w:val="0"/>
                <w:color w:val="1D1D1B" w:themeColor="text1"/>
                <w:sz w:val="20"/>
                <w:szCs w:val="20"/>
              </w:rPr>
            </w:pPr>
            <w:r w:rsidRPr="00925DF4">
              <w:rPr>
                <w:bCs w:val="0"/>
                <w:color w:val="1D1D1B" w:themeColor="text1"/>
                <w:sz w:val="20"/>
                <w:szCs w:val="20"/>
              </w:rPr>
              <w:t>Other type of organisation [PLEASE TYPE IN]</w:t>
            </w:r>
          </w:p>
        </w:tc>
        <w:tc>
          <w:tcPr>
            <w:tcW w:w="740" w:type="pct"/>
            <w:tcBorders>
              <w:top w:val="single" w:sz="4" w:space="0" w:color="auto"/>
              <w:left w:val="single" w:sz="4" w:space="0" w:color="auto"/>
              <w:bottom w:val="single" w:sz="4" w:space="0" w:color="auto"/>
              <w:right w:val="single" w:sz="4" w:space="0" w:color="auto"/>
            </w:tcBorders>
            <w:vAlign w:val="center"/>
            <w:hideMark/>
          </w:tcPr>
          <w:p w14:paraId="01D22D20" w14:textId="77777777" w:rsidR="006E0879" w:rsidRPr="00925DF4" w:rsidRDefault="006E0879" w:rsidP="00AB3D40">
            <w:pPr>
              <w:spacing w:before="60"/>
              <w:jc w:val="center"/>
              <w:rPr>
                <w:rFonts w:cs="Arial"/>
                <w:color w:val="1D1D1B" w:themeColor="text1"/>
              </w:rPr>
            </w:pPr>
            <w:r w:rsidRPr="00925DF4">
              <w:rPr>
                <w:rFonts w:cs="Arial"/>
                <w:color w:val="1D1D1B" w:themeColor="text1"/>
              </w:rPr>
              <w:t>5</w:t>
            </w:r>
          </w:p>
        </w:tc>
        <w:tc>
          <w:tcPr>
            <w:tcW w:w="1202" w:type="pct"/>
            <w:tcBorders>
              <w:top w:val="single" w:sz="4" w:space="0" w:color="auto"/>
              <w:left w:val="single" w:sz="4" w:space="0" w:color="auto"/>
              <w:bottom w:val="single" w:sz="4" w:space="0" w:color="auto"/>
              <w:right w:val="single" w:sz="4" w:space="0" w:color="auto"/>
            </w:tcBorders>
            <w:hideMark/>
          </w:tcPr>
          <w:p w14:paraId="7719DDCB" w14:textId="77777777" w:rsidR="006E0879" w:rsidRPr="00925DF4" w:rsidRDefault="006E0879" w:rsidP="00AB3D40">
            <w:pPr>
              <w:spacing w:before="60"/>
              <w:ind w:left="120"/>
              <w:rPr>
                <w:rFonts w:cs="Arial"/>
                <w:color w:val="1D1D1B" w:themeColor="text1"/>
              </w:rPr>
            </w:pPr>
            <w:r w:rsidRPr="00925DF4">
              <w:rPr>
                <w:rFonts w:cs="Arial"/>
                <w:color w:val="1D1D1B" w:themeColor="text1"/>
              </w:rPr>
              <w:t>CONTINUE</w:t>
            </w:r>
          </w:p>
        </w:tc>
      </w:tr>
      <w:tr w:rsidR="006E0879" w:rsidRPr="00925DF4" w14:paraId="0CD4786C" w14:textId="77777777" w:rsidTr="00AB3D40">
        <w:trPr>
          <w:cantSplit/>
          <w:trHeight w:val="320"/>
        </w:trPr>
        <w:tc>
          <w:tcPr>
            <w:tcW w:w="3058" w:type="pct"/>
            <w:tcBorders>
              <w:top w:val="single" w:sz="4" w:space="0" w:color="auto"/>
              <w:left w:val="single" w:sz="4" w:space="0" w:color="auto"/>
              <w:bottom w:val="single" w:sz="4" w:space="0" w:color="auto"/>
              <w:right w:val="single" w:sz="4" w:space="0" w:color="auto"/>
            </w:tcBorders>
            <w:hideMark/>
          </w:tcPr>
          <w:p w14:paraId="67F7F20E"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Don’t know</w:t>
            </w:r>
          </w:p>
        </w:tc>
        <w:tc>
          <w:tcPr>
            <w:tcW w:w="740" w:type="pct"/>
            <w:tcBorders>
              <w:top w:val="single" w:sz="4" w:space="0" w:color="auto"/>
              <w:left w:val="single" w:sz="4" w:space="0" w:color="auto"/>
              <w:bottom w:val="single" w:sz="4" w:space="0" w:color="auto"/>
              <w:right w:val="single" w:sz="4" w:space="0" w:color="auto"/>
            </w:tcBorders>
            <w:vAlign w:val="center"/>
            <w:hideMark/>
          </w:tcPr>
          <w:p w14:paraId="2E0DEBB0" w14:textId="77777777" w:rsidR="006E0879" w:rsidRPr="00925DF4" w:rsidRDefault="006E0879" w:rsidP="00AB3D40">
            <w:pPr>
              <w:spacing w:before="60"/>
              <w:jc w:val="center"/>
              <w:rPr>
                <w:rFonts w:cs="Arial"/>
                <w:color w:val="1D1D1B" w:themeColor="text1"/>
              </w:rPr>
            </w:pPr>
            <w:r w:rsidRPr="00925DF4">
              <w:rPr>
                <w:rFonts w:cs="Arial"/>
                <w:color w:val="1D1D1B" w:themeColor="text1"/>
              </w:rPr>
              <w:t>98</w:t>
            </w:r>
          </w:p>
        </w:tc>
        <w:tc>
          <w:tcPr>
            <w:tcW w:w="1202" w:type="pct"/>
            <w:tcBorders>
              <w:top w:val="single" w:sz="4" w:space="0" w:color="auto"/>
              <w:left w:val="single" w:sz="4" w:space="0" w:color="auto"/>
              <w:bottom w:val="single" w:sz="4" w:space="0" w:color="auto"/>
              <w:right w:val="single" w:sz="4" w:space="0" w:color="auto"/>
            </w:tcBorders>
            <w:hideMark/>
          </w:tcPr>
          <w:p w14:paraId="6717884A" w14:textId="77777777" w:rsidR="006E0879" w:rsidRPr="00925DF4" w:rsidRDefault="006E0879" w:rsidP="00AB3D40">
            <w:pPr>
              <w:spacing w:before="60"/>
              <w:ind w:left="120"/>
              <w:rPr>
                <w:rFonts w:cs="Arial"/>
                <w:color w:val="1D1D1B" w:themeColor="text1"/>
              </w:rPr>
            </w:pPr>
            <w:r w:rsidRPr="00925DF4">
              <w:rPr>
                <w:rFonts w:cs="Arial"/>
                <w:color w:val="1D1D1B" w:themeColor="text1"/>
              </w:rPr>
              <w:t>CONTINUE</w:t>
            </w:r>
          </w:p>
        </w:tc>
      </w:tr>
      <w:tr w:rsidR="006E0879" w:rsidRPr="00925DF4" w14:paraId="48C709D1" w14:textId="77777777" w:rsidTr="00AB3D40">
        <w:trPr>
          <w:cantSplit/>
          <w:trHeight w:val="320"/>
        </w:trPr>
        <w:tc>
          <w:tcPr>
            <w:tcW w:w="3058" w:type="pct"/>
            <w:tcBorders>
              <w:top w:val="single" w:sz="4" w:space="0" w:color="auto"/>
              <w:left w:val="single" w:sz="4" w:space="0" w:color="auto"/>
              <w:bottom w:val="single" w:sz="4" w:space="0" w:color="auto"/>
              <w:right w:val="single" w:sz="4" w:space="0" w:color="auto"/>
            </w:tcBorders>
          </w:tcPr>
          <w:p w14:paraId="4E1C6C2C"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Refused</w:t>
            </w:r>
          </w:p>
        </w:tc>
        <w:tc>
          <w:tcPr>
            <w:tcW w:w="740" w:type="pct"/>
            <w:tcBorders>
              <w:top w:val="single" w:sz="4" w:space="0" w:color="auto"/>
              <w:left w:val="single" w:sz="4" w:space="0" w:color="auto"/>
              <w:bottom w:val="single" w:sz="4" w:space="0" w:color="auto"/>
              <w:right w:val="single" w:sz="4" w:space="0" w:color="auto"/>
            </w:tcBorders>
            <w:vAlign w:val="center"/>
          </w:tcPr>
          <w:p w14:paraId="336EC2E1" w14:textId="77777777" w:rsidR="006E0879" w:rsidRPr="00925DF4" w:rsidRDefault="006E0879" w:rsidP="00AB3D40">
            <w:pPr>
              <w:spacing w:before="60"/>
              <w:jc w:val="center"/>
              <w:rPr>
                <w:rFonts w:cs="Arial"/>
                <w:color w:val="1D1D1B" w:themeColor="text1"/>
              </w:rPr>
            </w:pPr>
            <w:r w:rsidRPr="00925DF4">
              <w:rPr>
                <w:rFonts w:cs="Arial"/>
                <w:color w:val="1D1D1B" w:themeColor="text1"/>
              </w:rPr>
              <w:t>99</w:t>
            </w:r>
          </w:p>
        </w:tc>
        <w:tc>
          <w:tcPr>
            <w:tcW w:w="1202" w:type="pct"/>
            <w:tcBorders>
              <w:top w:val="single" w:sz="4" w:space="0" w:color="auto"/>
              <w:left w:val="single" w:sz="4" w:space="0" w:color="auto"/>
              <w:bottom w:val="single" w:sz="4" w:space="0" w:color="auto"/>
              <w:right w:val="single" w:sz="4" w:space="0" w:color="auto"/>
            </w:tcBorders>
          </w:tcPr>
          <w:p w14:paraId="3B3704FC" w14:textId="77777777" w:rsidR="006E0879" w:rsidRPr="00925DF4" w:rsidRDefault="006E0879" w:rsidP="00AB3D40">
            <w:pPr>
              <w:spacing w:before="60"/>
              <w:ind w:left="120"/>
              <w:rPr>
                <w:rFonts w:cs="Arial"/>
                <w:color w:val="1D1D1B" w:themeColor="text1"/>
              </w:rPr>
            </w:pPr>
            <w:r w:rsidRPr="00925DF4">
              <w:rPr>
                <w:rFonts w:cs="Arial"/>
                <w:color w:val="1D1D1B" w:themeColor="text1"/>
              </w:rPr>
              <w:t>CONTINUE</w:t>
            </w:r>
          </w:p>
        </w:tc>
      </w:tr>
      <w:bookmarkEnd w:id="84"/>
    </w:tbl>
    <w:p w14:paraId="16D081B4" w14:textId="77777777" w:rsidR="006E0879" w:rsidRPr="00925DF4" w:rsidRDefault="006E0879" w:rsidP="006E0879">
      <w:pPr>
        <w:tabs>
          <w:tab w:val="left" w:pos="720"/>
        </w:tabs>
        <w:ind w:left="486" w:hanging="426"/>
        <w:rPr>
          <w:rFonts w:cs="Arial"/>
          <w:b/>
          <w:color w:val="1D1D1B" w:themeColor="text1"/>
          <w:lang w:val="en-US"/>
        </w:rPr>
      </w:pPr>
    </w:p>
    <w:p w14:paraId="580C83A5" w14:textId="77777777" w:rsidR="006E0879" w:rsidRDefault="006E0879" w:rsidP="006E0879">
      <w:pPr>
        <w:rPr>
          <w:rFonts w:cs="Arial"/>
          <w:b/>
          <w:bCs/>
          <w:lang w:eastAsia="en-GB"/>
        </w:rPr>
      </w:pPr>
      <w:r>
        <w:rPr>
          <w:rFonts w:cs="Arial"/>
          <w:b/>
          <w:bCs/>
          <w:lang w:eastAsia="en-GB"/>
        </w:rPr>
        <w:t>ASK ALL</w:t>
      </w:r>
    </w:p>
    <w:p w14:paraId="2B435D41" w14:textId="097D9956" w:rsidR="006E0879" w:rsidRPr="00925DF4" w:rsidRDefault="006E0879" w:rsidP="006E0879">
      <w:pPr>
        <w:rPr>
          <w:rFonts w:cs="Arial"/>
          <w:lang w:eastAsia="en-GB"/>
        </w:rPr>
      </w:pPr>
      <w:r w:rsidRPr="33259E91">
        <w:rPr>
          <w:rFonts w:cs="Arial"/>
          <w:b/>
          <w:bCs/>
          <w:lang w:eastAsia="en-GB"/>
        </w:rPr>
        <w:t xml:space="preserve">S20  How many years has your business been </w:t>
      </w:r>
      <w:r w:rsidRPr="33259E91">
        <w:rPr>
          <w:rFonts w:eastAsia="SimSun" w:cs="Arial"/>
          <w:color w:val="FF0000"/>
        </w:rPr>
        <w:t>[</w:t>
      </w:r>
      <w:r w:rsidRPr="33259E91">
        <w:rPr>
          <w:rFonts w:cs="Arial"/>
          <w:color w:val="FF0000"/>
        </w:rPr>
        <w:t>IF CLOSED S9=3):</w:t>
      </w:r>
      <w:r w:rsidRPr="33259E91">
        <w:rPr>
          <w:rFonts w:cs="Arial"/>
          <w:b/>
          <w:bCs/>
          <w:color w:val="FF0000"/>
        </w:rPr>
        <w:t xml:space="preserve"> </w:t>
      </w:r>
      <w:r w:rsidR="387052E6" w:rsidRPr="33259E91">
        <w:rPr>
          <w:rFonts w:cs="Arial"/>
          <w:b/>
          <w:bCs/>
          <w:lang w:eastAsia="en-GB"/>
        </w:rPr>
        <w:t>was your</w:t>
      </w:r>
      <w:r w:rsidRPr="33259E91">
        <w:rPr>
          <w:rFonts w:cs="Arial"/>
          <w:b/>
          <w:bCs/>
          <w:lang w:eastAsia="en-GB"/>
        </w:rPr>
        <w:t xml:space="preserve"> business] = trading? This includes all ownerships and all legal statuses.</w:t>
      </w:r>
      <w:r w:rsidRPr="33259E91">
        <w:rPr>
          <w:rFonts w:cs="Arial"/>
          <w:lang w:eastAsia="en-GB"/>
        </w:rPr>
        <w:t xml:space="preserve"> </w:t>
      </w:r>
      <w:r w:rsidRPr="33259E91">
        <w:rPr>
          <w:rFonts w:cs="Arial"/>
          <w:color w:val="FF0000"/>
          <w:lang w:eastAsia="en-GB"/>
        </w:rPr>
        <w:t>INTERVIEWER ADD IF NECESSARY/ SHOW AS INFO BUTTON FOR ONLINE SURVEY</w:t>
      </w:r>
      <w:r w:rsidRPr="33259E91">
        <w:rPr>
          <w:rFonts w:cs="Arial"/>
          <w:b/>
          <w:bCs/>
          <w:lang w:eastAsia="en-GB"/>
        </w:rPr>
        <w:t xml:space="preserve"> In the case of a past acquisition, refer to when the acquiring enterprise was registered. In the case of a merger, please consider the largest enterprise in terms of employment. </w:t>
      </w:r>
      <w:r w:rsidRPr="33259E91">
        <w:rPr>
          <w:rFonts w:cs="Arial"/>
          <w:color w:val="FF0000"/>
          <w:lang w:eastAsia="en-GB"/>
        </w:rPr>
        <w:t>SINGLE CODE ONLY</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6215"/>
        <w:gridCol w:w="1434"/>
        <w:gridCol w:w="2552"/>
      </w:tblGrid>
      <w:tr w:rsidR="006E0879" w:rsidRPr="00925DF4" w14:paraId="1C453283"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525D5C41" w14:textId="77777777" w:rsidR="006E0879" w:rsidRPr="00925DF4" w:rsidRDefault="006E0879" w:rsidP="00AB3D40">
            <w:pPr>
              <w:spacing w:before="60"/>
              <w:rPr>
                <w:rFonts w:cs="Arial"/>
                <w:color w:val="1D1D1B" w:themeColor="text1"/>
              </w:rPr>
            </w:pPr>
            <w:r w:rsidRPr="00925DF4">
              <w:rPr>
                <w:rFonts w:cs="Arial"/>
                <w:color w:val="1D1D1B" w:themeColor="text1"/>
              </w:rPr>
              <w:t>Less than one year</w:t>
            </w:r>
          </w:p>
        </w:tc>
        <w:tc>
          <w:tcPr>
            <w:tcW w:w="703" w:type="pct"/>
            <w:tcBorders>
              <w:top w:val="single" w:sz="4" w:space="0" w:color="auto"/>
              <w:left w:val="single" w:sz="4" w:space="0" w:color="auto"/>
              <w:bottom w:val="single" w:sz="4" w:space="0" w:color="auto"/>
              <w:right w:val="single" w:sz="4" w:space="0" w:color="auto"/>
            </w:tcBorders>
            <w:vAlign w:val="center"/>
            <w:hideMark/>
          </w:tcPr>
          <w:p w14:paraId="62A91B0E"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p>
        </w:tc>
        <w:tc>
          <w:tcPr>
            <w:tcW w:w="1251" w:type="pct"/>
            <w:tcBorders>
              <w:top w:val="single" w:sz="4" w:space="0" w:color="auto"/>
              <w:left w:val="single" w:sz="4" w:space="0" w:color="auto"/>
              <w:bottom w:val="single" w:sz="4" w:space="0" w:color="auto"/>
              <w:right w:val="single" w:sz="4" w:space="0" w:color="auto"/>
            </w:tcBorders>
          </w:tcPr>
          <w:p w14:paraId="0C7FC214" w14:textId="77777777" w:rsidR="006E0879" w:rsidRPr="00925DF4" w:rsidRDefault="006E0879" w:rsidP="00AB3D40">
            <w:pPr>
              <w:spacing w:before="60"/>
              <w:jc w:val="center"/>
              <w:rPr>
                <w:rFonts w:cs="Arial"/>
                <w:color w:val="1D1D1B" w:themeColor="text1"/>
              </w:rPr>
            </w:pPr>
            <w:r>
              <w:rPr>
                <w:rFonts w:cs="Arial"/>
                <w:color w:val="1D1D1B" w:themeColor="text1"/>
              </w:rPr>
              <w:t>CLOSE IF CONTROL GROUP</w:t>
            </w:r>
          </w:p>
        </w:tc>
      </w:tr>
      <w:tr w:rsidR="006E0879" w:rsidRPr="00925DF4" w14:paraId="4EEF0F3A"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25AF9CBD" w14:textId="77777777" w:rsidR="006E0879" w:rsidRPr="00925DF4" w:rsidRDefault="006E0879" w:rsidP="00AB3D40">
            <w:pPr>
              <w:spacing w:before="60"/>
              <w:rPr>
                <w:rFonts w:cs="Arial"/>
                <w:color w:val="1D1D1B" w:themeColor="text1"/>
              </w:rPr>
            </w:pPr>
            <w:r w:rsidRPr="00925DF4">
              <w:rPr>
                <w:rFonts w:cs="Arial"/>
                <w:color w:val="1D1D1B" w:themeColor="text1"/>
              </w:rPr>
              <w:t>1 year</w:t>
            </w:r>
          </w:p>
        </w:tc>
        <w:tc>
          <w:tcPr>
            <w:tcW w:w="703" w:type="pct"/>
            <w:tcBorders>
              <w:top w:val="single" w:sz="4" w:space="0" w:color="auto"/>
              <w:left w:val="single" w:sz="4" w:space="0" w:color="auto"/>
              <w:bottom w:val="single" w:sz="4" w:space="0" w:color="auto"/>
              <w:right w:val="single" w:sz="4" w:space="0" w:color="auto"/>
            </w:tcBorders>
            <w:vAlign w:val="center"/>
            <w:hideMark/>
          </w:tcPr>
          <w:p w14:paraId="5D1CCDA2" w14:textId="77777777" w:rsidR="006E0879" w:rsidRPr="00925DF4" w:rsidRDefault="006E0879" w:rsidP="00AB3D40">
            <w:pPr>
              <w:spacing w:before="60"/>
              <w:jc w:val="center"/>
              <w:rPr>
                <w:rFonts w:cs="Arial"/>
                <w:color w:val="1D1D1B" w:themeColor="text1"/>
              </w:rPr>
            </w:pPr>
            <w:r w:rsidRPr="00925DF4">
              <w:rPr>
                <w:rFonts w:cs="Arial"/>
                <w:color w:val="1D1D1B" w:themeColor="text1"/>
              </w:rPr>
              <w:t>2</w:t>
            </w:r>
          </w:p>
        </w:tc>
        <w:tc>
          <w:tcPr>
            <w:tcW w:w="1251" w:type="pct"/>
            <w:tcBorders>
              <w:top w:val="single" w:sz="4" w:space="0" w:color="auto"/>
              <w:left w:val="single" w:sz="4" w:space="0" w:color="auto"/>
              <w:bottom w:val="single" w:sz="4" w:space="0" w:color="auto"/>
              <w:right w:val="single" w:sz="4" w:space="0" w:color="auto"/>
            </w:tcBorders>
          </w:tcPr>
          <w:p w14:paraId="3509AAED" w14:textId="77777777" w:rsidR="006E0879" w:rsidRPr="00925DF4" w:rsidRDefault="006E0879" w:rsidP="00AB3D40">
            <w:pPr>
              <w:spacing w:before="60"/>
              <w:jc w:val="center"/>
              <w:rPr>
                <w:rFonts w:cs="Arial"/>
                <w:color w:val="1D1D1B" w:themeColor="text1"/>
              </w:rPr>
            </w:pPr>
            <w:r>
              <w:rPr>
                <w:rFonts w:cs="Arial"/>
                <w:color w:val="1D1D1B" w:themeColor="text1"/>
              </w:rPr>
              <w:t>CLOSE IF CONTROL GROUP</w:t>
            </w:r>
          </w:p>
        </w:tc>
      </w:tr>
      <w:tr w:rsidR="006E0879" w:rsidRPr="00925DF4" w14:paraId="774B5659"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442808B3" w14:textId="77777777" w:rsidR="006E0879" w:rsidRPr="00925DF4" w:rsidRDefault="006E0879" w:rsidP="00AB3D40">
            <w:pPr>
              <w:spacing w:before="60"/>
              <w:rPr>
                <w:rFonts w:cs="Arial"/>
                <w:color w:val="1D1D1B" w:themeColor="text1"/>
              </w:rPr>
            </w:pPr>
            <w:r w:rsidRPr="00925DF4">
              <w:rPr>
                <w:rFonts w:cs="Arial"/>
                <w:color w:val="1D1D1B" w:themeColor="text1"/>
              </w:rPr>
              <w:t>2 years</w:t>
            </w:r>
          </w:p>
        </w:tc>
        <w:tc>
          <w:tcPr>
            <w:tcW w:w="703" w:type="pct"/>
            <w:tcBorders>
              <w:top w:val="single" w:sz="4" w:space="0" w:color="auto"/>
              <w:left w:val="single" w:sz="4" w:space="0" w:color="auto"/>
              <w:bottom w:val="single" w:sz="4" w:space="0" w:color="auto"/>
              <w:right w:val="single" w:sz="4" w:space="0" w:color="auto"/>
            </w:tcBorders>
            <w:vAlign w:val="center"/>
            <w:hideMark/>
          </w:tcPr>
          <w:p w14:paraId="4EE292B1" w14:textId="77777777" w:rsidR="006E0879" w:rsidRPr="00925DF4" w:rsidRDefault="006E0879" w:rsidP="00AB3D40">
            <w:pPr>
              <w:spacing w:before="60"/>
              <w:jc w:val="center"/>
              <w:rPr>
                <w:rFonts w:cs="Arial"/>
                <w:color w:val="1D1D1B" w:themeColor="text1"/>
              </w:rPr>
            </w:pPr>
            <w:r w:rsidRPr="00925DF4">
              <w:rPr>
                <w:rFonts w:cs="Arial"/>
                <w:color w:val="1D1D1B" w:themeColor="text1"/>
              </w:rPr>
              <w:t>3</w:t>
            </w:r>
          </w:p>
        </w:tc>
        <w:tc>
          <w:tcPr>
            <w:tcW w:w="1251" w:type="pct"/>
            <w:tcBorders>
              <w:top w:val="single" w:sz="4" w:space="0" w:color="auto"/>
              <w:left w:val="single" w:sz="4" w:space="0" w:color="auto"/>
              <w:bottom w:val="single" w:sz="4" w:space="0" w:color="auto"/>
              <w:right w:val="single" w:sz="4" w:space="0" w:color="auto"/>
            </w:tcBorders>
          </w:tcPr>
          <w:p w14:paraId="65227E12" w14:textId="77777777" w:rsidR="006E0879" w:rsidRPr="00925DF4" w:rsidRDefault="006E0879" w:rsidP="00AB3D40">
            <w:pPr>
              <w:spacing w:before="60"/>
              <w:jc w:val="center"/>
              <w:rPr>
                <w:rFonts w:cs="Arial"/>
                <w:color w:val="1D1D1B" w:themeColor="text1"/>
              </w:rPr>
            </w:pPr>
          </w:p>
        </w:tc>
      </w:tr>
      <w:tr w:rsidR="006E0879" w:rsidRPr="00925DF4" w14:paraId="352A9756"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203C7E0F" w14:textId="77777777" w:rsidR="006E0879" w:rsidRPr="00925DF4" w:rsidRDefault="006E0879" w:rsidP="00AB3D40">
            <w:pPr>
              <w:spacing w:before="60"/>
              <w:rPr>
                <w:rFonts w:cs="Arial"/>
                <w:color w:val="1D1D1B" w:themeColor="text1"/>
              </w:rPr>
            </w:pPr>
            <w:r w:rsidRPr="00925DF4">
              <w:rPr>
                <w:rFonts w:cs="Arial"/>
                <w:color w:val="1D1D1B" w:themeColor="text1"/>
              </w:rPr>
              <w:t>3 years</w:t>
            </w:r>
          </w:p>
        </w:tc>
        <w:tc>
          <w:tcPr>
            <w:tcW w:w="703" w:type="pct"/>
            <w:tcBorders>
              <w:top w:val="single" w:sz="4" w:space="0" w:color="auto"/>
              <w:left w:val="single" w:sz="4" w:space="0" w:color="auto"/>
              <w:bottom w:val="single" w:sz="4" w:space="0" w:color="auto"/>
              <w:right w:val="single" w:sz="4" w:space="0" w:color="auto"/>
            </w:tcBorders>
            <w:vAlign w:val="center"/>
            <w:hideMark/>
          </w:tcPr>
          <w:p w14:paraId="4BBCC450" w14:textId="77777777" w:rsidR="006E0879" w:rsidRPr="00925DF4" w:rsidRDefault="006E0879" w:rsidP="00AB3D40">
            <w:pPr>
              <w:spacing w:before="60"/>
              <w:jc w:val="center"/>
              <w:rPr>
                <w:rFonts w:cs="Arial"/>
                <w:color w:val="1D1D1B" w:themeColor="text1"/>
              </w:rPr>
            </w:pPr>
            <w:r w:rsidRPr="00925DF4">
              <w:rPr>
                <w:rFonts w:cs="Arial"/>
                <w:color w:val="1D1D1B" w:themeColor="text1"/>
              </w:rPr>
              <w:t>4</w:t>
            </w:r>
          </w:p>
        </w:tc>
        <w:tc>
          <w:tcPr>
            <w:tcW w:w="1251" w:type="pct"/>
            <w:tcBorders>
              <w:top w:val="single" w:sz="4" w:space="0" w:color="auto"/>
              <w:left w:val="single" w:sz="4" w:space="0" w:color="auto"/>
              <w:bottom w:val="single" w:sz="4" w:space="0" w:color="auto"/>
              <w:right w:val="single" w:sz="4" w:space="0" w:color="auto"/>
            </w:tcBorders>
          </w:tcPr>
          <w:p w14:paraId="23C41A1D" w14:textId="77777777" w:rsidR="006E0879" w:rsidRPr="00925DF4" w:rsidRDefault="006E0879" w:rsidP="00AB3D40">
            <w:pPr>
              <w:spacing w:before="60"/>
              <w:jc w:val="center"/>
              <w:rPr>
                <w:rFonts w:cs="Arial"/>
                <w:color w:val="1D1D1B" w:themeColor="text1"/>
              </w:rPr>
            </w:pPr>
          </w:p>
        </w:tc>
      </w:tr>
      <w:tr w:rsidR="006E0879" w:rsidRPr="00925DF4" w14:paraId="6AF4BEDE"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3DFC9F0D" w14:textId="77777777" w:rsidR="006E0879" w:rsidRPr="00925DF4" w:rsidRDefault="006E0879" w:rsidP="00AB3D40">
            <w:pPr>
              <w:spacing w:before="60"/>
              <w:rPr>
                <w:rFonts w:cs="Arial"/>
                <w:color w:val="1D1D1B" w:themeColor="text1"/>
              </w:rPr>
            </w:pPr>
            <w:r w:rsidRPr="00925DF4">
              <w:rPr>
                <w:rFonts w:cs="Arial"/>
                <w:color w:val="1D1D1B" w:themeColor="text1"/>
              </w:rPr>
              <w:t>4 years</w:t>
            </w:r>
          </w:p>
        </w:tc>
        <w:tc>
          <w:tcPr>
            <w:tcW w:w="703" w:type="pct"/>
            <w:tcBorders>
              <w:top w:val="single" w:sz="4" w:space="0" w:color="auto"/>
              <w:left w:val="single" w:sz="4" w:space="0" w:color="auto"/>
              <w:bottom w:val="single" w:sz="4" w:space="0" w:color="auto"/>
              <w:right w:val="single" w:sz="4" w:space="0" w:color="auto"/>
            </w:tcBorders>
            <w:vAlign w:val="center"/>
            <w:hideMark/>
          </w:tcPr>
          <w:p w14:paraId="1F6E8347" w14:textId="77777777" w:rsidR="006E0879" w:rsidRPr="00925DF4" w:rsidRDefault="006E0879" w:rsidP="00AB3D40">
            <w:pPr>
              <w:spacing w:before="60"/>
              <w:jc w:val="center"/>
              <w:rPr>
                <w:rFonts w:cs="Arial"/>
                <w:color w:val="1D1D1B" w:themeColor="text1"/>
              </w:rPr>
            </w:pPr>
            <w:r w:rsidRPr="00925DF4">
              <w:rPr>
                <w:rFonts w:cs="Arial"/>
                <w:color w:val="1D1D1B" w:themeColor="text1"/>
              </w:rPr>
              <w:t>5</w:t>
            </w:r>
          </w:p>
        </w:tc>
        <w:tc>
          <w:tcPr>
            <w:tcW w:w="1251" w:type="pct"/>
            <w:tcBorders>
              <w:top w:val="single" w:sz="4" w:space="0" w:color="auto"/>
              <w:left w:val="single" w:sz="4" w:space="0" w:color="auto"/>
              <w:bottom w:val="single" w:sz="4" w:space="0" w:color="auto"/>
              <w:right w:val="single" w:sz="4" w:space="0" w:color="auto"/>
            </w:tcBorders>
          </w:tcPr>
          <w:p w14:paraId="6DAEEE31" w14:textId="77777777" w:rsidR="006E0879" w:rsidRPr="00925DF4" w:rsidRDefault="006E0879" w:rsidP="00AB3D40">
            <w:pPr>
              <w:spacing w:before="60"/>
              <w:jc w:val="center"/>
              <w:rPr>
                <w:rFonts w:cs="Arial"/>
                <w:color w:val="1D1D1B" w:themeColor="text1"/>
              </w:rPr>
            </w:pPr>
          </w:p>
        </w:tc>
      </w:tr>
      <w:tr w:rsidR="006E0879" w:rsidRPr="00925DF4" w14:paraId="005BAE13"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4A4B283C" w14:textId="77777777" w:rsidR="006E0879" w:rsidRPr="00925DF4" w:rsidRDefault="006E0879" w:rsidP="00AB3D40">
            <w:pPr>
              <w:spacing w:before="60"/>
              <w:rPr>
                <w:rFonts w:cs="Arial"/>
                <w:color w:val="1D1D1B" w:themeColor="text1"/>
              </w:rPr>
            </w:pPr>
            <w:r w:rsidRPr="00925DF4">
              <w:rPr>
                <w:rFonts w:cs="Arial"/>
                <w:color w:val="1D1D1B" w:themeColor="text1"/>
              </w:rPr>
              <w:t>5 years</w:t>
            </w:r>
          </w:p>
        </w:tc>
        <w:tc>
          <w:tcPr>
            <w:tcW w:w="703" w:type="pct"/>
            <w:tcBorders>
              <w:top w:val="single" w:sz="4" w:space="0" w:color="auto"/>
              <w:left w:val="single" w:sz="4" w:space="0" w:color="auto"/>
              <w:bottom w:val="single" w:sz="4" w:space="0" w:color="auto"/>
              <w:right w:val="single" w:sz="4" w:space="0" w:color="auto"/>
            </w:tcBorders>
            <w:vAlign w:val="center"/>
            <w:hideMark/>
          </w:tcPr>
          <w:p w14:paraId="40535AB1" w14:textId="77777777" w:rsidR="006E0879" w:rsidRPr="00925DF4" w:rsidRDefault="006E0879" w:rsidP="00AB3D40">
            <w:pPr>
              <w:spacing w:before="60"/>
              <w:jc w:val="center"/>
              <w:rPr>
                <w:rFonts w:cs="Arial"/>
                <w:color w:val="1D1D1B" w:themeColor="text1"/>
              </w:rPr>
            </w:pPr>
            <w:r w:rsidRPr="00925DF4">
              <w:rPr>
                <w:rFonts w:cs="Arial"/>
                <w:color w:val="1D1D1B" w:themeColor="text1"/>
              </w:rPr>
              <w:t>6</w:t>
            </w:r>
          </w:p>
        </w:tc>
        <w:tc>
          <w:tcPr>
            <w:tcW w:w="1251" w:type="pct"/>
            <w:tcBorders>
              <w:top w:val="single" w:sz="4" w:space="0" w:color="auto"/>
              <w:left w:val="single" w:sz="4" w:space="0" w:color="auto"/>
              <w:bottom w:val="single" w:sz="4" w:space="0" w:color="auto"/>
              <w:right w:val="single" w:sz="4" w:space="0" w:color="auto"/>
            </w:tcBorders>
          </w:tcPr>
          <w:p w14:paraId="58CB0A6C" w14:textId="77777777" w:rsidR="006E0879" w:rsidRPr="00925DF4" w:rsidRDefault="006E0879" w:rsidP="00AB3D40">
            <w:pPr>
              <w:spacing w:before="60"/>
              <w:jc w:val="center"/>
              <w:rPr>
                <w:rFonts w:cs="Arial"/>
                <w:color w:val="1D1D1B" w:themeColor="text1"/>
              </w:rPr>
            </w:pPr>
          </w:p>
        </w:tc>
      </w:tr>
      <w:tr w:rsidR="006E0879" w:rsidRPr="00925DF4" w14:paraId="0C292C24"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5831C466" w14:textId="77777777" w:rsidR="006E0879" w:rsidRPr="00925DF4" w:rsidRDefault="006E0879" w:rsidP="00AB3D40">
            <w:pPr>
              <w:spacing w:before="60"/>
              <w:rPr>
                <w:rFonts w:cs="Arial"/>
                <w:color w:val="1D1D1B" w:themeColor="text1"/>
              </w:rPr>
            </w:pPr>
            <w:r w:rsidRPr="00925DF4">
              <w:rPr>
                <w:rFonts w:cs="Arial"/>
                <w:color w:val="1D1D1B" w:themeColor="text1"/>
              </w:rPr>
              <w:t>6-9 years</w:t>
            </w:r>
          </w:p>
        </w:tc>
        <w:tc>
          <w:tcPr>
            <w:tcW w:w="703" w:type="pct"/>
            <w:tcBorders>
              <w:top w:val="single" w:sz="4" w:space="0" w:color="auto"/>
              <w:left w:val="single" w:sz="4" w:space="0" w:color="auto"/>
              <w:bottom w:val="single" w:sz="4" w:space="0" w:color="auto"/>
              <w:right w:val="single" w:sz="4" w:space="0" w:color="auto"/>
            </w:tcBorders>
            <w:vAlign w:val="center"/>
            <w:hideMark/>
          </w:tcPr>
          <w:p w14:paraId="0848716C" w14:textId="77777777" w:rsidR="006E0879" w:rsidRPr="00925DF4" w:rsidRDefault="006E0879" w:rsidP="00AB3D40">
            <w:pPr>
              <w:spacing w:before="60"/>
              <w:jc w:val="center"/>
              <w:rPr>
                <w:rFonts w:cs="Arial"/>
                <w:color w:val="1D1D1B" w:themeColor="text1"/>
              </w:rPr>
            </w:pPr>
            <w:r w:rsidRPr="00925DF4">
              <w:rPr>
                <w:rFonts w:cs="Arial"/>
                <w:color w:val="1D1D1B" w:themeColor="text1"/>
              </w:rPr>
              <w:t>7</w:t>
            </w:r>
          </w:p>
        </w:tc>
        <w:tc>
          <w:tcPr>
            <w:tcW w:w="1251" w:type="pct"/>
            <w:tcBorders>
              <w:top w:val="single" w:sz="4" w:space="0" w:color="auto"/>
              <w:left w:val="single" w:sz="4" w:space="0" w:color="auto"/>
              <w:bottom w:val="single" w:sz="4" w:space="0" w:color="auto"/>
              <w:right w:val="single" w:sz="4" w:space="0" w:color="auto"/>
            </w:tcBorders>
          </w:tcPr>
          <w:p w14:paraId="5E340177" w14:textId="77777777" w:rsidR="006E0879" w:rsidRPr="00925DF4" w:rsidRDefault="006E0879" w:rsidP="00AB3D40">
            <w:pPr>
              <w:spacing w:before="60"/>
              <w:jc w:val="center"/>
              <w:rPr>
                <w:rFonts w:cs="Arial"/>
                <w:color w:val="1D1D1B" w:themeColor="text1"/>
              </w:rPr>
            </w:pPr>
          </w:p>
        </w:tc>
      </w:tr>
      <w:tr w:rsidR="006E0879" w:rsidRPr="00925DF4" w14:paraId="61DA7952"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228F28DD" w14:textId="77777777" w:rsidR="006E0879" w:rsidRPr="00925DF4" w:rsidRDefault="006E0879" w:rsidP="00AB3D40">
            <w:pPr>
              <w:spacing w:before="60"/>
              <w:rPr>
                <w:rFonts w:cs="Arial"/>
                <w:color w:val="1D1D1B" w:themeColor="text1"/>
              </w:rPr>
            </w:pPr>
            <w:r w:rsidRPr="00925DF4">
              <w:rPr>
                <w:rFonts w:cs="Arial"/>
                <w:color w:val="1D1D1B" w:themeColor="text1"/>
              </w:rPr>
              <w:t>10-15 years</w:t>
            </w:r>
          </w:p>
        </w:tc>
        <w:tc>
          <w:tcPr>
            <w:tcW w:w="703" w:type="pct"/>
            <w:tcBorders>
              <w:top w:val="single" w:sz="4" w:space="0" w:color="auto"/>
              <w:left w:val="single" w:sz="4" w:space="0" w:color="auto"/>
              <w:bottom w:val="single" w:sz="4" w:space="0" w:color="auto"/>
              <w:right w:val="single" w:sz="4" w:space="0" w:color="auto"/>
            </w:tcBorders>
            <w:vAlign w:val="center"/>
            <w:hideMark/>
          </w:tcPr>
          <w:p w14:paraId="691F5A35" w14:textId="77777777" w:rsidR="006E0879" w:rsidRPr="00925DF4" w:rsidRDefault="006E0879" w:rsidP="00AB3D40">
            <w:pPr>
              <w:spacing w:before="60"/>
              <w:jc w:val="center"/>
              <w:rPr>
                <w:rFonts w:cs="Arial"/>
                <w:color w:val="1D1D1B" w:themeColor="text1"/>
              </w:rPr>
            </w:pPr>
            <w:r w:rsidRPr="00925DF4">
              <w:rPr>
                <w:rFonts w:cs="Arial"/>
                <w:color w:val="1D1D1B" w:themeColor="text1"/>
              </w:rPr>
              <w:t>8</w:t>
            </w:r>
          </w:p>
        </w:tc>
        <w:tc>
          <w:tcPr>
            <w:tcW w:w="1251" w:type="pct"/>
            <w:tcBorders>
              <w:top w:val="single" w:sz="4" w:space="0" w:color="auto"/>
              <w:left w:val="single" w:sz="4" w:space="0" w:color="auto"/>
              <w:bottom w:val="single" w:sz="4" w:space="0" w:color="auto"/>
              <w:right w:val="single" w:sz="4" w:space="0" w:color="auto"/>
            </w:tcBorders>
          </w:tcPr>
          <w:p w14:paraId="72D49EBC" w14:textId="77777777" w:rsidR="006E0879" w:rsidRPr="00925DF4" w:rsidRDefault="006E0879" w:rsidP="00AB3D40">
            <w:pPr>
              <w:spacing w:before="60"/>
              <w:jc w:val="center"/>
              <w:rPr>
                <w:rFonts w:cs="Arial"/>
                <w:color w:val="1D1D1B" w:themeColor="text1"/>
              </w:rPr>
            </w:pPr>
          </w:p>
        </w:tc>
      </w:tr>
      <w:tr w:rsidR="006E0879" w:rsidRPr="00925DF4" w14:paraId="54E90D6B"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156D35B4" w14:textId="77777777" w:rsidR="006E0879" w:rsidRPr="00925DF4" w:rsidRDefault="006E0879" w:rsidP="00AB3D40">
            <w:pPr>
              <w:spacing w:before="60"/>
              <w:rPr>
                <w:rFonts w:cs="Arial"/>
                <w:color w:val="1D1D1B" w:themeColor="text1"/>
              </w:rPr>
            </w:pPr>
            <w:r w:rsidRPr="00925DF4">
              <w:rPr>
                <w:rFonts w:cs="Arial"/>
                <w:color w:val="1D1D1B" w:themeColor="text1"/>
              </w:rPr>
              <w:t>16-20 years</w:t>
            </w:r>
          </w:p>
        </w:tc>
        <w:tc>
          <w:tcPr>
            <w:tcW w:w="703" w:type="pct"/>
            <w:tcBorders>
              <w:top w:val="single" w:sz="4" w:space="0" w:color="auto"/>
              <w:left w:val="single" w:sz="4" w:space="0" w:color="auto"/>
              <w:bottom w:val="single" w:sz="4" w:space="0" w:color="auto"/>
              <w:right w:val="single" w:sz="4" w:space="0" w:color="auto"/>
            </w:tcBorders>
            <w:vAlign w:val="center"/>
            <w:hideMark/>
          </w:tcPr>
          <w:p w14:paraId="19B1F7FC" w14:textId="77777777" w:rsidR="006E0879" w:rsidRPr="00925DF4" w:rsidRDefault="006E0879" w:rsidP="00AB3D40">
            <w:pPr>
              <w:spacing w:before="60"/>
              <w:jc w:val="center"/>
              <w:rPr>
                <w:rFonts w:cs="Arial"/>
                <w:color w:val="1D1D1B" w:themeColor="text1"/>
              </w:rPr>
            </w:pPr>
            <w:r w:rsidRPr="00925DF4">
              <w:rPr>
                <w:rFonts w:cs="Arial"/>
                <w:color w:val="1D1D1B" w:themeColor="text1"/>
              </w:rPr>
              <w:t>9</w:t>
            </w:r>
          </w:p>
        </w:tc>
        <w:tc>
          <w:tcPr>
            <w:tcW w:w="1251" w:type="pct"/>
            <w:tcBorders>
              <w:top w:val="single" w:sz="4" w:space="0" w:color="auto"/>
              <w:left w:val="single" w:sz="4" w:space="0" w:color="auto"/>
              <w:bottom w:val="single" w:sz="4" w:space="0" w:color="auto"/>
              <w:right w:val="single" w:sz="4" w:space="0" w:color="auto"/>
            </w:tcBorders>
          </w:tcPr>
          <w:p w14:paraId="5B833DDC" w14:textId="77777777" w:rsidR="006E0879" w:rsidRPr="00925DF4" w:rsidRDefault="006E0879" w:rsidP="00AB3D40">
            <w:pPr>
              <w:spacing w:before="60"/>
              <w:jc w:val="center"/>
              <w:rPr>
                <w:rFonts w:cs="Arial"/>
                <w:color w:val="1D1D1B" w:themeColor="text1"/>
              </w:rPr>
            </w:pPr>
          </w:p>
        </w:tc>
      </w:tr>
      <w:tr w:rsidR="006E0879" w:rsidRPr="00925DF4" w14:paraId="23BEF7C7"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0BB49C50" w14:textId="77777777" w:rsidR="006E0879" w:rsidRPr="00925DF4" w:rsidRDefault="006E0879" w:rsidP="00AB3D40">
            <w:pPr>
              <w:spacing w:before="60"/>
              <w:rPr>
                <w:rFonts w:cs="Arial"/>
                <w:color w:val="1D1D1B" w:themeColor="text1"/>
              </w:rPr>
            </w:pPr>
            <w:r w:rsidRPr="00925DF4">
              <w:rPr>
                <w:rFonts w:cs="Arial"/>
                <w:color w:val="1D1D1B" w:themeColor="text1"/>
              </w:rPr>
              <w:t>More than 20 years</w:t>
            </w:r>
          </w:p>
        </w:tc>
        <w:tc>
          <w:tcPr>
            <w:tcW w:w="703" w:type="pct"/>
            <w:tcBorders>
              <w:top w:val="single" w:sz="4" w:space="0" w:color="auto"/>
              <w:left w:val="single" w:sz="4" w:space="0" w:color="auto"/>
              <w:bottom w:val="single" w:sz="4" w:space="0" w:color="auto"/>
              <w:right w:val="single" w:sz="4" w:space="0" w:color="auto"/>
            </w:tcBorders>
            <w:vAlign w:val="center"/>
            <w:hideMark/>
          </w:tcPr>
          <w:p w14:paraId="2ADD65C2" w14:textId="77777777" w:rsidR="006E0879" w:rsidRPr="00925DF4" w:rsidRDefault="006E0879" w:rsidP="00AB3D40">
            <w:pPr>
              <w:spacing w:before="60"/>
              <w:jc w:val="center"/>
              <w:rPr>
                <w:rFonts w:cs="Arial"/>
                <w:color w:val="1D1D1B" w:themeColor="text1"/>
              </w:rPr>
            </w:pPr>
            <w:r w:rsidRPr="00925DF4">
              <w:rPr>
                <w:rFonts w:cs="Arial"/>
                <w:color w:val="1D1D1B" w:themeColor="text1"/>
              </w:rPr>
              <w:t>10</w:t>
            </w:r>
          </w:p>
        </w:tc>
        <w:tc>
          <w:tcPr>
            <w:tcW w:w="1251" w:type="pct"/>
            <w:tcBorders>
              <w:top w:val="single" w:sz="4" w:space="0" w:color="auto"/>
              <w:left w:val="single" w:sz="4" w:space="0" w:color="auto"/>
              <w:bottom w:val="single" w:sz="4" w:space="0" w:color="auto"/>
              <w:right w:val="single" w:sz="4" w:space="0" w:color="auto"/>
            </w:tcBorders>
          </w:tcPr>
          <w:p w14:paraId="0A957BE7" w14:textId="77777777" w:rsidR="006E0879" w:rsidRPr="00925DF4" w:rsidRDefault="006E0879" w:rsidP="00AB3D40">
            <w:pPr>
              <w:spacing w:before="60"/>
              <w:jc w:val="center"/>
              <w:rPr>
                <w:rFonts w:cs="Arial"/>
                <w:color w:val="1D1D1B" w:themeColor="text1"/>
              </w:rPr>
            </w:pPr>
          </w:p>
        </w:tc>
      </w:tr>
      <w:tr w:rsidR="006E0879" w:rsidRPr="00925DF4" w14:paraId="65514476"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7034633C" w14:textId="77777777" w:rsidR="006E0879" w:rsidRPr="00925DF4" w:rsidRDefault="006E0879" w:rsidP="00AB3D40">
            <w:pPr>
              <w:spacing w:before="60"/>
              <w:rPr>
                <w:rFonts w:cs="Arial"/>
                <w:color w:val="1D1D1B" w:themeColor="text1"/>
              </w:rPr>
            </w:pPr>
            <w:r w:rsidRPr="00925DF4">
              <w:rPr>
                <w:rFonts w:cs="Arial"/>
                <w:color w:val="1D1D1B" w:themeColor="text1"/>
              </w:rPr>
              <w:t>Don’t know</w:t>
            </w:r>
          </w:p>
        </w:tc>
        <w:tc>
          <w:tcPr>
            <w:tcW w:w="703" w:type="pct"/>
            <w:tcBorders>
              <w:top w:val="single" w:sz="4" w:space="0" w:color="auto"/>
              <w:left w:val="single" w:sz="4" w:space="0" w:color="auto"/>
              <w:bottom w:val="single" w:sz="4" w:space="0" w:color="auto"/>
              <w:right w:val="single" w:sz="4" w:space="0" w:color="auto"/>
            </w:tcBorders>
            <w:vAlign w:val="center"/>
            <w:hideMark/>
          </w:tcPr>
          <w:p w14:paraId="24CFDBC0" w14:textId="77777777" w:rsidR="006E0879" w:rsidRPr="00925DF4" w:rsidRDefault="006E0879" w:rsidP="00AB3D40">
            <w:pPr>
              <w:spacing w:before="60"/>
              <w:jc w:val="center"/>
              <w:rPr>
                <w:rFonts w:cs="Arial"/>
                <w:color w:val="1D1D1B" w:themeColor="text1"/>
              </w:rPr>
            </w:pPr>
            <w:r w:rsidRPr="00925DF4">
              <w:rPr>
                <w:rFonts w:cs="Arial"/>
                <w:color w:val="1D1D1B" w:themeColor="text1"/>
              </w:rPr>
              <w:t>98</w:t>
            </w:r>
          </w:p>
        </w:tc>
        <w:tc>
          <w:tcPr>
            <w:tcW w:w="1251" w:type="pct"/>
            <w:tcBorders>
              <w:top w:val="single" w:sz="4" w:space="0" w:color="auto"/>
              <w:left w:val="single" w:sz="4" w:space="0" w:color="auto"/>
              <w:bottom w:val="single" w:sz="4" w:space="0" w:color="auto"/>
              <w:right w:val="single" w:sz="4" w:space="0" w:color="auto"/>
            </w:tcBorders>
          </w:tcPr>
          <w:p w14:paraId="552E1E67" w14:textId="77777777" w:rsidR="006E0879" w:rsidRPr="00925DF4" w:rsidRDefault="006E0879" w:rsidP="00AB3D40">
            <w:pPr>
              <w:spacing w:before="60"/>
              <w:jc w:val="center"/>
              <w:rPr>
                <w:rFonts w:cs="Arial"/>
                <w:color w:val="1D1D1B" w:themeColor="text1"/>
              </w:rPr>
            </w:pPr>
          </w:p>
        </w:tc>
      </w:tr>
      <w:tr w:rsidR="006E0879" w:rsidRPr="00925DF4" w14:paraId="0EAD8702" w14:textId="77777777" w:rsidTr="00AB3D40">
        <w:trPr>
          <w:cantSplit/>
          <w:trHeight w:val="397"/>
        </w:trPr>
        <w:tc>
          <w:tcPr>
            <w:tcW w:w="3046" w:type="pct"/>
            <w:tcBorders>
              <w:top w:val="single" w:sz="4" w:space="0" w:color="auto"/>
              <w:left w:val="single" w:sz="4" w:space="0" w:color="auto"/>
              <w:bottom w:val="single" w:sz="4" w:space="0" w:color="auto"/>
              <w:right w:val="single" w:sz="4" w:space="0" w:color="auto"/>
            </w:tcBorders>
            <w:vAlign w:val="center"/>
            <w:hideMark/>
          </w:tcPr>
          <w:p w14:paraId="79BC440C" w14:textId="77777777" w:rsidR="006E0879" w:rsidRPr="00925DF4" w:rsidRDefault="006E0879" w:rsidP="00AB3D40">
            <w:pPr>
              <w:spacing w:before="60"/>
              <w:rPr>
                <w:rFonts w:cs="Arial"/>
                <w:color w:val="1D1D1B" w:themeColor="text1"/>
              </w:rPr>
            </w:pPr>
            <w:r w:rsidRPr="00925DF4">
              <w:rPr>
                <w:rFonts w:cs="Arial"/>
                <w:color w:val="1D1D1B" w:themeColor="text1"/>
              </w:rPr>
              <w:t>Refused</w:t>
            </w:r>
          </w:p>
        </w:tc>
        <w:tc>
          <w:tcPr>
            <w:tcW w:w="703" w:type="pct"/>
            <w:tcBorders>
              <w:top w:val="single" w:sz="4" w:space="0" w:color="auto"/>
              <w:left w:val="single" w:sz="4" w:space="0" w:color="auto"/>
              <w:bottom w:val="single" w:sz="4" w:space="0" w:color="auto"/>
              <w:right w:val="single" w:sz="4" w:space="0" w:color="auto"/>
            </w:tcBorders>
            <w:vAlign w:val="center"/>
            <w:hideMark/>
          </w:tcPr>
          <w:p w14:paraId="468B70C0" w14:textId="77777777" w:rsidR="006E0879" w:rsidRPr="00925DF4" w:rsidRDefault="006E0879" w:rsidP="00AB3D40">
            <w:pPr>
              <w:spacing w:before="60"/>
              <w:jc w:val="center"/>
              <w:rPr>
                <w:rFonts w:cs="Arial"/>
                <w:color w:val="1D1D1B" w:themeColor="text1"/>
              </w:rPr>
            </w:pPr>
            <w:r w:rsidRPr="00925DF4">
              <w:rPr>
                <w:rFonts w:cs="Arial"/>
                <w:color w:val="1D1D1B" w:themeColor="text1"/>
              </w:rPr>
              <w:t>99</w:t>
            </w:r>
          </w:p>
        </w:tc>
        <w:tc>
          <w:tcPr>
            <w:tcW w:w="1251" w:type="pct"/>
            <w:tcBorders>
              <w:top w:val="single" w:sz="4" w:space="0" w:color="auto"/>
              <w:left w:val="single" w:sz="4" w:space="0" w:color="auto"/>
              <w:bottom w:val="single" w:sz="4" w:space="0" w:color="auto"/>
              <w:right w:val="single" w:sz="4" w:space="0" w:color="auto"/>
            </w:tcBorders>
          </w:tcPr>
          <w:p w14:paraId="6E716145" w14:textId="77777777" w:rsidR="006E0879" w:rsidRPr="00925DF4" w:rsidRDefault="006E0879" w:rsidP="00AB3D40">
            <w:pPr>
              <w:spacing w:before="60"/>
              <w:jc w:val="center"/>
              <w:rPr>
                <w:rFonts w:cs="Arial"/>
                <w:color w:val="1D1D1B" w:themeColor="text1"/>
              </w:rPr>
            </w:pPr>
          </w:p>
        </w:tc>
      </w:tr>
    </w:tbl>
    <w:p w14:paraId="322123C8" w14:textId="77777777" w:rsidR="006E0879" w:rsidRDefault="006E0879" w:rsidP="006E0879">
      <w:pPr>
        <w:spacing w:after="160" w:line="259" w:lineRule="auto"/>
        <w:rPr>
          <w:rFonts w:cs="Arial"/>
          <w:color w:val="FF0000"/>
        </w:rPr>
      </w:pPr>
    </w:p>
    <w:p w14:paraId="3C667125" w14:textId="77777777" w:rsidR="006E0879" w:rsidRPr="00027C1B" w:rsidRDefault="006E0879" w:rsidP="006E0879">
      <w:pPr>
        <w:rPr>
          <w:rFonts w:cs="Arial"/>
          <w:color w:val="FF0000"/>
        </w:rPr>
      </w:pPr>
      <w:r w:rsidRPr="00027C1B">
        <w:rPr>
          <w:rFonts w:cs="Arial"/>
          <w:color w:val="FF0000"/>
        </w:rPr>
        <w:t>ASK ALL</w:t>
      </w:r>
    </w:p>
    <w:p w14:paraId="0735D620" w14:textId="53EF3B11" w:rsidR="006E0879" w:rsidRDefault="006E0879" w:rsidP="006E0879">
      <w:pPr>
        <w:rPr>
          <w:rFonts w:cs="Arial"/>
          <w:b/>
          <w:bCs/>
        </w:rPr>
      </w:pPr>
      <w:r>
        <w:rPr>
          <w:rFonts w:cs="Arial"/>
          <w:b/>
          <w:bCs/>
        </w:rPr>
        <w:t>S3a</w:t>
      </w:r>
      <w:r w:rsidRPr="00226944">
        <w:rPr>
          <w:rFonts w:cs="Arial"/>
          <w:b/>
          <w:bCs/>
        </w:rPr>
        <w:t xml:space="preserve"> Did you</w:t>
      </w:r>
      <w:r>
        <w:rPr>
          <w:rFonts w:cs="Arial"/>
          <w:b/>
          <w:bCs/>
        </w:rPr>
        <w:t>r business</w:t>
      </w:r>
      <w:r w:rsidRPr="00226944">
        <w:rPr>
          <w:rFonts w:cs="Arial"/>
          <w:b/>
          <w:bCs/>
        </w:rPr>
        <w:t xml:space="preserve"> obtain a loan under the Bounce Back Loan Scheme (BBLS), the Coronavirus Business Interruption Loan Scheme</w:t>
      </w:r>
      <w:r>
        <w:rPr>
          <w:rFonts w:cs="Arial"/>
          <w:b/>
          <w:bCs/>
        </w:rPr>
        <w:t xml:space="preserve"> (CBILS)</w:t>
      </w:r>
      <w:r w:rsidRPr="00226944">
        <w:rPr>
          <w:rFonts w:cs="Arial"/>
          <w:b/>
          <w:bCs/>
        </w:rPr>
        <w:t xml:space="preserve"> or the Coronavirus Large Business Interruption Loan Scheme</w:t>
      </w:r>
      <w:r>
        <w:rPr>
          <w:rFonts w:cs="Arial"/>
          <w:b/>
          <w:bCs/>
        </w:rPr>
        <w:t xml:space="preserve"> (CLBILS)</w:t>
      </w:r>
      <w:r w:rsidRPr="00226944">
        <w:rPr>
          <w:rFonts w:cs="Arial"/>
          <w:b/>
          <w:bCs/>
        </w:rPr>
        <w:t>?</w:t>
      </w:r>
      <w:r>
        <w:rPr>
          <w:rFonts w:cs="Arial"/>
          <w:b/>
          <w:bCs/>
        </w:rPr>
        <w:t xml:space="preserve">  These schemes were introduced in the early stages of the pandemic to enable businesses to quickly access finance. </w:t>
      </w:r>
    </w:p>
    <w:p w14:paraId="3764512F" w14:textId="77777777" w:rsidR="006E0879" w:rsidRDefault="006E0879" w:rsidP="006E0879">
      <w:pPr>
        <w:rPr>
          <w:rFonts w:cs="Arial"/>
          <w:b/>
          <w:bCs/>
        </w:rPr>
      </w:pPr>
      <w:r w:rsidRPr="00925DF4">
        <w:rPr>
          <w:rFonts w:cs="Arial"/>
          <w:color w:val="FF0000"/>
          <w:lang w:eastAsia="en-GB"/>
        </w:rPr>
        <w:t>SINGLE CODE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gridCol w:w="899"/>
      </w:tblGrid>
      <w:tr w:rsidR="006E0879" w:rsidRPr="00925DF4" w14:paraId="4330B373"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1E8B3D76"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Yes</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5EC192FC"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1</w:t>
            </w:r>
          </w:p>
        </w:tc>
      </w:tr>
      <w:tr w:rsidR="006E0879" w:rsidRPr="00925DF4" w14:paraId="567D492E"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3E611DD1"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No</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2EC1A901"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2</w:t>
            </w:r>
          </w:p>
        </w:tc>
      </w:tr>
      <w:tr w:rsidR="006E0879" w:rsidRPr="00925DF4" w14:paraId="060FA9C9"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1F6D3DEF"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Don’t know</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3CEDB398"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98</w:t>
            </w:r>
          </w:p>
        </w:tc>
      </w:tr>
      <w:tr w:rsidR="006E0879" w:rsidRPr="00925DF4" w14:paraId="33FF708F"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21F13626"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Refused</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3DB71723"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99</w:t>
            </w:r>
          </w:p>
        </w:tc>
      </w:tr>
    </w:tbl>
    <w:p w14:paraId="698DE56E" w14:textId="77777777" w:rsidR="006E0879" w:rsidRDefault="006E0879" w:rsidP="006E0879">
      <w:pPr>
        <w:spacing w:after="160" w:line="259" w:lineRule="auto"/>
        <w:rPr>
          <w:rFonts w:cs="Arial"/>
          <w:color w:val="FF0000"/>
        </w:rPr>
      </w:pPr>
    </w:p>
    <w:p w14:paraId="03A791BE" w14:textId="77777777" w:rsidR="006E0879" w:rsidRPr="00925DF4" w:rsidRDefault="006E0879" w:rsidP="006E0879">
      <w:pPr>
        <w:rPr>
          <w:rFonts w:cs="Arial"/>
          <w:color w:val="FF0000"/>
          <w:lang w:eastAsia="en-GB"/>
        </w:rPr>
      </w:pPr>
      <w:r w:rsidRPr="00925DF4">
        <w:rPr>
          <w:rFonts w:cs="Arial"/>
          <w:color w:val="FF0000"/>
          <w:lang w:eastAsia="en-GB"/>
        </w:rPr>
        <w:t>ASK ALL</w:t>
      </w:r>
    </w:p>
    <w:p w14:paraId="5AFE20DE" w14:textId="264ADB3D" w:rsidR="006E0879" w:rsidRPr="00C31D26" w:rsidRDefault="006E0879" w:rsidP="00C31D26">
      <w:pPr>
        <w:rPr>
          <w:rFonts w:cs="Arial"/>
          <w:b/>
          <w:bCs/>
        </w:rPr>
      </w:pPr>
      <w:r w:rsidRPr="00925DF4">
        <w:rPr>
          <w:rFonts w:cs="Arial"/>
          <w:b/>
          <w:bCs/>
          <w:lang w:eastAsia="en-GB"/>
        </w:rPr>
        <w:t xml:space="preserve">S4 </w:t>
      </w:r>
      <w:r w:rsidRPr="00925DF4">
        <w:rPr>
          <w:rFonts w:cs="Arial"/>
          <w:b/>
          <w:bCs/>
        </w:rPr>
        <w:t>What was the approximate turnover of your business in the latest completed financial year</w:t>
      </w:r>
      <w:r>
        <w:rPr>
          <w:rFonts w:cs="Arial"/>
          <w:b/>
          <w:bCs/>
        </w:rPr>
        <w:t xml:space="preserve"> (i.e. 2022-23)</w:t>
      </w:r>
      <w:r w:rsidRPr="00925DF4">
        <w:rPr>
          <w:rFonts w:cs="Arial"/>
          <w:b/>
          <w:bCs/>
        </w:rPr>
        <w:t>?</w:t>
      </w:r>
    </w:p>
    <w:p w14:paraId="623FC335" w14:textId="77777777" w:rsidR="006E0879" w:rsidRPr="00925DF4" w:rsidRDefault="006E0879" w:rsidP="006E0879">
      <w:pPr>
        <w:pStyle w:val="04ABodyText"/>
        <w:spacing w:before="0" w:after="0" w:line="240" w:lineRule="auto"/>
        <w:rPr>
          <w:rFonts w:ascii="Arial" w:hAnsi="Arial"/>
          <w:b/>
          <w:color w:val="F06603" w:themeColor="accent6"/>
        </w:rPr>
      </w:pPr>
      <w:r w:rsidRPr="00925DF4">
        <w:rPr>
          <w:rFonts w:ascii="Arial" w:hAnsi="Arial"/>
          <w:color w:val="FF0000"/>
        </w:rPr>
        <w:t xml:space="preserve">INTERVIEWER ADD IF NECESSARY / INFO BUTTON ON ONLINE SURVEY: </w:t>
      </w:r>
      <w:r w:rsidRPr="00925DF4">
        <w:rPr>
          <w:rFonts w:ascii="Arial" w:hAnsi="Arial"/>
          <w:b/>
        </w:rPr>
        <w:t>Turnover is the total income received by the business from all sales of goods and services charged to third parties.</w:t>
      </w:r>
      <w:r w:rsidRPr="00925DF4">
        <w:rPr>
          <w:rFonts w:ascii="Arial" w:hAnsi="Arial"/>
        </w:rPr>
        <w:t xml:space="preserve">  </w:t>
      </w:r>
      <w:r w:rsidRPr="00925DF4">
        <w:rPr>
          <w:rFonts w:ascii="Arial" w:hAnsi="Arial"/>
          <w:color w:val="F06603" w:themeColor="accent6"/>
        </w:rPr>
        <w:t>ENTER NUMBER. ALLOW ZERO, DK AND REFUSED</w:t>
      </w:r>
    </w:p>
    <w:p w14:paraId="4330AAEF" w14:textId="77777777" w:rsidR="006E0879" w:rsidRPr="00925DF4" w:rsidRDefault="006E0879" w:rsidP="006E0879">
      <w:pPr>
        <w:rPr>
          <w:rFonts w:cs="Arial"/>
          <w:color w:val="F06603" w:themeColor="accent6"/>
        </w:rPr>
      </w:pPr>
      <w:r w:rsidRPr="00925DF4">
        <w:rPr>
          <w:rFonts w:cs="Arial"/>
          <w:color w:val="F06603" w:themeColor="accent6"/>
        </w:rPr>
        <w:t>DATASHEET</w:t>
      </w:r>
    </w:p>
    <w:p w14:paraId="3B0C58D1" w14:textId="1039D7FF" w:rsidR="006E0879" w:rsidRPr="00925DF4" w:rsidRDefault="006E0879" w:rsidP="006E0879">
      <w:pPr>
        <w:rPr>
          <w:rFonts w:cs="Arial"/>
          <w:color w:val="F06603" w:themeColor="accent6"/>
        </w:rPr>
      </w:pPr>
      <w:r w:rsidRPr="00925DF4">
        <w:rPr>
          <w:rFonts w:cs="Arial"/>
          <w:color w:val="F06603" w:themeColor="accent6"/>
        </w:rPr>
        <w:t>TYPE IN AMOUNT IN £</w:t>
      </w:r>
    </w:p>
    <w:p w14:paraId="296391D6" w14:textId="4D8A328C" w:rsidR="006E0879" w:rsidRPr="00925DF4" w:rsidRDefault="006E0879" w:rsidP="006E0879">
      <w:pPr>
        <w:rPr>
          <w:rFonts w:cs="Arial"/>
          <w:color w:val="F06603" w:themeColor="accent6"/>
          <w:lang w:eastAsia="en-GB"/>
        </w:rPr>
      </w:pPr>
      <w:r w:rsidRPr="00925DF4">
        <w:rPr>
          <w:rFonts w:cs="Arial"/>
          <w:color w:val="FF0000"/>
          <w:lang w:eastAsia="en-GB"/>
        </w:rPr>
        <w:t>ALLOWED RANGE 0-999,999,999</w:t>
      </w:r>
    </w:p>
    <w:p w14:paraId="514EEED1" w14:textId="7899A5B1" w:rsidR="006E0879" w:rsidRPr="00925DF4" w:rsidRDefault="006E0879" w:rsidP="006E0879">
      <w:pPr>
        <w:rPr>
          <w:rFonts w:cs="Arial"/>
          <w:color w:val="F06603" w:themeColor="accent6"/>
          <w:lang w:eastAsia="en-GB"/>
        </w:rPr>
      </w:pPr>
      <w:r w:rsidRPr="00925DF4">
        <w:rPr>
          <w:rFonts w:cs="Arial"/>
          <w:color w:val="F06603" w:themeColor="accent6"/>
          <w:lang w:eastAsia="en-GB"/>
        </w:rPr>
        <w:t xml:space="preserve">INTERVIEWER NOTE: PLEASE READ BACK FIGURE TO RESPONDENT AND DOUBLE </w:t>
      </w:r>
      <w:r w:rsidR="000824F2">
        <w:rPr>
          <w:rFonts w:cs="Arial"/>
          <w:color w:val="F06603" w:themeColor="accent6"/>
          <w:lang w:eastAsia="en-GB"/>
        </w:rPr>
        <w:t>C</w:t>
      </w:r>
      <w:r w:rsidRPr="00925DF4">
        <w:rPr>
          <w:rFonts w:cs="Arial"/>
          <w:color w:val="F06603" w:themeColor="accent6"/>
          <w:lang w:eastAsia="en-GB"/>
        </w:rPr>
        <w:t>HECK CORRECT NUMBER OF ZEROS</w:t>
      </w:r>
    </w:p>
    <w:p w14:paraId="60DA5BA0" w14:textId="60F91F90" w:rsidR="006E0879" w:rsidRPr="00C31D26" w:rsidRDefault="006E0879" w:rsidP="006E0879">
      <w:pPr>
        <w:rPr>
          <w:rFonts w:cs="Arial"/>
          <w:color w:val="F06603" w:themeColor="accent6"/>
          <w:lang w:eastAsia="en-GB"/>
        </w:rPr>
      </w:pPr>
      <w:r w:rsidRPr="00925DF4">
        <w:rPr>
          <w:rFonts w:cs="Arial"/>
          <w:color w:val="F06603" w:themeColor="accent6"/>
          <w:lang w:eastAsia="en-GB"/>
        </w:rPr>
        <w:t>IF RESPONDENT IS UNSURE ASK THEM TO GIVE A BEST ESTIMATE</w:t>
      </w:r>
      <w:r w:rsidRPr="00925DF4">
        <w:rPr>
          <w:rFonts w:cs="Arial"/>
          <w:lang w:eastAsia="en-GB"/>
        </w:rPr>
        <w:tab/>
      </w:r>
    </w:p>
    <w:p w14:paraId="33F9EDAE" w14:textId="77777777" w:rsidR="006E0879" w:rsidRPr="00925DF4" w:rsidRDefault="006E0879" w:rsidP="006E0879">
      <w:pPr>
        <w:rPr>
          <w:rFonts w:cs="Arial"/>
          <w:lang w:eastAsia="en-GB"/>
        </w:rPr>
      </w:pPr>
      <w:r w:rsidRPr="00925DF4">
        <w:rPr>
          <w:rFonts w:cs="Arial"/>
          <w:lang w:eastAsia="en-GB"/>
        </w:rPr>
        <w:t>Don’t know</w:t>
      </w:r>
      <w:r w:rsidRPr="00925DF4">
        <w:rPr>
          <w:rFonts w:cs="Arial"/>
          <w:lang w:eastAsia="en-GB"/>
        </w:rPr>
        <w:tab/>
        <w:t xml:space="preserve">98 </w:t>
      </w:r>
    </w:p>
    <w:p w14:paraId="161FFCE9" w14:textId="77777777" w:rsidR="006E0879" w:rsidRPr="00925DF4" w:rsidRDefault="006E0879" w:rsidP="006E0879">
      <w:pPr>
        <w:spacing w:after="160" w:line="259" w:lineRule="auto"/>
        <w:rPr>
          <w:rFonts w:cs="Arial"/>
        </w:rPr>
      </w:pPr>
      <w:r w:rsidRPr="00925DF4">
        <w:rPr>
          <w:rFonts w:cs="Arial"/>
          <w:lang w:eastAsia="en-GB"/>
        </w:rPr>
        <w:t>Refused</w:t>
      </w:r>
      <w:r w:rsidRPr="00925DF4">
        <w:rPr>
          <w:rFonts w:cs="Arial"/>
          <w:lang w:eastAsia="en-GB"/>
        </w:rPr>
        <w:tab/>
        <w:t>99</w:t>
      </w:r>
    </w:p>
    <w:p w14:paraId="6436422C" w14:textId="77777777" w:rsidR="006E0879" w:rsidRPr="00925DF4" w:rsidRDefault="006E0879" w:rsidP="006E0879">
      <w:pPr>
        <w:spacing w:after="160" w:line="259" w:lineRule="auto"/>
        <w:rPr>
          <w:rFonts w:cs="Arial"/>
          <w:color w:val="FF0000"/>
        </w:rPr>
      </w:pPr>
      <w:r w:rsidRPr="00925DF4">
        <w:rPr>
          <w:rFonts w:cs="Arial"/>
          <w:color w:val="FF0000"/>
        </w:rPr>
        <w:t>ASK IF DON’T KNOW TURNOVER (98) AT S4</w:t>
      </w:r>
    </w:p>
    <w:p w14:paraId="10956F6C" w14:textId="77777777" w:rsidR="006E0879" w:rsidRPr="00925DF4" w:rsidRDefault="006E0879" w:rsidP="006E0879">
      <w:pPr>
        <w:rPr>
          <w:rFonts w:cs="Arial"/>
        </w:rPr>
      </w:pPr>
      <w:r w:rsidRPr="00925DF4">
        <w:rPr>
          <w:rFonts w:cs="Arial"/>
          <w:b/>
          <w:bCs/>
        </w:rPr>
        <w:t>S5 AA</w:t>
      </w:r>
      <w:r>
        <w:rPr>
          <w:rFonts w:cs="Arial"/>
          <w:b/>
          <w:bCs/>
        </w:rPr>
        <w:t xml:space="preserve"> </w:t>
      </w:r>
      <w:r w:rsidRPr="00925DF4">
        <w:rPr>
          <w:rFonts w:cs="Arial"/>
          <w:b/>
          <w:bCs/>
        </w:rPr>
        <w:t>Would it have been…?</w:t>
      </w:r>
      <w:r w:rsidRPr="00925DF4">
        <w:rPr>
          <w:rFonts w:cs="Arial"/>
        </w:rPr>
        <w:t xml:space="preserve"> </w:t>
      </w:r>
      <w:r w:rsidRPr="00925DF4">
        <w:rPr>
          <w:rFonts w:cs="Arial"/>
          <w:color w:val="F06603" w:themeColor="accent6"/>
          <w:lang w:eastAsia="en-GB"/>
        </w:rPr>
        <w:t xml:space="preserve">READ OUT UNTIL GET AN ANSWER. </w:t>
      </w:r>
      <w:r w:rsidRPr="00925DF4">
        <w:rPr>
          <w:rFonts w:cs="Arial"/>
          <w:color w:val="FF0000"/>
          <w:lang w:eastAsia="en-GB"/>
        </w:rPr>
        <w:t>SINGLE CODE ONLY</w:t>
      </w:r>
      <w:r w:rsidRPr="00925DF4" w:rsidDel="000A30A8">
        <w:rPr>
          <w:rFonts w:cs="Arial"/>
          <w:color w:val="FF0000"/>
        </w:rPr>
        <w:t xml:space="preserve"> </w:t>
      </w:r>
      <w:r w:rsidRPr="00925DF4">
        <w:rPr>
          <w:rFonts w:cs="Arial"/>
          <w:color w:val="FF0000"/>
        </w:rPr>
        <w:t xml:space="preserve"> </w:t>
      </w:r>
    </w:p>
    <w:p w14:paraId="4FE0491E" w14:textId="77777777" w:rsidR="006E0879" w:rsidRPr="00925DF4" w:rsidRDefault="006E0879" w:rsidP="006E0879">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6533"/>
        <w:gridCol w:w="3611"/>
      </w:tblGrid>
      <w:tr w:rsidR="006E0879" w:rsidRPr="00925DF4" w14:paraId="32BB9CAC"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tcPr>
          <w:p w14:paraId="6A61D74B" w14:textId="77777777" w:rsidR="006E0879" w:rsidRPr="00925DF4" w:rsidRDefault="006E0879" w:rsidP="00AB3D40">
            <w:pPr>
              <w:spacing w:before="60"/>
              <w:rPr>
                <w:rFonts w:cs="Arial"/>
                <w:color w:val="1D1D1B" w:themeColor="text1"/>
              </w:rPr>
            </w:pPr>
            <w:r w:rsidRPr="00925DF4">
              <w:rPr>
                <w:rFonts w:cs="Arial"/>
                <w:color w:val="1D1D1B" w:themeColor="text1"/>
              </w:rPr>
              <w:t>Less than £</w:t>
            </w:r>
            <w:r>
              <w:rPr>
                <w:rFonts w:cs="Arial"/>
                <w:color w:val="1D1D1B" w:themeColor="text1"/>
              </w:rPr>
              <w:t>10</w:t>
            </w:r>
            <w:r w:rsidRPr="00925DF4">
              <w:rPr>
                <w:rFonts w:cs="Arial"/>
                <w:color w:val="1D1D1B" w:themeColor="text1"/>
              </w:rPr>
              <w:t>,000</w:t>
            </w:r>
          </w:p>
        </w:tc>
        <w:tc>
          <w:tcPr>
            <w:tcW w:w="1780" w:type="pct"/>
            <w:tcBorders>
              <w:top w:val="single" w:sz="4" w:space="0" w:color="auto"/>
              <w:left w:val="single" w:sz="4" w:space="0" w:color="auto"/>
              <w:bottom w:val="single" w:sz="4" w:space="0" w:color="auto"/>
              <w:right w:val="single" w:sz="4" w:space="0" w:color="auto"/>
            </w:tcBorders>
            <w:vAlign w:val="center"/>
          </w:tcPr>
          <w:p w14:paraId="468D3874"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p>
        </w:tc>
      </w:tr>
      <w:tr w:rsidR="006E0879" w:rsidRPr="00925DF4" w14:paraId="19E88F07"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tcPr>
          <w:p w14:paraId="627646DA" w14:textId="77777777" w:rsidR="006E0879" w:rsidRPr="00925DF4" w:rsidRDefault="006E0879" w:rsidP="00AB3D40">
            <w:pPr>
              <w:spacing w:before="60"/>
              <w:rPr>
                <w:rFonts w:cs="Arial"/>
                <w:color w:val="1D1D1B" w:themeColor="text1"/>
              </w:rPr>
            </w:pPr>
            <w:r w:rsidRPr="00925DF4">
              <w:rPr>
                <w:rFonts w:cs="Arial"/>
                <w:color w:val="1D1D1B" w:themeColor="text1"/>
              </w:rPr>
              <w:t>£</w:t>
            </w:r>
            <w:r>
              <w:rPr>
                <w:rFonts w:cs="Arial"/>
                <w:color w:val="1D1D1B" w:themeColor="text1"/>
              </w:rPr>
              <w:t>10</w:t>
            </w:r>
            <w:r w:rsidRPr="00925DF4">
              <w:rPr>
                <w:rFonts w:cs="Arial"/>
                <w:color w:val="1D1D1B" w:themeColor="text1"/>
              </w:rPr>
              <w:t>,000 or more, but below £50,000</w:t>
            </w:r>
          </w:p>
        </w:tc>
        <w:tc>
          <w:tcPr>
            <w:tcW w:w="1780" w:type="pct"/>
            <w:tcBorders>
              <w:top w:val="single" w:sz="4" w:space="0" w:color="auto"/>
              <w:left w:val="single" w:sz="4" w:space="0" w:color="auto"/>
              <w:bottom w:val="single" w:sz="4" w:space="0" w:color="auto"/>
              <w:right w:val="single" w:sz="4" w:space="0" w:color="auto"/>
            </w:tcBorders>
            <w:vAlign w:val="center"/>
          </w:tcPr>
          <w:p w14:paraId="6E890743" w14:textId="77777777" w:rsidR="006E0879" w:rsidRPr="00925DF4" w:rsidRDefault="006E0879" w:rsidP="00AB3D40">
            <w:pPr>
              <w:spacing w:before="60"/>
              <w:jc w:val="center"/>
              <w:rPr>
                <w:rFonts w:cs="Arial"/>
                <w:color w:val="1D1D1B" w:themeColor="text1"/>
              </w:rPr>
            </w:pPr>
            <w:r w:rsidRPr="00925DF4">
              <w:rPr>
                <w:rFonts w:cs="Arial"/>
                <w:color w:val="1D1D1B" w:themeColor="text1"/>
              </w:rPr>
              <w:t>2</w:t>
            </w:r>
          </w:p>
        </w:tc>
      </w:tr>
      <w:tr w:rsidR="006E0879" w:rsidRPr="00925DF4" w14:paraId="4E344562"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19982114" w14:textId="77777777" w:rsidR="006E0879" w:rsidRPr="00925DF4" w:rsidRDefault="006E0879" w:rsidP="00AB3D40">
            <w:pPr>
              <w:spacing w:before="60"/>
              <w:rPr>
                <w:rFonts w:cs="Arial"/>
                <w:color w:val="1D1D1B" w:themeColor="text1"/>
              </w:rPr>
            </w:pPr>
            <w:r w:rsidRPr="00925DF4">
              <w:rPr>
                <w:rFonts w:cs="Arial"/>
                <w:color w:val="1D1D1B" w:themeColor="text1"/>
              </w:rPr>
              <w:t>£50,000 or more, but below £100,000</w:t>
            </w:r>
          </w:p>
        </w:tc>
        <w:tc>
          <w:tcPr>
            <w:tcW w:w="1780" w:type="pct"/>
            <w:tcBorders>
              <w:top w:val="single" w:sz="4" w:space="0" w:color="auto"/>
              <w:left w:val="single" w:sz="4" w:space="0" w:color="auto"/>
              <w:bottom w:val="single" w:sz="4" w:space="0" w:color="auto"/>
              <w:right w:val="single" w:sz="4" w:space="0" w:color="auto"/>
            </w:tcBorders>
            <w:vAlign w:val="center"/>
            <w:hideMark/>
          </w:tcPr>
          <w:p w14:paraId="7C39BDD3" w14:textId="77777777" w:rsidR="006E0879" w:rsidRPr="00925DF4" w:rsidRDefault="006E0879" w:rsidP="00AB3D40">
            <w:pPr>
              <w:spacing w:before="60"/>
              <w:jc w:val="center"/>
              <w:rPr>
                <w:rFonts w:cs="Arial"/>
                <w:color w:val="1D1D1B" w:themeColor="text1"/>
              </w:rPr>
            </w:pPr>
            <w:r>
              <w:rPr>
                <w:rFonts w:cs="Arial"/>
                <w:color w:val="1D1D1B" w:themeColor="text1"/>
              </w:rPr>
              <w:t>3</w:t>
            </w:r>
          </w:p>
        </w:tc>
      </w:tr>
      <w:tr w:rsidR="006E0879" w:rsidRPr="00925DF4" w14:paraId="228D37F8"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465692A6" w14:textId="77777777" w:rsidR="006E0879" w:rsidRPr="00925DF4" w:rsidRDefault="006E0879" w:rsidP="00AB3D40">
            <w:pPr>
              <w:spacing w:before="60"/>
              <w:rPr>
                <w:rFonts w:cs="Arial"/>
                <w:color w:val="1D1D1B" w:themeColor="text1"/>
              </w:rPr>
            </w:pPr>
            <w:r w:rsidRPr="00925DF4">
              <w:rPr>
                <w:rFonts w:cs="Arial"/>
                <w:color w:val="1D1D1B" w:themeColor="text1"/>
              </w:rPr>
              <w:t>£100,000 or more, but below £250,000</w:t>
            </w:r>
          </w:p>
        </w:tc>
        <w:tc>
          <w:tcPr>
            <w:tcW w:w="1780" w:type="pct"/>
            <w:tcBorders>
              <w:top w:val="single" w:sz="4" w:space="0" w:color="auto"/>
              <w:left w:val="single" w:sz="4" w:space="0" w:color="auto"/>
              <w:bottom w:val="single" w:sz="4" w:space="0" w:color="auto"/>
              <w:right w:val="single" w:sz="4" w:space="0" w:color="auto"/>
            </w:tcBorders>
            <w:vAlign w:val="center"/>
            <w:hideMark/>
          </w:tcPr>
          <w:p w14:paraId="0244C02D" w14:textId="77777777" w:rsidR="006E0879" w:rsidRPr="00925DF4" w:rsidRDefault="006E0879" w:rsidP="00AB3D40">
            <w:pPr>
              <w:spacing w:before="60"/>
              <w:jc w:val="center"/>
              <w:rPr>
                <w:rFonts w:cs="Arial"/>
                <w:color w:val="1D1D1B" w:themeColor="text1"/>
              </w:rPr>
            </w:pPr>
            <w:r>
              <w:rPr>
                <w:rFonts w:cs="Arial"/>
                <w:color w:val="1D1D1B" w:themeColor="text1"/>
              </w:rPr>
              <w:t>4</w:t>
            </w:r>
          </w:p>
        </w:tc>
      </w:tr>
      <w:tr w:rsidR="006E0879" w:rsidRPr="00925DF4" w14:paraId="58A935A5"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1EA8F2B9" w14:textId="77777777" w:rsidR="006E0879" w:rsidRPr="00925DF4" w:rsidRDefault="006E0879" w:rsidP="00AB3D40">
            <w:pPr>
              <w:spacing w:before="60"/>
              <w:rPr>
                <w:rFonts w:cs="Arial"/>
                <w:color w:val="1D1D1B" w:themeColor="text1"/>
              </w:rPr>
            </w:pPr>
            <w:r w:rsidRPr="00925DF4">
              <w:rPr>
                <w:rFonts w:cs="Arial"/>
                <w:color w:val="1D1D1B" w:themeColor="text1"/>
              </w:rPr>
              <w:t>£250,000 or more, but below £500,000</w:t>
            </w:r>
          </w:p>
        </w:tc>
        <w:tc>
          <w:tcPr>
            <w:tcW w:w="1780" w:type="pct"/>
            <w:tcBorders>
              <w:top w:val="single" w:sz="4" w:space="0" w:color="auto"/>
              <w:left w:val="single" w:sz="4" w:space="0" w:color="auto"/>
              <w:bottom w:val="single" w:sz="4" w:space="0" w:color="auto"/>
              <w:right w:val="single" w:sz="4" w:space="0" w:color="auto"/>
            </w:tcBorders>
            <w:vAlign w:val="center"/>
            <w:hideMark/>
          </w:tcPr>
          <w:p w14:paraId="52747494" w14:textId="77777777" w:rsidR="006E0879" w:rsidRPr="00925DF4" w:rsidRDefault="006E0879" w:rsidP="00AB3D40">
            <w:pPr>
              <w:spacing w:before="60"/>
              <w:jc w:val="center"/>
              <w:rPr>
                <w:rFonts w:cs="Arial"/>
                <w:color w:val="1D1D1B" w:themeColor="text1"/>
              </w:rPr>
            </w:pPr>
            <w:r>
              <w:rPr>
                <w:rFonts w:cs="Arial"/>
                <w:color w:val="1D1D1B" w:themeColor="text1"/>
              </w:rPr>
              <w:t>5</w:t>
            </w:r>
          </w:p>
        </w:tc>
      </w:tr>
      <w:tr w:rsidR="006E0879" w:rsidRPr="00925DF4" w14:paraId="2A3F28E0"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6E7BD9A6" w14:textId="77777777" w:rsidR="006E0879" w:rsidRPr="00925DF4" w:rsidRDefault="006E0879" w:rsidP="00AB3D40">
            <w:pPr>
              <w:spacing w:before="60"/>
              <w:rPr>
                <w:rFonts w:cs="Arial"/>
                <w:color w:val="1D1D1B" w:themeColor="text1"/>
              </w:rPr>
            </w:pPr>
            <w:r w:rsidRPr="00925DF4">
              <w:rPr>
                <w:rFonts w:cs="Arial"/>
                <w:color w:val="1D1D1B" w:themeColor="text1"/>
              </w:rPr>
              <w:t>£500,000 or more, but below £1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2059A5ED" w14:textId="77777777" w:rsidR="006E0879" w:rsidRPr="00925DF4" w:rsidRDefault="006E0879" w:rsidP="00AB3D40">
            <w:pPr>
              <w:spacing w:before="60"/>
              <w:jc w:val="center"/>
              <w:rPr>
                <w:rFonts w:cs="Arial"/>
                <w:color w:val="1D1D1B" w:themeColor="text1"/>
              </w:rPr>
            </w:pPr>
            <w:r>
              <w:rPr>
                <w:rFonts w:cs="Arial"/>
                <w:color w:val="1D1D1B" w:themeColor="text1"/>
              </w:rPr>
              <w:t>6</w:t>
            </w:r>
          </w:p>
        </w:tc>
      </w:tr>
      <w:tr w:rsidR="006E0879" w:rsidRPr="00925DF4" w14:paraId="63761F48"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540FE08E" w14:textId="77777777" w:rsidR="006E0879" w:rsidRPr="00925DF4" w:rsidRDefault="006E0879" w:rsidP="00AB3D40">
            <w:pPr>
              <w:spacing w:before="60"/>
              <w:rPr>
                <w:rFonts w:cs="Arial"/>
                <w:color w:val="1D1D1B" w:themeColor="text1"/>
              </w:rPr>
            </w:pPr>
            <w:r w:rsidRPr="00925DF4">
              <w:rPr>
                <w:rFonts w:cs="Arial"/>
                <w:color w:val="1D1D1B" w:themeColor="text1"/>
              </w:rPr>
              <w:t>£1 million or more, but below £5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002696DC" w14:textId="77777777" w:rsidR="006E0879" w:rsidRPr="00925DF4" w:rsidRDefault="006E0879" w:rsidP="00AB3D40">
            <w:pPr>
              <w:spacing w:before="60"/>
              <w:jc w:val="center"/>
              <w:rPr>
                <w:rFonts w:cs="Arial"/>
                <w:color w:val="1D1D1B" w:themeColor="text1"/>
              </w:rPr>
            </w:pPr>
            <w:r>
              <w:rPr>
                <w:rFonts w:cs="Arial"/>
                <w:color w:val="1D1D1B" w:themeColor="text1"/>
              </w:rPr>
              <w:t>7</w:t>
            </w:r>
          </w:p>
        </w:tc>
      </w:tr>
      <w:tr w:rsidR="006E0879" w:rsidRPr="00925DF4" w14:paraId="43CF5663"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459AF130" w14:textId="77777777" w:rsidR="006E0879" w:rsidRPr="00925DF4" w:rsidRDefault="006E0879" w:rsidP="00AB3D40">
            <w:pPr>
              <w:spacing w:before="60"/>
              <w:rPr>
                <w:rFonts w:cs="Arial"/>
                <w:color w:val="1D1D1B" w:themeColor="text1"/>
              </w:rPr>
            </w:pPr>
            <w:r w:rsidRPr="00925DF4">
              <w:rPr>
                <w:rFonts w:cs="Arial"/>
                <w:color w:val="1D1D1B" w:themeColor="text1"/>
              </w:rPr>
              <w:t>£5 million or more, but below £10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6423931B" w14:textId="77777777" w:rsidR="006E0879" w:rsidRPr="00925DF4" w:rsidRDefault="006E0879" w:rsidP="00AB3D40">
            <w:pPr>
              <w:spacing w:before="60"/>
              <w:jc w:val="center"/>
              <w:rPr>
                <w:rFonts w:cs="Arial"/>
                <w:color w:val="1D1D1B" w:themeColor="text1"/>
              </w:rPr>
            </w:pPr>
            <w:r>
              <w:rPr>
                <w:rFonts w:cs="Arial"/>
                <w:color w:val="1D1D1B" w:themeColor="text1"/>
              </w:rPr>
              <w:t>8</w:t>
            </w:r>
          </w:p>
        </w:tc>
      </w:tr>
      <w:tr w:rsidR="006E0879" w:rsidRPr="00925DF4" w14:paraId="3EAE2534"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0431FD2B" w14:textId="77777777" w:rsidR="006E0879" w:rsidRPr="00925DF4" w:rsidRDefault="006E0879" w:rsidP="00AB3D40">
            <w:pPr>
              <w:spacing w:before="60"/>
              <w:rPr>
                <w:rFonts w:cs="Arial"/>
                <w:color w:val="1D1D1B" w:themeColor="text1"/>
              </w:rPr>
            </w:pPr>
            <w:r w:rsidRPr="00925DF4">
              <w:rPr>
                <w:rFonts w:cs="Arial"/>
                <w:color w:val="1D1D1B" w:themeColor="text1"/>
              </w:rPr>
              <w:t>£10 million or more, but below £25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0CCA0F00" w14:textId="77777777" w:rsidR="006E0879" w:rsidRPr="00925DF4" w:rsidRDefault="006E0879" w:rsidP="00AB3D40">
            <w:pPr>
              <w:spacing w:before="60"/>
              <w:jc w:val="center"/>
              <w:rPr>
                <w:rFonts w:cs="Arial"/>
                <w:color w:val="1D1D1B" w:themeColor="text1"/>
              </w:rPr>
            </w:pPr>
            <w:r>
              <w:rPr>
                <w:rFonts w:cs="Arial"/>
                <w:color w:val="1D1D1B" w:themeColor="text1"/>
              </w:rPr>
              <w:t>9</w:t>
            </w:r>
          </w:p>
        </w:tc>
      </w:tr>
      <w:tr w:rsidR="006E0879" w:rsidRPr="00925DF4" w14:paraId="541FF889"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39D60A31" w14:textId="77777777" w:rsidR="006E0879" w:rsidRPr="00925DF4" w:rsidRDefault="006E0879" w:rsidP="00AB3D40">
            <w:pPr>
              <w:spacing w:before="60"/>
              <w:rPr>
                <w:rFonts w:cs="Arial"/>
                <w:color w:val="1D1D1B" w:themeColor="text1"/>
              </w:rPr>
            </w:pPr>
            <w:r w:rsidRPr="00925DF4">
              <w:rPr>
                <w:rFonts w:cs="Arial"/>
                <w:color w:val="1D1D1B" w:themeColor="text1"/>
              </w:rPr>
              <w:t>£25 million or more, but below £45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6351CC85"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r>
              <w:rPr>
                <w:rFonts w:cs="Arial"/>
                <w:color w:val="1D1D1B" w:themeColor="text1"/>
              </w:rPr>
              <w:t>0</w:t>
            </w:r>
          </w:p>
        </w:tc>
      </w:tr>
      <w:tr w:rsidR="006E0879" w:rsidRPr="00925DF4" w14:paraId="53192788"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698E8106" w14:textId="77777777" w:rsidR="006E0879" w:rsidRPr="00925DF4" w:rsidRDefault="006E0879" w:rsidP="00AB3D40">
            <w:pPr>
              <w:spacing w:before="60"/>
              <w:rPr>
                <w:rFonts w:cs="Arial"/>
                <w:color w:val="1D1D1B" w:themeColor="text1"/>
              </w:rPr>
            </w:pPr>
            <w:r w:rsidRPr="00925DF4">
              <w:rPr>
                <w:rFonts w:cs="Arial"/>
                <w:color w:val="1D1D1B" w:themeColor="text1"/>
              </w:rPr>
              <w:t>£45 million or more, but below £100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1AF8BA8B"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r>
              <w:rPr>
                <w:rFonts w:cs="Arial"/>
                <w:color w:val="1D1D1B" w:themeColor="text1"/>
              </w:rPr>
              <w:t>1</w:t>
            </w:r>
          </w:p>
        </w:tc>
      </w:tr>
      <w:tr w:rsidR="006E0879" w:rsidRPr="00925DF4" w14:paraId="7B24FA29"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070E7FBA" w14:textId="77777777" w:rsidR="006E0879" w:rsidRPr="00925DF4" w:rsidRDefault="006E0879" w:rsidP="00AB3D40">
            <w:pPr>
              <w:spacing w:before="60"/>
              <w:rPr>
                <w:rFonts w:cs="Arial"/>
                <w:color w:val="1D1D1B" w:themeColor="text1"/>
              </w:rPr>
            </w:pPr>
            <w:r w:rsidRPr="00925DF4">
              <w:rPr>
                <w:rFonts w:cs="Arial"/>
                <w:color w:val="1D1D1B" w:themeColor="text1"/>
              </w:rPr>
              <w:t>£100 million or more, not more than £500m</w:t>
            </w:r>
          </w:p>
        </w:tc>
        <w:tc>
          <w:tcPr>
            <w:tcW w:w="1780" w:type="pct"/>
            <w:tcBorders>
              <w:top w:val="single" w:sz="4" w:space="0" w:color="auto"/>
              <w:left w:val="single" w:sz="4" w:space="0" w:color="auto"/>
              <w:bottom w:val="single" w:sz="4" w:space="0" w:color="auto"/>
              <w:right w:val="single" w:sz="4" w:space="0" w:color="auto"/>
            </w:tcBorders>
            <w:vAlign w:val="center"/>
            <w:hideMark/>
          </w:tcPr>
          <w:p w14:paraId="5246A496"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r>
              <w:rPr>
                <w:rFonts w:cs="Arial"/>
                <w:color w:val="1D1D1B" w:themeColor="text1"/>
              </w:rPr>
              <w:t>2</w:t>
            </w:r>
          </w:p>
        </w:tc>
      </w:tr>
      <w:tr w:rsidR="006E0879" w:rsidRPr="00925DF4" w14:paraId="1E69BD85"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549DF7C5" w14:textId="77777777" w:rsidR="006E0879" w:rsidRPr="00925DF4" w:rsidRDefault="006E0879" w:rsidP="00AB3D40">
            <w:pPr>
              <w:spacing w:before="60"/>
              <w:rPr>
                <w:rFonts w:cs="Arial"/>
                <w:color w:val="1D1D1B" w:themeColor="text1"/>
              </w:rPr>
            </w:pPr>
            <w:r w:rsidRPr="00925DF4">
              <w:rPr>
                <w:rFonts w:cs="Arial"/>
                <w:color w:val="1D1D1B" w:themeColor="text1"/>
              </w:rPr>
              <w:t>More than £500 million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4B372A97" w14:textId="77777777" w:rsidR="006E0879" w:rsidRPr="00925DF4" w:rsidRDefault="006E0879" w:rsidP="00AB3D40">
            <w:pPr>
              <w:spacing w:before="60"/>
              <w:jc w:val="center"/>
              <w:rPr>
                <w:rFonts w:cs="Arial"/>
                <w:color w:val="1D1D1B" w:themeColor="text1"/>
              </w:rPr>
            </w:pPr>
            <w:r w:rsidRPr="00925DF4">
              <w:rPr>
                <w:rFonts w:cs="Arial"/>
                <w:color w:val="1D1D1B" w:themeColor="text1"/>
              </w:rPr>
              <w:t>1</w:t>
            </w:r>
            <w:r>
              <w:rPr>
                <w:rFonts w:cs="Arial"/>
                <w:color w:val="1D1D1B" w:themeColor="text1"/>
              </w:rPr>
              <w:t>3</w:t>
            </w:r>
          </w:p>
        </w:tc>
      </w:tr>
      <w:tr w:rsidR="006E0879" w:rsidRPr="00925DF4" w14:paraId="0CA66D50"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599868E9" w14:textId="77777777" w:rsidR="006E0879" w:rsidRPr="00925DF4" w:rsidRDefault="006E0879" w:rsidP="00AB3D40">
            <w:pPr>
              <w:spacing w:before="60"/>
              <w:rPr>
                <w:rFonts w:cs="Arial"/>
                <w:color w:val="1D1D1B" w:themeColor="text1"/>
              </w:rPr>
            </w:pPr>
            <w:r w:rsidRPr="00925DF4">
              <w:rPr>
                <w:rFonts w:cs="Arial"/>
                <w:color w:val="1D1D1B" w:themeColor="text1"/>
              </w:rPr>
              <w:t>Don’t know</w:t>
            </w:r>
          </w:p>
        </w:tc>
        <w:tc>
          <w:tcPr>
            <w:tcW w:w="1780" w:type="pct"/>
            <w:tcBorders>
              <w:top w:val="single" w:sz="4" w:space="0" w:color="auto"/>
              <w:left w:val="single" w:sz="4" w:space="0" w:color="auto"/>
              <w:bottom w:val="single" w:sz="4" w:space="0" w:color="auto"/>
              <w:right w:val="single" w:sz="4" w:space="0" w:color="auto"/>
            </w:tcBorders>
            <w:vAlign w:val="center"/>
            <w:hideMark/>
          </w:tcPr>
          <w:p w14:paraId="46FDAB6E" w14:textId="77777777" w:rsidR="006E0879" w:rsidRPr="00925DF4" w:rsidRDefault="006E0879" w:rsidP="00AB3D40">
            <w:pPr>
              <w:spacing w:before="60"/>
              <w:jc w:val="center"/>
              <w:rPr>
                <w:rFonts w:cs="Arial"/>
                <w:color w:val="1D1D1B" w:themeColor="text1"/>
              </w:rPr>
            </w:pPr>
            <w:r w:rsidRPr="00925DF4">
              <w:rPr>
                <w:rFonts w:cs="Arial"/>
                <w:color w:val="1D1D1B" w:themeColor="text1"/>
              </w:rPr>
              <w:t>98</w:t>
            </w:r>
          </w:p>
        </w:tc>
      </w:tr>
      <w:tr w:rsidR="006E0879" w:rsidRPr="00925DF4" w14:paraId="37D55754" w14:textId="77777777" w:rsidTr="00AB3D40">
        <w:trPr>
          <w:cantSplit/>
          <w:trHeight w:val="397"/>
        </w:trPr>
        <w:tc>
          <w:tcPr>
            <w:tcW w:w="3220" w:type="pct"/>
            <w:tcBorders>
              <w:top w:val="single" w:sz="4" w:space="0" w:color="auto"/>
              <w:left w:val="single" w:sz="4" w:space="0" w:color="auto"/>
              <w:bottom w:val="single" w:sz="4" w:space="0" w:color="auto"/>
              <w:right w:val="single" w:sz="4" w:space="0" w:color="auto"/>
            </w:tcBorders>
            <w:vAlign w:val="center"/>
            <w:hideMark/>
          </w:tcPr>
          <w:p w14:paraId="67BC3B13" w14:textId="77777777" w:rsidR="006E0879" w:rsidRPr="00925DF4" w:rsidRDefault="006E0879" w:rsidP="00AB3D40">
            <w:pPr>
              <w:spacing w:before="60"/>
              <w:rPr>
                <w:rFonts w:cs="Arial"/>
                <w:color w:val="1D1D1B" w:themeColor="text1"/>
              </w:rPr>
            </w:pPr>
            <w:r w:rsidRPr="00925DF4">
              <w:rPr>
                <w:rFonts w:cs="Arial"/>
                <w:color w:val="1D1D1B" w:themeColor="text1"/>
              </w:rPr>
              <w:t>Refused</w:t>
            </w:r>
            <w:r>
              <w:rPr>
                <w:rFonts w:cs="Arial"/>
                <w:color w:val="1D1D1B" w:themeColor="text1"/>
              </w:rPr>
              <w:t xml:space="preserve"> </w:t>
            </w:r>
            <w:r w:rsidRPr="00D06E01">
              <w:rPr>
                <w:rFonts w:cs="Arial"/>
                <w:color w:val="FF0000"/>
              </w:rPr>
              <w:t>IF WEB</w:t>
            </w:r>
            <w:r>
              <w:rPr>
                <w:rFonts w:cs="Arial"/>
                <w:color w:val="FF0000"/>
              </w:rPr>
              <w:t xml:space="preserve">: </w:t>
            </w:r>
            <w:r w:rsidRPr="00D06E01">
              <w:rPr>
                <w:rFonts w:cs="Arial"/>
              </w:rPr>
              <w:t>Prefer not to say</w:t>
            </w:r>
          </w:p>
        </w:tc>
        <w:tc>
          <w:tcPr>
            <w:tcW w:w="1780" w:type="pct"/>
            <w:tcBorders>
              <w:top w:val="single" w:sz="4" w:space="0" w:color="auto"/>
              <w:left w:val="single" w:sz="4" w:space="0" w:color="auto"/>
              <w:bottom w:val="single" w:sz="4" w:space="0" w:color="auto"/>
              <w:right w:val="single" w:sz="4" w:space="0" w:color="auto"/>
            </w:tcBorders>
            <w:vAlign w:val="center"/>
            <w:hideMark/>
          </w:tcPr>
          <w:p w14:paraId="3B333DC4" w14:textId="77777777" w:rsidR="006E0879" w:rsidRPr="00925DF4" w:rsidRDefault="006E0879" w:rsidP="00AB3D40">
            <w:pPr>
              <w:spacing w:before="60"/>
              <w:jc w:val="center"/>
              <w:rPr>
                <w:rFonts w:cs="Arial"/>
                <w:color w:val="1D1D1B" w:themeColor="text1"/>
              </w:rPr>
            </w:pPr>
            <w:r w:rsidRPr="00925DF4">
              <w:rPr>
                <w:rFonts w:cs="Arial"/>
                <w:color w:val="1D1D1B" w:themeColor="text1"/>
              </w:rPr>
              <w:t>99</w:t>
            </w:r>
          </w:p>
        </w:tc>
      </w:tr>
    </w:tbl>
    <w:p w14:paraId="0E84042A" w14:textId="77777777" w:rsidR="006E0879" w:rsidRDefault="006E0879" w:rsidP="006E0879">
      <w:pPr>
        <w:spacing w:after="160" w:line="259" w:lineRule="auto"/>
        <w:rPr>
          <w:rFonts w:cs="Arial"/>
          <w:color w:val="FF0000"/>
        </w:rPr>
      </w:pPr>
    </w:p>
    <w:p w14:paraId="79A08024" w14:textId="77777777" w:rsidR="006E0879" w:rsidRPr="00925DF4" w:rsidRDefault="006E0879" w:rsidP="006E0879">
      <w:pPr>
        <w:rPr>
          <w:rFonts w:eastAsia="SimSun" w:cs="Arial"/>
          <w:color w:val="FF0000"/>
        </w:rPr>
      </w:pPr>
      <w:r w:rsidRPr="00925DF4">
        <w:rPr>
          <w:rFonts w:eastAsia="SimSun" w:cs="Arial"/>
          <w:color w:val="FF0000"/>
        </w:rPr>
        <w:t>ASK ALL</w:t>
      </w:r>
    </w:p>
    <w:p w14:paraId="2B0378FD" w14:textId="78428971" w:rsidR="006E0879" w:rsidRPr="00C31D26" w:rsidRDefault="006E0879" w:rsidP="00C31D26">
      <w:pPr>
        <w:rPr>
          <w:rFonts w:eastAsia="SimSun" w:cs="Arial"/>
        </w:rPr>
      </w:pPr>
      <w:r w:rsidRPr="00925DF4">
        <w:rPr>
          <w:rFonts w:eastAsia="SimSun" w:cs="Arial"/>
          <w:b/>
          <w:bCs/>
        </w:rPr>
        <w:t xml:space="preserve">S15AA How many people did your </w:t>
      </w:r>
      <w:r w:rsidRPr="00925DF4">
        <w:rPr>
          <w:rFonts w:cs="Arial"/>
          <w:b/>
          <w:bCs/>
        </w:rPr>
        <w:t>business</w:t>
      </w:r>
      <w:r w:rsidRPr="00925DF4">
        <w:rPr>
          <w:rFonts w:eastAsia="SimSun" w:cs="Arial"/>
          <w:b/>
          <w:bCs/>
        </w:rPr>
        <w:t xml:space="preserve"> employ across all sites in the UK, either full or part time, including yourself</w:t>
      </w:r>
      <w:r w:rsidRPr="00925DF4" w:rsidDel="00AD6B22">
        <w:rPr>
          <w:rFonts w:eastAsia="SimSun" w:cs="Arial"/>
          <w:b/>
          <w:bCs/>
        </w:rPr>
        <w:t xml:space="preserve"> </w:t>
      </w:r>
      <w:r w:rsidRPr="00925DF4">
        <w:rPr>
          <w:rFonts w:eastAsia="SimSun" w:cs="Arial"/>
          <w:b/>
          <w:bCs/>
        </w:rPr>
        <w:t>at the end of your latest completed financial year</w:t>
      </w:r>
      <w:r>
        <w:rPr>
          <w:rFonts w:eastAsia="SimSun" w:cs="Arial"/>
          <w:b/>
          <w:bCs/>
        </w:rPr>
        <w:t xml:space="preserve"> (i.e. 2022-23)</w:t>
      </w:r>
      <w:r w:rsidRPr="00925DF4">
        <w:rPr>
          <w:rFonts w:eastAsia="SimSun" w:cs="Arial"/>
          <w:b/>
          <w:bCs/>
        </w:rPr>
        <w:t>? Please include working directors, partners, managers, people who work away from the site</w:t>
      </w:r>
      <w:r>
        <w:rPr>
          <w:rFonts w:eastAsia="SimSun" w:cs="Arial"/>
          <w:b/>
          <w:bCs/>
        </w:rPr>
        <w:t xml:space="preserve">. </w:t>
      </w:r>
      <w:r w:rsidRPr="00925DF4">
        <w:rPr>
          <w:rFonts w:eastAsia="SimSun" w:cs="Arial"/>
          <w:b/>
        </w:rPr>
        <w:t xml:space="preserve">Do not include outside contractors, agency staff or self-employed contractors. </w:t>
      </w:r>
      <w:r w:rsidRPr="00925DF4">
        <w:rPr>
          <w:rFonts w:eastAsia="SimSun" w:cs="Arial"/>
          <w:color w:val="F06603" w:themeColor="accent6"/>
        </w:rPr>
        <w:t>WRITE IN EXACT NUMBER OR ACCEPT BANDED REPLY IF NOT SURE. [RANGE = 1-99,999]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44"/>
      </w:tblGrid>
      <w:tr w:rsidR="006E0879" w:rsidRPr="00925DF4" w14:paraId="25BD5582" w14:textId="77777777" w:rsidTr="00AB3D40">
        <w:tc>
          <w:tcPr>
            <w:tcW w:w="5000" w:type="pct"/>
            <w:tcBorders>
              <w:top w:val="single" w:sz="4" w:space="0" w:color="000000"/>
              <w:left w:val="single" w:sz="4" w:space="0" w:color="000000"/>
              <w:bottom w:val="single" w:sz="4" w:space="0" w:color="000000"/>
              <w:right w:val="single" w:sz="4" w:space="0" w:color="000000"/>
            </w:tcBorders>
          </w:tcPr>
          <w:p w14:paraId="3F454D70" w14:textId="77777777" w:rsidR="006E0879" w:rsidRPr="00925DF4" w:rsidRDefault="006E0879" w:rsidP="00AB3D40">
            <w:pPr>
              <w:rPr>
                <w:rFonts w:eastAsia="SimSun" w:cs="Arial"/>
                <w:color w:val="1D1D1B" w:themeColor="text1"/>
                <w:lang w:eastAsia="en-GB"/>
              </w:rPr>
            </w:pPr>
          </w:p>
          <w:p w14:paraId="60B89F1F" w14:textId="77777777" w:rsidR="006E0879" w:rsidRPr="00925DF4" w:rsidRDefault="006E0879" w:rsidP="00AB3D40">
            <w:pPr>
              <w:rPr>
                <w:rFonts w:eastAsia="SimSun" w:cs="Arial"/>
                <w:color w:val="1D1D1B" w:themeColor="text1"/>
                <w:lang w:eastAsia="en-GB"/>
              </w:rPr>
            </w:pPr>
          </w:p>
        </w:tc>
      </w:tr>
    </w:tbl>
    <w:p w14:paraId="6B862F9F" w14:textId="77777777" w:rsidR="006E0879" w:rsidRPr="00925DF4" w:rsidRDefault="006E0879" w:rsidP="006E0879">
      <w:pPr>
        <w:rPr>
          <w:rFonts w:eastAsia="SimSun" w:cs="Arial"/>
          <w:color w:val="1D1D1B" w:themeColor="text1"/>
        </w:rPr>
      </w:pPr>
    </w:p>
    <w:p w14:paraId="15DDC6F9" w14:textId="77777777" w:rsidR="006E0879" w:rsidRPr="00925DF4" w:rsidRDefault="006E0879" w:rsidP="006E0879">
      <w:pPr>
        <w:rPr>
          <w:rFonts w:eastAsia="SimSun" w:cs="Arial"/>
        </w:rPr>
      </w:pPr>
      <w:r w:rsidRPr="00925DF4">
        <w:rPr>
          <w:rFonts w:eastAsia="SimSun" w:cs="Arial"/>
        </w:rPr>
        <w:t>Don’t know</w:t>
      </w:r>
      <w:r w:rsidRPr="00925DF4">
        <w:rPr>
          <w:rFonts w:eastAsia="SimSun" w:cs="Arial"/>
        </w:rPr>
        <w:tab/>
      </w:r>
      <w:r w:rsidRPr="00925DF4">
        <w:rPr>
          <w:rFonts w:eastAsia="SimSun" w:cs="Arial"/>
        </w:rPr>
        <w:tab/>
        <w:t xml:space="preserve">98            </w:t>
      </w:r>
    </w:p>
    <w:p w14:paraId="0A69A07F" w14:textId="1ED419E4" w:rsidR="006E0879" w:rsidRPr="00C31D26" w:rsidRDefault="006E0879" w:rsidP="00C31D26">
      <w:pPr>
        <w:rPr>
          <w:rFonts w:eastAsia="SimSun" w:cs="Arial"/>
        </w:rPr>
      </w:pPr>
      <w:r w:rsidRPr="00925DF4">
        <w:rPr>
          <w:rFonts w:eastAsia="SimSun" w:cs="Arial"/>
        </w:rPr>
        <w:t>Refused</w:t>
      </w:r>
      <w:r w:rsidRPr="00925DF4">
        <w:rPr>
          <w:rFonts w:eastAsia="SimSun" w:cs="Arial"/>
        </w:rPr>
        <w:tab/>
      </w:r>
      <w:r w:rsidRPr="00925DF4">
        <w:rPr>
          <w:rFonts w:eastAsia="SimSun" w:cs="Arial"/>
        </w:rPr>
        <w:tab/>
        <w:t>99</w:t>
      </w:r>
    </w:p>
    <w:p w14:paraId="113EEFFF" w14:textId="77777777" w:rsidR="006E0879" w:rsidRPr="00925DF4" w:rsidRDefault="006E0879" w:rsidP="006E0879">
      <w:pPr>
        <w:rPr>
          <w:rFonts w:eastAsia="SimSun" w:cs="Arial"/>
          <w:color w:val="FF0000"/>
        </w:rPr>
      </w:pPr>
      <w:r w:rsidRPr="00925DF4">
        <w:rPr>
          <w:rFonts w:eastAsia="SimSun" w:cs="Arial"/>
          <w:color w:val="FF0000"/>
        </w:rPr>
        <w:t>ASK IF DON’T KNOW (CODE 98) AT S15</w:t>
      </w:r>
      <w:r>
        <w:rPr>
          <w:rFonts w:eastAsia="SimSun" w:cs="Arial"/>
          <w:color w:val="FF0000"/>
        </w:rPr>
        <w:t>AA</w:t>
      </w:r>
    </w:p>
    <w:p w14:paraId="5E456667" w14:textId="2965BE77" w:rsidR="006E0879" w:rsidRPr="00C31D26" w:rsidRDefault="006E0879" w:rsidP="00C31D26">
      <w:pPr>
        <w:rPr>
          <w:rFonts w:eastAsia="SimSun" w:cs="Arial"/>
        </w:rPr>
      </w:pPr>
      <w:r w:rsidRPr="00925DF4">
        <w:rPr>
          <w:rFonts w:eastAsia="SimSun" w:cs="Arial"/>
          <w:b/>
          <w:bCs/>
        </w:rPr>
        <w:t>S16AA Which of the following best describes the total number of people employed</w:t>
      </w:r>
      <w:r>
        <w:rPr>
          <w:rFonts w:eastAsia="SimSun" w:cs="Arial"/>
          <w:b/>
          <w:bCs/>
        </w:rPr>
        <w:t xml:space="preserve"> </w:t>
      </w:r>
      <w:r w:rsidRPr="00925DF4">
        <w:rPr>
          <w:rFonts w:eastAsia="SimSun" w:cs="Arial"/>
          <w:b/>
          <w:bCs/>
        </w:rPr>
        <w:t>at the end of your latest completed financial year</w:t>
      </w:r>
      <w:r>
        <w:rPr>
          <w:rFonts w:eastAsia="SimSun" w:cs="Arial"/>
          <w:b/>
          <w:bCs/>
        </w:rPr>
        <w:t xml:space="preserve"> (i.e. 2022-23)</w:t>
      </w:r>
      <w:r w:rsidRPr="00925DF4">
        <w:rPr>
          <w:rFonts w:eastAsia="SimSun" w:cs="Arial"/>
          <w:b/>
          <w:bCs/>
        </w:rPr>
        <w:t>, including yourself?</w:t>
      </w:r>
      <w:r w:rsidRPr="00925DF4">
        <w:rPr>
          <w:rFonts w:eastAsia="SimSun" w:cs="Arial"/>
        </w:rPr>
        <w:t xml:space="preserve"> </w:t>
      </w:r>
      <w:r w:rsidRPr="00925DF4">
        <w:rPr>
          <w:rFonts w:eastAsia="SimSun" w:cs="Arial"/>
          <w:color w:val="F06603" w:themeColor="accent6"/>
        </w:rPr>
        <w:t xml:space="preserve">READ OUT. </w:t>
      </w:r>
      <w:r w:rsidRPr="00925DF4">
        <w:rPr>
          <w:rFonts w:eastAsia="SimSun" w:cs="Arial"/>
          <w:color w:val="FF0000"/>
        </w:rPr>
        <w:t>SINGLE CODE ONLY</w:t>
      </w: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26"/>
        <w:gridCol w:w="1117"/>
      </w:tblGrid>
      <w:tr w:rsidR="006E0879" w:rsidRPr="00925DF4" w14:paraId="0C31A7E8"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277664D2" w14:textId="77777777" w:rsidR="006E0879" w:rsidRPr="00925DF4" w:rsidRDefault="006E0879" w:rsidP="00AB3D40">
            <w:pPr>
              <w:spacing w:before="60"/>
              <w:rPr>
                <w:rFonts w:eastAsia="SimSun" w:cs="Arial"/>
                <w:color w:val="1D1D1B" w:themeColor="text1"/>
                <w:lang w:eastAsia="en-GB"/>
              </w:rPr>
            </w:pPr>
            <w:r w:rsidRPr="00925DF4">
              <w:rPr>
                <w:rFonts w:eastAsia="SimSun" w:cs="Arial"/>
                <w:color w:val="1D1D1B" w:themeColor="text1"/>
                <w:lang w:eastAsia="en-GB"/>
              </w:rPr>
              <w:t>Just yourself</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0406993F"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1</w:t>
            </w:r>
          </w:p>
        </w:tc>
      </w:tr>
      <w:tr w:rsidR="006E0879" w:rsidRPr="00925DF4" w14:paraId="0F28832D"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68033496" w14:textId="77777777" w:rsidR="006E0879" w:rsidRPr="00925DF4" w:rsidRDefault="006E0879" w:rsidP="00AB3D40">
            <w:pPr>
              <w:spacing w:before="60"/>
              <w:rPr>
                <w:rFonts w:eastAsia="SimSun" w:cs="Arial"/>
                <w:color w:val="1D1D1B" w:themeColor="text1"/>
                <w:lang w:eastAsia="en-GB"/>
              </w:rPr>
            </w:pPr>
            <w:r w:rsidRPr="00925DF4">
              <w:rPr>
                <w:rFonts w:eastAsia="SimSun" w:cs="Arial"/>
                <w:color w:val="1D1D1B" w:themeColor="text1"/>
                <w:lang w:eastAsia="en-GB"/>
              </w:rPr>
              <w:t>2-4</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5E055F5E"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2</w:t>
            </w:r>
          </w:p>
        </w:tc>
      </w:tr>
      <w:tr w:rsidR="006E0879" w:rsidRPr="00925DF4" w14:paraId="26B7CE57"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203D09A6" w14:textId="77777777" w:rsidR="006E0879" w:rsidRPr="00925DF4" w:rsidRDefault="006E0879" w:rsidP="00AB3D40">
            <w:pPr>
              <w:spacing w:before="60"/>
              <w:rPr>
                <w:rFonts w:eastAsia="SimSun" w:cs="Arial"/>
                <w:color w:val="1D1D1B" w:themeColor="text1"/>
                <w:lang w:eastAsia="en-GB"/>
              </w:rPr>
            </w:pPr>
            <w:r w:rsidRPr="00925DF4">
              <w:rPr>
                <w:rFonts w:eastAsia="SimSun" w:cs="Arial"/>
                <w:color w:val="1D1D1B" w:themeColor="text1"/>
                <w:lang w:eastAsia="en-GB"/>
              </w:rPr>
              <w:t>5-9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60A7F6E6"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3</w:t>
            </w:r>
          </w:p>
        </w:tc>
      </w:tr>
      <w:tr w:rsidR="006E0879" w:rsidRPr="00925DF4" w14:paraId="3726F477"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7473B1F3" w14:textId="77777777" w:rsidR="006E0879" w:rsidRPr="00925DF4" w:rsidRDefault="006E0879" w:rsidP="00AB3D40">
            <w:pPr>
              <w:spacing w:before="60"/>
              <w:rPr>
                <w:rFonts w:eastAsia="SimSun" w:cs="Arial"/>
                <w:color w:val="1D1D1B" w:themeColor="text1"/>
                <w:lang w:eastAsia="en-GB"/>
              </w:rPr>
            </w:pPr>
            <w:r>
              <w:rPr>
                <w:rFonts w:eastAsia="SimSun" w:cs="Arial"/>
                <w:color w:val="1D1D1B" w:themeColor="text1"/>
                <w:lang w:eastAsia="en-GB"/>
              </w:rPr>
              <w:t>1</w:t>
            </w:r>
            <w:r w:rsidRPr="00925DF4">
              <w:rPr>
                <w:rFonts w:eastAsia="SimSun" w:cs="Arial"/>
                <w:color w:val="1D1D1B" w:themeColor="text1"/>
                <w:lang w:eastAsia="en-GB"/>
              </w:rPr>
              <w:t>0-24</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157EA905"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4</w:t>
            </w:r>
          </w:p>
        </w:tc>
      </w:tr>
      <w:tr w:rsidR="006E0879" w:rsidRPr="00925DF4" w14:paraId="64D0D961"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6C7D564A" w14:textId="77777777" w:rsidR="006E0879" w:rsidRPr="00925DF4" w:rsidRDefault="006E0879" w:rsidP="00AB3D40">
            <w:pPr>
              <w:spacing w:before="60"/>
              <w:rPr>
                <w:rFonts w:eastAsia="SimSun" w:cs="Arial"/>
                <w:color w:val="1D1D1B" w:themeColor="text1"/>
                <w:lang w:eastAsia="en-GB"/>
              </w:rPr>
            </w:pPr>
            <w:r w:rsidRPr="00925DF4">
              <w:rPr>
                <w:rFonts w:eastAsia="SimSun" w:cs="Arial"/>
                <w:color w:val="1D1D1B" w:themeColor="text1"/>
                <w:lang w:eastAsia="en-GB"/>
              </w:rPr>
              <w:t>25-49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1F6445A7"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5</w:t>
            </w:r>
          </w:p>
        </w:tc>
      </w:tr>
      <w:tr w:rsidR="006E0879" w:rsidRPr="00925DF4" w14:paraId="0B18A1DA"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tcPr>
          <w:p w14:paraId="3B30438B" w14:textId="77777777" w:rsidR="006E0879" w:rsidRPr="00925DF4" w:rsidRDefault="006E0879" w:rsidP="00AB3D40">
            <w:pPr>
              <w:spacing w:before="60"/>
              <w:rPr>
                <w:rFonts w:cs="Arial"/>
                <w:color w:val="1D1D1B" w:themeColor="text1"/>
              </w:rPr>
            </w:pPr>
            <w:r w:rsidRPr="00E66935">
              <w:rPr>
                <w:rFonts w:cs="Arial"/>
              </w:rPr>
              <w:t>50-99</w:t>
            </w:r>
          </w:p>
        </w:tc>
        <w:tc>
          <w:tcPr>
            <w:tcW w:w="556" w:type="pct"/>
            <w:tcBorders>
              <w:top w:val="single" w:sz="4" w:space="0" w:color="000000"/>
              <w:left w:val="single" w:sz="4" w:space="0" w:color="000000"/>
              <w:bottom w:val="single" w:sz="4" w:space="0" w:color="000000"/>
              <w:right w:val="single" w:sz="4" w:space="0" w:color="000000"/>
            </w:tcBorders>
            <w:vAlign w:val="center"/>
          </w:tcPr>
          <w:p w14:paraId="459BF527"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6</w:t>
            </w:r>
          </w:p>
        </w:tc>
      </w:tr>
      <w:tr w:rsidR="006E0879" w:rsidRPr="00925DF4" w14:paraId="08E48C36"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4B05E304" w14:textId="77777777" w:rsidR="006E0879" w:rsidRPr="00925DF4" w:rsidRDefault="006E0879" w:rsidP="00AB3D40">
            <w:pPr>
              <w:spacing w:before="60"/>
              <w:rPr>
                <w:rFonts w:eastAsia="SimSun" w:cs="Arial"/>
                <w:color w:val="1D1D1B" w:themeColor="text1"/>
                <w:lang w:eastAsia="en-GB"/>
              </w:rPr>
            </w:pPr>
            <w:r>
              <w:rPr>
                <w:rFonts w:eastAsia="SimSun" w:cs="Arial"/>
                <w:color w:val="1D1D1B" w:themeColor="text1"/>
                <w:lang w:eastAsia="en-GB"/>
              </w:rPr>
              <w:t>100-249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3BE2DA7C"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7</w:t>
            </w:r>
          </w:p>
        </w:tc>
      </w:tr>
      <w:tr w:rsidR="006E0879" w:rsidRPr="00925DF4" w14:paraId="51284012"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tcPr>
          <w:p w14:paraId="42E399D5" w14:textId="77777777" w:rsidR="006E0879" w:rsidRPr="00925DF4" w:rsidRDefault="006E0879" w:rsidP="00AB3D40">
            <w:pPr>
              <w:spacing w:before="60"/>
              <w:rPr>
                <w:rFonts w:eastAsia="SimSun" w:cs="Arial"/>
                <w:color w:val="1D1D1B" w:themeColor="text1"/>
                <w:lang w:eastAsia="en-GB"/>
              </w:rPr>
            </w:pPr>
            <w:r w:rsidRPr="00925DF4">
              <w:rPr>
                <w:rFonts w:cs="Arial"/>
                <w:color w:val="1D1D1B" w:themeColor="text1"/>
              </w:rPr>
              <w:t>250</w:t>
            </w:r>
            <w:r>
              <w:rPr>
                <w:rFonts w:cs="Arial"/>
                <w:color w:val="1D1D1B" w:themeColor="text1"/>
              </w:rPr>
              <w:t>-499</w:t>
            </w:r>
          </w:p>
        </w:tc>
        <w:tc>
          <w:tcPr>
            <w:tcW w:w="556" w:type="pct"/>
            <w:tcBorders>
              <w:top w:val="single" w:sz="4" w:space="0" w:color="000000"/>
              <w:left w:val="single" w:sz="4" w:space="0" w:color="000000"/>
              <w:bottom w:val="single" w:sz="4" w:space="0" w:color="000000"/>
              <w:right w:val="single" w:sz="4" w:space="0" w:color="000000"/>
            </w:tcBorders>
            <w:vAlign w:val="center"/>
          </w:tcPr>
          <w:p w14:paraId="30914C48"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8</w:t>
            </w:r>
          </w:p>
        </w:tc>
      </w:tr>
      <w:tr w:rsidR="006E0879" w:rsidRPr="00925DF4" w14:paraId="146F03C9"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102ECB2F" w14:textId="77777777" w:rsidR="006E0879" w:rsidRPr="00925DF4" w:rsidRDefault="006E0879" w:rsidP="00AB3D40">
            <w:pPr>
              <w:spacing w:before="60"/>
              <w:rPr>
                <w:rFonts w:eastAsia="SimSun" w:cs="Arial"/>
                <w:color w:val="1D1D1B" w:themeColor="text1"/>
                <w:lang w:eastAsia="en-GB"/>
              </w:rPr>
            </w:pPr>
            <w:r>
              <w:rPr>
                <w:rFonts w:eastAsia="SimSun" w:cs="Arial"/>
                <w:color w:val="1D1D1B" w:themeColor="text1"/>
                <w:lang w:eastAsia="en-GB"/>
              </w:rPr>
              <w:t>500</w:t>
            </w:r>
            <w:r w:rsidRPr="00925DF4">
              <w:rPr>
                <w:rFonts w:eastAsia="SimSun" w:cs="Arial"/>
                <w:color w:val="1D1D1B" w:themeColor="text1"/>
                <w:lang w:eastAsia="en-GB"/>
              </w:rPr>
              <w:t>-999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6E3578FA" w14:textId="77777777" w:rsidR="006E0879" w:rsidRPr="00925DF4" w:rsidRDefault="006E0879" w:rsidP="00AB3D40">
            <w:pPr>
              <w:spacing w:before="60"/>
              <w:jc w:val="center"/>
              <w:rPr>
                <w:rFonts w:eastAsia="SimSun" w:cs="Arial"/>
                <w:color w:val="1D1D1B" w:themeColor="text1"/>
                <w:lang w:eastAsia="en-GB"/>
              </w:rPr>
            </w:pPr>
            <w:r>
              <w:rPr>
                <w:rFonts w:eastAsia="SimSun" w:cs="Arial"/>
                <w:color w:val="1D1D1B" w:themeColor="text1"/>
                <w:lang w:eastAsia="en-GB"/>
              </w:rPr>
              <w:t>9</w:t>
            </w:r>
          </w:p>
        </w:tc>
      </w:tr>
      <w:tr w:rsidR="006E0879" w:rsidRPr="00925DF4" w14:paraId="2996A232"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01F0FE54" w14:textId="77777777" w:rsidR="006E0879" w:rsidRPr="00925DF4" w:rsidRDefault="006E0879" w:rsidP="00AB3D40">
            <w:pPr>
              <w:spacing w:before="60"/>
              <w:rPr>
                <w:rFonts w:eastAsia="SimSun" w:cs="Arial"/>
                <w:color w:val="1D1D1B" w:themeColor="text1"/>
                <w:lang w:eastAsia="en-GB"/>
              </w:rPr>
            </w:pPr>
            <w:r w:rsidRPr="00925DF4">
              <w:rPr>
                <w:rFonts w:eastAsia="SimSun" w:cs="Arial"/>
                <w:color w:val="1D1D1B" w:themeColor="text1"/>
                <w:lang w:eastAsia="en-GB"/>
              </w:rPr>
              <w:t>1,000-2,499</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15599ADC"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10</w:t>
            </w:r>
          </w:p>
        </w:tc>
      </w:tr>
      <w:tr w:rsidR="006E0879" w:rsidRPr="00925DF4" w14:paraId="65AD0800"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tcPr>
          <w:p w14:paraId="12D93275" w14:textId="77777777" w:rsidR="006E0879" w:rsidRPr="00925DF4" w:rsidRDefault="006E0879" w:rsidP="00AB3D40">
            <w:pPr>
              <w:spacing w:before="60"/>
              <w:rPr>
                <w:rFonts w:eastAsia="SimSun" w:cs="Arial"/>
                <w:color w:val="1D1D1B" w:themeColor="text1"/>
                <w:lang w:eastAsia="en-GB"/>
              </w:rPr>
            </w:pPr>
            <w:r w:rsidRPr="00925DF4">
              <w:rPr>
                <w:rFonts w:eastAsia="SimSun" w:cs="Arial"/>
                <w:color w:val="1D1D1B" w:themeColor="text1"/>
                <w:lang w:eastAsia="en-GB"/>
              </w:rPr>
              <w:t>2,500-4,999</w:t>
            </w:r>
          </w:p>
        </w:tc>
        <w:tc>
          <w:tcPr>
            <w:tcW w:w="556" w:type="pct"/>
            <w:tcBorders>
              <w:top w:val="single" w:sz="4" w:space="0" w:color="000000"/>
              <w:left w:val="single" w:sz="4" w:space="0" w:color="000000"/>
              <w:bottom w:val="single" w:sz="4" w:space="0" w:color="000000"/>
              <w:right w:val="single" w:sz="4" w:space="0" w:color="000000"/>
            </w:tcBorders>
            <w:vAlign w:val="center"/>
          </w:tcPr>
          <w:p w14:paraId="31716143"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11</w:t>
            </w:r>
          </w:p>
        </w:tc>
      </w:tr>
      <w:tr w:rsidR="006E0879" w:rsidRPr="00925DF4" w14:paraId="413B8D5F"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tcPr>
          <w:p w14:paraId="3A18DED6" w14:textId="77777777" w:rsidR="006E0879" w:rsidRPr="00925DF4" w:rsidRDefault="006E0879" w:rsidP="00AB3D40">
            <w:pPr>
              <w:spacing w:before="60"/>
              <w:rPr>
                <w:rFonts w:eastAsia="SimSun" w:cs="Arial"/>
                <w:color w:val="1D1D1B" w:themeColor="text1"/>
                <w:lang w:eastAsia="en-GB"/>
              </w:rPr>
            </w:pPr>
            <w:r w:rsidRPr="00925DF4">
              <w:rPr>
                <w:rFonts w:eastAsia="SimSun" w:cs="Arial"/>
                <w:color w:val="1D1D1B" w:themeColor="text1"/>
                <w:lang w:eastAsia="en-GB"/>
              </w:rPr>
              <w:t>5,000 or more</w:t>
            </w:r>
          </w:p>
        </w:tc>
        <w:tc>
          <w:tcPr>
            <w:tcW w:w="556" w:type="pct"/>
            <w:tcBorders>
              <w:top w:val="single" w:sz="4" w:space="0" w:color="000000"/>
              <w:left w:val="single" w:sz="4" w:space="0" w:color="000000"/>
              <w:bottom w:val="single" w:sz="4" w:space="0" w:color="000000"/>
              <w:right w:val="single" w:sz="4" w:space="0" w:color="000000"/>
            </w:tcBorders>
            <w:vAlign w:val="center"/>
          </w:tcPr>
          <w:p w14:paraId="672994BA"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12</w:t>
            </w:r>
          </w:p>
        </w:tc>
      </w:tr>
      <w:tr w:rsidR="006E0879" w:rsidRPr="00925DF4" w14:paraId="1E5A71D8"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24AB3B46" w14:textId="77777777" w:rsidR="006E0879" w:rsidRPr="00925DF4" w:rsidRDefault="006E0879" w:rsidP="00AB3D40">
            <w:pPr>
              <w:spacing w:before="60"/>
              <w:rPr>
                <w:rFonts w:eastAsia="SimSun" w:cs="Arial"/>
                <w:color w:val="1D1D1B" w:themeColor="text1"/>
                <w:lang w:eastAsia="en-GB"/>
              </w:rPr>
            </w:pPr>
            <w:r w:rsidRPr="00925DF4">
              <w:rPr>
                <w:rFonts w:eastAsia="SimSun" w:cs="Arial"/>
                <w:color w:val="1D1D1B" w:themeColor="text1"/>
                <w:lang w:eastAsia="en-GB"/>
              </w:rPr>
              <w:t>Don’t know</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580DA406"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98</w:t>
            </w:r>
          </w:p>
        </w:tc>
      </w:tr>
      <w:tr w:rsidR="006E0879" w:rsidRPr="00925DF4" w14:paraId="1C587867" w14:textId="77777777" w:rsidTr="00AB3D40">
        <w:tc>
          <w:tcPr>
            <w:tcW w:w="4444" w:type="pct"/>
            <w:tcBorders>
              <w:top w:val="single" w:sz="4" w:space="0" w:color="000000"/>
              <w:left w:val="single" w:sz="4" w:space="0" w:color="000000"/>
              <w:bottom w:val="single" w:sz="4" w:space="0" w:color="000000"/>
              <w:right w:val="single" w:sz="4" w:space="0" w:color="000000"/>
            </w:tcBorders>
            <w:vAlign w:val="center"/>
            <w:hideMark/>
          </w:tcPr>
          <w:p w14:paraId="0ECE2205" w14:textId="77777777" w:rsidR="006E0879" w:rsidRPr="00925DF4" w:rsidRDefault="006E0879" w:rsidP="00AB3D40">
            <w:pPr>
              <w:spacing w:before="60"/>
              <w:rPr>
                <w:rFonts w:eastAsia="SimSun" w:cs="Arial"/>
                <w:color w:val="1D1D1B" w:themeColor="text1"/>
                <w:lang w:eastAsia="en-GB"/>
              </w:rPr>
            </w:pPr>
            <w:r w:rsidRPr="00925DF4">
              <w:rPr>
                <w:rFonts w:eastAsia="SimSun" w:cs="Arial"/>
                <w:color w:val="1D1D1B" w:themeColor="text1"/>
                <w:lang w:eastAsia="en-GB"/>
              </w:rPr>
              <w:t>Refused</w:t>
            </w:r>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14FBD649" w14:textId="77777777" w:rsidR="006E0879" w:rsidRPr="00925DF4" w:rsidRDefault="006E0879" w:rsidP="00AB3D40">
            <w:pPr>
              <w:spacing w:before="60"/>
              <w:jc w:val="center"/>
              <w:rPr>
                <w:rFonts w:eastAsia="SimSun" w:cs="Arial"/>
                <w:color w:val="1D1D1B" w:themeColor="text1"/>
                <w:lang w:eastAsia="en-GB"/>
              </w:rPr>
            </w:pPr>
            <w:r w:rsidRPr="00925DF4">
              <w:rPr>
                <w:rFonts w:eastAsia="SimSun" w:cs="Arial"/>
                <w:color w:val="1D1D1B" w:themeColor="text1"/>
                <w:lang w:eastAsia="en-GB"/>
              </w:rPr>
              <w:t>99</w:t>
            </w:r>
          </w:p>
        </w:tc>
      </w:tr>
    </w:tbl>
    <w:p w14:paraId="090FBEA5" w14:textId="77777777" w:rsidR="006E0879" w:rsidRDefault="006E0879" w:rsidP="006E0879">
      <w:pPr>
        <w:spacing w:after="160" w:line="259" w:lineRule="auto"/>
        <w:rPr>
          <w:rFonts w:cs="Arial"/>
          <w:color w:val="FF0000"/>
        </w:rPr>
      </w:pPr>
    </w:p>
    <w:p w14:paraId="3C116E66" w14:textId="77777777" w:rsidR="006E0879" w:rsidRDefault="006E0879" w:rsidP="006E0879">
      <w:pPr>
        <w:spacing w:after="160" w:line="259" w:lineRule="auto"/>
        <w:rPr>
          <w:rFonts w:cs="Arial"/>
          <w:color w:val="FF0000"/>
        </w:rPr>
      </w:pPr>
      <w:r>
        <w:rPr>
          <w:rFonts w:cs="Arial"/>
          <w:color w:val="FF0000"/>
        </w:rPr>
        <w:t xml:space="preserve">SHOW TO ALL - INFO SCREEN 2020-2021: </w:t>
      </w:r>
    </w:p>
    <w:p w14:paraId="03C50A36" w14:textId="68511EC4" w:rsidR="006E0879" w:rsidRDefault="006E0879" w:rsidP="006E0879">
      <w:pPr>
        <w:spacing w:after="160" w:line="259" w:lineRule="auto"/>
        <w:rPr>
          <w:rFonts w:cs="Arial"/>
          <w:color w:val="FF0000"/>
        </w:rPr>
      </w:pPr>
      <w:r w:rsidRPr="00260118">
        <w:rPr>
          <w:rFonts w:cs="Arial"/>
          <w:color w:val="FF0000"/>
        </w:rPr>
        <w:t xml:space="preserve">We would now like to ask about turnover and the number of employees within your organisation in the financial year 2020-21. </w:t>
      </w:r>
      <w:r w:rsidRPr="00F92865">
        <w:rPr>
          <w:rFonts w:cs="Arial"/>
          <w:color w:val="1D1D1B" w:themeColor="text1"/>
          <w:lang w:eastAsia="en-GB"/>
        </w:rPr>
        <w:t>This was the financial year in which the pandemic started (i.e.</w:t>
      </w:r>
      <w:r>
        <w:rPr>
          <w:rFonts w:cs="Arial"/>
          <w:color w:val="1D1D1B" w:themeColor="text1"/>
          <w:lang w:eastAsia="en-GB"/>
        </w:rPr>
        <w:t xml:space="preserve"> two years </w:t>
      </w:r>
      <w:r w:rsidRPr="00F92865">
        <w:rPr>
          <w:rFonts w:cs="Arial"/>
          <w:color w:val="1D1D1B" w:themeColor="text1"/>
          <w:lang w:eastAsia="en-GB"/>
        </w:rPr>
        <w:t xml:space="preserve"> before the last financial year)</w:t>
      </w:r>
    </w:p>
    <w:p w14:paraId="6CE8171A" w14:textId="30BEC16B" w:rsidR="006E0879" w:rsidRPr="00C31D26" w:rsidRDefault="006E0879" w:rsidP="006E0879">
      <w:pPr>
        <w:rPr>
          <w:rFonts w:cs="Arial"/>
          <w:color w:val="FF0000"/>
        </w:rPr>
      </w:pPr>
      <w:r w:rsidRPr="00925DF4">
        <w:rPr>
          <w:rFonts w:cs="Arial"/>
          <w:color w:val="FF0000"/>
        </w:rPr>
        <w:t>ASK ALL – REPEAT S4-S</w:t>
      </w:r>
      <w:r>
        <w:rPr>
          <w:rFonts w:cs="Arial"/>
          <w:color w:val="FF0000"/>
        </w:rPr>
        <w:t>5</w:t>
      </w:r>
      <w:r w:rsidRPr="00925DF4">
        <w:rPr>
          <w:rFonts w:cs="Arial"/>
          <w:color w:val="FF0000"/>
        </w:rPr>
        <w:t xml:space="preserve"> AND ASK:</w:t>
      </w:r>
    </w:p>
    <w:p w14:paraId="753CE054" w14:textId="6F283827" w:rsidR="006E0879" w:rsidRDefault="006E0879" w:rsidP="006E0879">
      <w:pPr>
        <w:rPr>
          <w:rFonts w:cs="Arial"/>
          <w:b/>
          <w:bCs/>
        </w:rPr>
      </w:pPr>
      <w:r w:rsidRPr="00925DF4">
        <w:rPr>
          <w:rFonts w:cs="Arial"/>
          <w:b/>
          <w:bCs/>
          <w:lang w:eastAsia="en-GB"/>
        </w:rPr>
        <w:t>S4</w:t>
      </w:r>
      <w:r>
        <w:rPr>
          <w:rFonts w:cs="Arial"/>
          <w:b/>
          <w:bCs/>
          <w:lang w:eastAsia="en-GB"/>
        </w:rPr>
        <w:t>_BB</w:t>
      </w:r>
      <w:r w:rsidRPr="00925DF4">
        <w:rPr>
          <w:rFonts w:cs="Arial"/>
          <w:b/>
          <w:bCs/>
          <w:lang w:eastAsia="en-GB"/>
        </w:rPr>
        <w:t xml:space="preserve"> </w:t>
      </w:r>
      <w:r w:rsidRPr="00925DF4">
        <w:rPr>
          <w:rFonts w:cs="Arial"/>
          <w:b/>
          <w:bCs/>
        </w:rPr>
        <w:t xml:space="preserve">What was the approximate turnover of your business in </w:t>
      </w:r>
      <w:r>
        <w:rPr>
          <w:rFonts w:cs="Arial"/>
          <w:b/>
          <w:bCs/>
        </w:rPr>
        <w:t>the financial year 2020-21?</w:t>
      </w:r>
    </w:p>
    <w:p w14:paraId="5D62687C" w14:textId="09EE2493" w:rsidR="006E0879" w:rsidRPr="00925DF4" w:rsidRDefault="006E0879" w:rsidP="006E0879">
      <w:pPr>
        <w:rPr>
          <w:rFonts w:cs="Arial"/>
          <w:color w:val="F06603" w:themeColor="accent6"/>
        </w:rPr>
      </w:pPr>
      <w:r w:rsidRPr="00925DF4">
        <w:rPr>
          <w:rFonts w:cs="Arial"/>
          <w:color w:val="F06603" w:themeColor="accent6"/>
        </w:rPr>
        <w:t>TYPE IN AMOUNT IN £</w:t>
      </w:r>
    </w:p>
    <w:p w14:paraId="320A87DA" w14:textId="1129EAA1" w:rsidR="006E0879" w:rsidRPr="00925DF4" w:rsidRDefault="006E0879" w:rsidP="006E0879">
      <w:pPr>
        <w:rPr>
          <w:rFonts w:cs="Arial"/>
          <w:color w:val="F06603" w:themeColor="accent6"/>
          <w:lang w:eastAsia="en-GB"/>
        </w:rPr>
      </w:pPr>
      <w:r w:rsidRPr="00925DF4">
        <w:rPr>
          <w:rFonts w:cs="Arial"/>
          <w:color w:val="FF0000"/>
          <w:lang w:eastAsia="en-GB"/>
        </w:rPr>
        <w:t>ALLOWED RANGE 0-999,999,999</w:t>
      </w:r>
    </w:p>
    <w:p w14:paraId="0405694D" w14:textId="55A0CB53" w:rsidR="006E0879" w:rsidRPr="00925DF4" w:rsidRDefault="006E0879" w:rsidP="006E0879">
      <w:pPr>
        <w:rPr>
          <w:rFonts w:cs="Arial"/>
          <w:color w:val="F06603" w:themeColor="accent6"/>
          <w:lang w:eastAsia="en-GB"/>
        </w:rPr>
      </w:pPr>
      <w:r w:rsidRPr="00925DF4">
        <w:rPr>
          <w:rFonts w:cs="Arial"/>
          <w:color w:val="F06603" w:themeColor="accent6"/>
          <w:lang w:eastAsia="en-GB"/>
        </w:rPr>
        <w:t>INTERVIEWER NOTE: PLEASE READ BACK FIGURE TO RESPONDENT AND DOUBLE CHECK CORRECT NUMBER OF ZEROS</w:t>
      </w:r>
    </w:p>
    <w:p w14:paraId="159017FC" w14:textId="4CD1ACA5" w:rsidR="006E0879" w:rsidRPr="00C31D26" w:rsidRDefault="006E0879" w:rsidP="006E0879">
      <w:pPr>
        <w:rPr>
          <w:rFonts w:cs="Arial"/>
          <w:color w:val="F06603" w:themeColor="accent6"/>
          <w:lang w:eastAsia="en-GB"/>
        </w:rPr>
      </w:pPr>
      <w:r w:rsidRPr="00925DF4">
        <w:rPr>
          <w:rFonts w:cs="Arial"/>
          <w:color w:val="F06603" w:themeColor="accent6"/>
          <w:lang w:eastAsia="en-GB"/>
        </w:rPr>
        <w:t>IF RESPONDENT IS UNSURE ASK THEM TO GIVE A BEST ESTIMATE</w:t>
      </w:r>
    </w:p>
    <w:p w14:paraId="53F4CAAE" w14:textId="77777777" w:rsidR="006E0879" w:rsidRPr="00925DF4" w:rsidRDefault="006E0879" w:rsidP="006E0879">
      <w:pPr>
        <w:rPr>
          <w:rFonts w:cs="Arial"/>
          <w:lang w:eastAsia="en-GB"/>
        </w:rPr>
      </w:pPr>
      <w:r w:rsidRPr="00925DF4">
        <w:rPr>
          <w:rFonts w:cs="Arial"/>
          <w:lang w:eastAsia="en-GB"/>
        </w:rPr>
        <w:t>Don’t know</w:t>
      </w:r>
      <w:r w:rsidRPr="00925DF4">
        <w:rPr>
          <w:rFonts w:cs="Arial"/>
          <w:lang w:eastAsia="en-GB"/>
        </w:rPr>
        <w:tab/>
        <w:t xml:space="preserve">98 </w:t>
      </w:r>
    </w:p>
    <w:p w14:paraId="71104E86" w14:textId="77777777" w:rsidR="006E0879" w:rsidRPr="0042457C" w:rsidRDefault="006E0879" w:rsidP="006E0879">
      <w:pPr>
        <w:spacing w:after="160" w:line="259" w:lineRule="auto"/>
        <w:rPr>
          <w:rFonts w:cs="Arial"/>
        </w:rPr>
      </w:pPr>
      <w:r w:rsidRPr="00925DF4">
        <w:rPr>
          <w:rFonts w:cs="Arial"/>
          <w:lang w:eastAsia="en-GB"/>
        </w:rPr>
        <w:t>Refused</w:t>
      </w:r>
      <w:r w:rsidRPr="00925DF4">
        <w:rPr>
          <w:rFonts w:cs="Arial"/>
          <w:lang w:eastAsia="en-GB"/>
        </w:rPr>
        <w:tab/>
        <w:t>99</w:t>
      </w:r>
    </w:p>
    <w:p w14:paraId="19A1584D" w14:textId="77777777" w:rsidR="006E0879" w:rsidRPr="0042457C" w:rsidRDefault="006E0879" w:rsidP="006E0879">
      <w:pPr>
        <w:spacing w:after="160" w:line="259" w:lineRule="auto"/>
        <w:rPr>
          <w:rFonts w:cs="Arial"/>
          <w:color w:val="FF0000"/>
        </w:rPr>
      </w:pPr>
      <w:r w:rsidRPr="00925DF4">
        <w:rPr>
          <w:rFonts w:cs="Arial"/>
          <w:color w:val="FF0000"/>
        </w:rPr>
        <w:t>ASK IF DON’T KNOW TURNOVER (98) AT S4</w:t>
      </w:r>
      <w:r>
        <w:rPr>
          <w:rFonts w:cs="Arial"/>
          <w:color w:val="FF0000"/>
        </w:rPr>
        <w:t>_BB</w:t>
      </w:r>
    </w:p>
    <w:p w14:paraId="5DC551EB" w14:textId="77777777" w:rsidR="006E0879" w:rsidRDefault="006E0879" w:rsidP="006E0879">
      <w:pPr>
        <w:rPr>
          <w:rFonts w:cs="Arial"/>
          <w:color w:val="FF0000"/>
          <w:lang w:eastAsia="en-GB"/>
        </w:rPr>
      </w:pPr>
      <w:r w:rsidRPr="00925DF4">
        <w:rPr>
          <w:rFonts w:cs="Arial"/>
          <w:b/>
          <w:bCs/>
        </w:rPr>
        <w:t>S</w:t>
      </w:r>
      <w:r>
        <w:rPr>
          <w:rFonts w:cs="Arial"/>
          <w:b/>
          <w:bCs/>
        </w:rPr>
        <w:t>4</w:t>
      </w:r>
      <w:r w:rsidRPr="00925DF4">
        <w:rPr>
          <w:rFonts w:cs="Arial"/>
          <w:b/>
          <w:bCs/>
        </w:rPr>
        <w:t>S</w:t>
      </w:r>
      <w:r>
        <w:rPr>
          <w:rFonts w:cs="Arial"/>
          <w:b/>
          <w:bCs/>
        </w:rPr>
        <w:t>5</w:t>
      </w:r>
      <w:r w:rsidRPr="00925DF4">
        <w:rPr>
          <w:rFonts w:cs="Arial"/>
          <w:b/>
          <w:bCs/>
        </w:rPr>
        <w:t>_</w:t>
      </w:r>
      <w:r>
        <w:rPr>
          <w:rFonts w:cs="Arial"/>
          <w:b/>
          <w:bCs/>
        </w:rPr>
        <w:t>BB</w:t>
      </w:r>
      <w:r w:rsidRPr="00925DF4">
        <w:rPr>
          <w:rFonts w:cs="Arial"/>
          <w:b/>
          <w:bCs/>
        </w:rPr>
        <w:t xml:space="preserve">.. </w:t>
      </w:r>
      <w:r>
        <w:rPr>
          <w:rFonts w:cs="Arial"/>
          <w:b/>
          <w:bCs/>
        </w:rPr>
        <w:t>Would it have been?</w:t>
      </w:r>
      <w:r>
        <w:rPr>
          <w:rFonts w:cs="Arial"/>
          <w:b/>
          <w:bCs/>
          <w:color w:val="1D1D1B" w:themeColor="text1"/>
          <w:lang w:eastAsia="en-GB"/>
        </w:rPr>
        <w:t xml:space="preserve"> </w:t>
      </w:r>
      <w:r w:rsidRPr="00925DF4">
        <w:rPr>
          <w:rFonts w:cs="Arial"/>
          <w:color w:val="FF0000"/>
          <w:lang w:eastAsia="en-GB"/>
        </w:rPr>
        <w:t xml:space="preserve">REPEAT </w:t>
      </w:r>
      <w:r>
        <w:rPr>
          <w:rFonts w:cs="Arial"/>
          <w:color w:val="FF0000"/>
          <w:lang w:eastAsia="en-GB"/>
        </w:rPr>
        <w:t>BANDS FROM</w:t>
      </w:r>
      <w:r w:rsidRPr="00925DF4">
        <w:rPr>
          <w:rFonts w:cs="Arial"/>
          <w:color w:val="FF0000"/>
          <w:lang w:eastAsia="en-GB"/>
        </w:rPr>
        <w:t xml:space="preserve"> S5</w:t>
      </w:r>
    </w:p>
    <w:p w14:paraId="5E73999E" w14:textId="77777777" w:rsidR="006E0879" w:rsidRDefault="006E0879" w:rsidP="006E0879">
      <w:pPr>
        <w:rPr>
          <w:rFonts w:cs="Arial"/>
          <w:color w:val="FF0000"/>
        </w:rPr>
      </w:pPr>
    </w:p>
    <w:p w14:paraId="13D92BFA" w14:textId="77777777" w:rsidR="006E0879" w:rsidRDefault="006E0879" w:rsidP="006E0879">
      <w:pPr>
        <w:rPr>
          <w:rFonts w:cs="Arial"/>
          <w:color w:val="FF0000"/>
        </w:rPr>
      </w:pPr>
      <w:r>
        <w:rPr>
          <w:rFonts w:cs="Arial"/>
          <w:color w:val="FF0000"/>
        </w:rPr>
        <w:t xml:space="preserve">ASK ALL </w:t>
      </w:r>
    </w:p>
    <w:p w14:paraId="0D78C6AD" w14:textId="77777777" w:rsidR="006E0879" w:rsidRDefault="006E0879" w:rsidP="006E0879">
      <w:pPr>
        <w:spacing w:after="160" w:line="259" w:lineRule="auto"/>
        <w:rPr>
          <w:rFonts w:eastAsia="SimSun" w:cs="Arial"/>
          <w:b/>
          <w:bCs/>
        </w:rPr>
      </w:pPr>
      <w:r w:rsidRPr="00925DF4">
        <w:rPr>
          <w:rFonts w:eastAsia="SimSun" w:cs="Arial"/>
          <w:b/>
          <w:bCs/>
        </w:rPr>
        <w:t>S15</w:t>
      </w:r>
      <w:r>
        <w:rPr>
          <w:rFonts w:eastAsia="SimSun" w:cs="Arial"/>
          <w:b/>
          <w:bCs/>
        </w:rPr>
        <w:t>_BB</w:t>
      </w:r>
      <w:r w:rsidRPr="00925DF4">
        <w:rPr>
          <w:rFonts w:eastAsia="SimSun" w:cs="Arial"/>
          <w:b/>
          <w:bCs/>
        </w:rPr>
        <w:t xml:space="preserve">. How many people were employed at the end of </w:t>
      </w:r>
      <w:r>
        <w:rPr>
          <w:rFonts w:eastAsia="SimSun" w:cs="Arial"/>
          <w:b/>
          <w:bCs/>
        </w:rPr>
        <w:t>the 2020-2021 financial year</w:t>
      </w:r>
      <w:r w:rsidRPr="00925DF4">
        <w:rPr>
          <w:rFonts w:eastAsia="SimSun" w:cs="Arial"/>
          <w:b/>
          <w:bCs/>
        </w:rPr>
        <w:t>?</w:t>
      </w:r>
    </w:p>
    <w:p w14:paraId="2E5B3B60" w14:textId="1F2D33BC" w:rsidR="006E0879" w:rsidRPr="00C31D26" w:rsidRDefault="006E0879" w:rsidP="00C31D26">
      <w:pPr>
        <w:rPr>
          <w:rFonts w:eastAsia="SimSun" w:cs="Arial"/>
        </w:rPr>
      </w:pPr>
      <w:r w:rsidRPr="00925DF4">
        <w:rPr>
          <w:rFonts w:eastAsia="SimSun" w:cs="Arial"/>
          <w:color w:val="F06603" w:themeColor="accent6"/>
        </w:rPr>
        <w:t>NUMBER OR ACCEPT BANDED REPLY IF NOT SURE. [RANGE = 1-99,999]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44"/>
      </w:tblGrid>
      <w:tr w:rsidR="006E0879" w:rsidRPr="00925DF4" w14:paraId="1E3BCE92" w14:textId="77777777" w:rsidTr="00AB3D40">
        <w:tc>
          <w:tcPr>
            <w:tcW w:w="5000" w:type="pct"/>
            <w:tcBorders>
              <w:top w:val="single" w:sz="4" w:space="0" w:color="000000"/>
              <w:left w:val="single" w:sz="4" w:space="0" w:color="000000"/>
              <w:bottom w:val="single" w:sz="4" w:space="0" w:color="000000"/>
              <w:right w:val="single" w:sz="4" w:space="0" w:color="000000"/>
            </w:tcBorders>
          </w:tcPr>
          <w:p w14:paraId="7D019322" w14:textId="77777777" w:rsidR="006E0879" w:rsidRPr="00925DF4" w:rsidRDefault="006E0879" w:rsidP="00AB3D40">
            <w:pPr>
              <w:rPr>
                <w:rFonts w:eastAsia="SimSun" w:cs="Arial"/>
                <w:color w:val="1D1D1B" w:themeColor="text1"/>
                <w:lang w:eastAsia="en-GB"/>
              </w:rPr>
            </w:pPr>
          </w:p>
          <w:p w14:paraId="40768792" w14:textId="77777777" w:rsidR="006E0879" w:rsidRPr="00925DF4" w:rsidRDefault="006E0879" w:rsidP="00AB3D40">
            <w:pPr>
              <w:rPr>
                <w:rFonts w:eastAsia="SimSun" w:cs="Arial"/>
                <w:color w:val="1D1D1B" w:themeColor="text1"/>
                <w:lang w:eastAsia="en-GB"/>
              </w:rPr>
            </w:pPr>
          </w:p>
        </w:tc>
      </w:tr>
    </w:tbl>
    <w:p w14:paraId="77708B68" w14:textId="77777777" w:rsidR="006E0879" w:rsidRPr="00925DF4" w:rsidRDefault="006E0879" w:rsidP="006E0879">
      <w:pPr>
        <w:rPr>
          <w:rFonts w:eastAsia="SimSun" w:cs="Arial"/>
          <w:color w:val="1D1D1B" w:themeColor="text1"/>
        </w:rPr>
      </w:pPr>
    </w:p>
    <w:p w14:paraId="33A102DA" w14:textId="77777777" w:rsidR="006E0879" w:rsidRPr="00925DF4" w:rsidRDefault="006E0879" w:rsidP="006E0879">
      <w:pPr>
        <w:rPr>
          <w:rFonts w:eastAsia="SimSun" w:cs="Arial"/>
        </w:rPr>
      </w:pPr>
      <w:r w:rsidRPr="00925DF4">
        <w:rPr>
          <w:rFonts w:eastAsia="SimSun" w:cs="Arial"/>
        </w:rPr>
        <w:t>Don’t know</w:t>
      </w:r>
      <w:r w:rsidRPr="00925DF4">
        <w:rPr>
          <w:rFonts w:eastAsia="SimSun" w:cs="Arial"/>
        </w:rPr>
        <w:tab/>
      </w:r>
      <w:r w:rsidRPr="00925DF4">
        <w:rPr>
          <w:rFonts w:eastAsia="SimSun" w:cs="Arial"/>
        </w:rPr>
        <w:tab/>
        <w:t xml:space="preserve">98            </w:t>
      </w:r>
    </w:p>
    <w:p w14:paraId="2142D911" w14:textId="11554F15" w:rsidR="006E0879" w:rsidRPr="00C31D26" w:rsidRDefault="006E0879" w:rsidP="006E0879">
      <w:pPr>
        <w:rPr>
          <w:rFonts w:eastAsia="SimSun" w:cs="Arial"/>
        </w:rPr>
      </w:pPr>
      <w:r w:rsidRPr="00925DF4">
        <w:rPr>
          <w:rFonts w:eastAsia="SimSun" w:cs="Arial"/>
        </w:rPr>
        <w:t>Refused</w:t>
      </w:r>
      <w:r w:rsidRPr="00925DF4">
        <w:rPr>
          <w:rFonts w:eastAsia="SimSun" w:cs="Arial"/>
        </w:rPr>
        <w:tab/>
      </w:r>
      <w:r w:rsidRPr="00925DF4">
        <w:rPr>
          <w:rFonts w:eastAsia="SimSun" w:cs="Arial"/>
        </w:rPr>
        <w:tab/>
        <w:t>99</w:t>
      </w:r>
    </w:p>
    <w:p w14:paraId="13088D57" w14:textId="0400CF3F" w:rsidR="006E0879" w:rsidRDefault="006E0879" w:rsidP="00C31D26">
      <w:pPr>
        <w:spacing w:after="160" w:line="259" w:lineRule="auto"/>
        <w:rPr>
          <w:rFonts w:cs="Arial"/>
          <w:color w:val="FF0000"/>
        </w:rPr>
      </w:pPr>
      <w:r w:rsidRPr="00925DF4">
        <w:rPr>
          <w:rFonts w:cs="Arial"/>
          <w:color w:val="FF0000"/>
        </w:rPr>
        <w:t xml:space="preserve">ASK IF DON’T KNOW </w:t>
      </w:r>
      <w:r>
        <w:rPr>
          <w:rFonts w:cs="Arial"/>
          <w:color w:val="FF0000"/>
        </w:rPr>
        <w:t>NUMBER OF EMPLOYEES</w:t>
      </w:r>
      <w:r w:rsidRPr="00925DF4">
        <w:rPr>
          <w:rFonts w:cs="Arial"/>
          <w:color w:val="FF0000"/>
        </w:rPr>
        <w:t xml:space="preserve"> (98) AT S</w:t>
      </w:r>
      <w:r>
        <w:rPr>
          <w:rFonts w:cs="Arial"/>
          <w:color w:val="FF0000"/>
        </w:rPr>
        <w:t>15_BB</w:t>
      </w:r>
    </w:p>
    <w:p w14:paraId="4A230A50" w14:textId="77777777" w:rsidR="006E0879" w:rsidRDefault="006E0879" w:rsidP="006E0879">
      <w:pPr>
        <w:rPr>
          <w:rFonts w:cs="Arial"/>
          <w:color w:val="FF0000"/>
          <w:lang w:eastAsia="en-GB"/>
        </w:rPr>
      </w:pPr>
      <w:r>
        <w:rPr>
          <w:rFonts w:cs="Arial"/>
          <w:color w:val="FF0000"/>
          <w:lang w:eastAsia="en-GB"/>
        </w:rPr>
        <w:t>S16_BB Would it have been?</w:t>
      </w:r>
    </w:p>
    <w:p w14:paraId="62E808C1" w14:textId="3C04D3FE" w:rsidR="006E0879" w:rsidRDefault="006E0879" w:rsidP="006E0879">
      <w:pPr>
        <w:rPr>
          <w:rFonts w:cs="Arial"/>
          <w:color w:val="FF0000"/>
          <w:lang w:eastAsia="en-GB"/>
        </w:rPr>
      </w:pPr>
      <w:r w:rsidRPr="00925DF4">
        <w:rPr>
          <w:rFonts w:cs="Arial"/>
          <w:color w:val="FF0000"/>
          <w:lang w:eastAsia="en-GB"/>
        </w:rPr>
        <w:t xml:space="preserve">REPEAT </w:t>
      </w:r>
      <w:r>
        <w:rPr>
          <w:rFonts w:cs="Arial"/>
          <w:color w:val="FF0000"/>
          <w:lang w:eastAsia="en-GB"/>
        </w:rPr>
        <w:t>BANDS FROM</w:t>
      </w:r>
      <w:r w:rsidRPr="00925DF4">
        <w:rPr>
          <w:rFonts w:cs="Arial"/>
          <w:color w:val="FF0000"/>
          <w:lang w:eastAsia="en-GB"/>
        </w:rPr>
        <w:t xml:space="preserve"> S</w:t>
      </w:r>
      <w:r>
        <w:rPr>
          <w:rFonts w:cs="Arial"/>
          <w:color w:val="FF0000"/>
          <w:lang w:eastAsia="en-GB"/>
        </w:rPr>
        <w:t>16</w:t>
      </w:r>
    </w:p>
    <w:p w14:paraId="7AA4CE78" w14:textId="77777777" w:rsidR="006E0879" w:rsidRDefault="006E0879" w:rsidP="006E0879">
      <w:pPr>
        <w:spacing w:after="160" w:line="259" w:lineRule="auto"/>
        <w:rPr>
          <w:rFonts w:cs="Arial"/>
          <w:color w:val="FF0000"/>
        </w:rPr>
      </w:pPr>
      <w:r>
        <w:rPr>
          <w:rFonts w:cs="Arial"/>
          <w:color w:val="FF0000"/>
        </w:rPr>
        <w:t xml:space="preserve">SHOW TO ALL - INFO SCREEN 2019-2020: </w:t>
      </w:r>
    </w:p>
    <w:p w14:paraId="4AC7395E" w14:textId="4EA38232" w:rsidR="006E0879" w:rsidRDefault="006E0879" w:rsidP="00C31D26">
      <w:pPr>
        <w:spacing w:after="160" w:line="259" w:lineRule="auto"/>
        <w:rPr>
          <w:rFonts w:cs="Arial"/>
          <w:color w:val="FF0000"/>
        </w:rPr>
      </w:pPr>
      <w:r>
        <w:rPr>
          <w:rFonts w:cs="Arial"/>
          <w:color w:val="FF0000"/>
        </w:rPr>
        <w:t>We</w:t>
      </w:r>
      <w:r w:rsidRPr="00260118">
        <w:rPr>
          <w:rFonts w:cs="Arial"/>
          <w:color w:val="FF0000"/>
        </w:rPr>
        <w:t xml:space="preserve"> would now like to ask about turnover and the number of employees within your organisation in the</w:t>
      </w:r>
      <w:r>
        <w:rPr>
          <w:rFonts w:cs="Arial"/>
          <w:color w:val="FF0000"/>
        </w:rPr>
        <w:t xml:space="preserve"> 2019-20</w:t>
      </w:r>
      <w:r w:rsidRPr="00260118">
        <w:rPr>
          <w:rFonts w:cs="Arial"/>
          <w:color w:val="FF0000"/>
        </w:rPr>
        <w:t xml:space="preserve"> financial year. </w:t>
      </w:r>
      <w:r>
        <w:rPr>
          <w:rFonts w:cs="Arial"/>
          <w:color w:val="1D1D1B" w:themeColor="text1"/>
          <w:lang w:eastAsia="en-GB"/>
        </w:rPr>
        <w:t xml:space="preserve">This was the last financial year ending prior to the Covid-19 pandemic. </w:t>
      </w:r>
    </w:p>
    <w:p w14:paraId="57F09D0B" w14:textId="77777777" w:rsidR="006E0879" w:rsidRDefault="006E0879" w:rsidP="006E0879">
      <w:pPr>
        <w:spacing w:after="160" w:line="259" w:lineRule="auto"/>
        <w:rPr>
          <w:rFonts w:cs="Arial"/>
          <w:color w:val="FF0000"/>
        </w:rPr>
      </w:pPr>
      <w:r>
        <w:rPr>
          <w:rFonts w:cs="Arial"/>
          <w:color w:val="FF0000"/>
        </w:rPr>
        <w:t>ASK ALL</w:t>
      </w:r>
    </w:p>
    <w:p w14:paraId="6C30081B" w14:textId="1BA6FDDB" w:rsidR="006E0879" w:rsidRPr="00C31D26" w:rsidRDefault="006E0879" w:rsidP="006E0879">
      <w:pPr>
        <w:rPr>
          <w:rFonts w:cs="Arial"/>
          <w:b/>
          <w:bCs/>
        </w:rPr>
      </w:pPr>
      <w:r w:rsidRPr="00925DF4">
        <w:rPr>
          <w:rFonts w:cs="Arial"/>
          <w:b/>
          <w:bCs/>
          <w:lang w:eastAsia="en-GB"/>
        </w:rPr>
        <w:t>S4</w:t>
      </w:r>
      <w:r>
        <w:rPr>
          <w:rFonts w:cs="Arial"/>
          <w:b/>
          <w:bCs/>
          <w:lang w:eastAsia="en-GB"/>
        </w:rPr>
        <w:t>_CC</w:t>
      </w:r>
      <w:r w:rsidRPr="00925DF4">
        <w:rPr>
          <w:rFonts w:cs="Arial"/>
          <w:b/>
          <w:bCs/>
          <w:lang w:eastAsia="en-GB"/>
        </w:rPr>
        <w:t xml:space="preserve"> </w:t>
      </w:r>
      <w:r w:rsidRPr="00925DF4">
        <w:rPr>
          <w:rFonts w:cs="Arial"/>
          <w:b/>
          <w:bCs/>
        </w:rPr>
        <w:t xml:space="preserve">What was the approximate turnover of your business in </w:t>
      </w:r>
      <w:r>
        <w:rPr>
          <w:rFonts w:cs="Arial"/>
          <w:b/>
          <w:bCs/>
        </w:rPr>
        <w:t>the financial year 2019-20?</w:t>
      </w:r>
    </w:p>
    <w:p w14:paraId="55B39F49" w14:textId="0E7366F5" w:rsidR="006E0879" w:rsidRPr="00925DF4" w:rsidRDefault="006E0879" w:rsidP="006E0879">
      <w:pPr>
        <w:rPr>
          <w:rFonts w:cs="Arial"/>
          <w:color w:val="F06603" w:themeColor="accent6"/>
        </w:rPr>
      </w:pPr>
      <w:r w:rsidRPr="00925DF4">
        <w:rPr>
          <w:rFonts w:cs="Arial"/>
          <w:color w:val="F06603" w:themeColor="accent6"/>
        </w:rPr>
        <w:t>TYPE IN AMOUNT IN £</w:t>
      </w:r>
    </w:p>
    <w:p w14:paraId="01C6F85E" w14:textId="642A2462" w:rsidR="006E0879" w:rsidRPr="00925DF4" w:rsidRDefault="006E0879" w:rsidP="006E0879">
      <w:pPr>
        <w:rPr>
          <w:rFonts w:cs="Arial"/>
          <w:color w:val="F06603" w:themeColor="accent6"/>
          <w:lang w:eastAsia="en-GB"/>
        </w:rPr>
      </w:pPr>
      <w:r w:rsidRPr="00925DF4">
        <w:rPr>
          <w:rFonts w:cs="Arial"/>
          <w:color w:val="FF0000"/>
          <w:lang w:eastAsia="en-GB"/>
        </w:rPr>
        <w:t>ALLOWED RANGE 0-999,999,999</w:t>
      </w:r>
    </w:p>
    <w:p w14:paraId="3D5787B5" w14:textId="56CB307E" w:rsidR="006E0879" w:rsidRPr="00925DF4" w:rsidRDefault="006E0879" w:rsidP="006E0879">
      <w:pPr>
        <w:rPr>
          <w:rFonts w:cs="Arial"/>
          <w:color w:val="F06603" w:themeColor="accent6"/>
          <w:lang w:eastAsia="en-GB"/>
        </w:rPr>
      </w:pPr>
      <w:r w:rsidRPr="00925DF4">
        <w:rPr>
          <w:rFonts w:cs="Arial"/>
          <w:color w:val="F06603" w:themeColor="accent6"/>
          <w:lang w:eastAsia="en-GB"/>
        </w:rPr>
        <w:t>INTERVIEWER NOTE: PLEASE READ BACK FIGURE TO RESPONDENT AND DOUBLE CHECK CORRECT NUMBER OF ZEROS</w:t>
      </w:r>
    </w:p>
    <w:p w14:paraId="6BBFF262" w14:textId="2F96EABB" w:rsidR="006E0879" w:rsidRPr="00C31D26" w:rsidRDefault="006E0879" w:rsidP="006E0879">
      <w:pPr>
        <w:rPr>
          <w:rFonts w:cs="Arial"/>
          <w:color w:val="F06603" w:themeColor="accent6"/>
          <w:lang w:eastAsia="en-GB"/>
        </w:rPr>
      </w:pPr>
      <w:r w:rsidRPr="00925DF4">
        <w:rPr>
          <w:rFonts w:cs="Arial"/>
          <w:color w:val="F06603" w:themeColor="accent6"/>
          <w:lang w:eastAsia="en-GB"/>
        </w:rPr>
        <w:t>IF RESPONDENT IS UNSURE ASK THEM TO GIVE A BEST ESTIMATE</w:t>
      </w:r>
    </w:p>
    <w:p w14:paraId="3DC29AEE" w14:textId="77777777" w:rsidR="006E0879" w:rsidRPr="00925DF4" w:rsidRDefault="006E0879" w:rsidP="006E0879">
      <w:pPr>
        <w:rPr>
          <w:rFonts w:cs="Arial"/>
          <w:lang w:eastAsia="en-GB"/>
        </w:rPr>
      </w:pPr>
      <w:r w:rsidRPr="00925DF4">
        <w:rPr>
          <w:rFonts w:cs="Arial"/>
          <w:lang w:eastAsia="en-GB"/>
        </w:rPr>
        <w:t>Don’t know</w:t>
      </w:r>
      <w:r w:rsidRPr="00925DF4">
        <w:rPr>
          <w:rFonts w:cs="Arial"/>
          <w:lang w:eastAsia="en-GB"/>
        </w:rPr>
        <w:tab/>
        <w:t xml:space="preserve">98 </w:t>
      </w:r>
    </w:p>
    <w:p w14:paraId="6DBE63B7" w14:textId="77777777" w:rsidR="006E0879" w:rsidRPr="001F136C" w:rsidRDefault="006E0879" w:rsidP="006E0879">
      <w:pPr>
        <w:spacing w:after="160" w:line="259" w:lineRule="auto"/>
        <w:rPr>
          <w:rFonts w:cs="Arial"/>
        </w:rPr>
      </w:pPr>
      <w:r w:rsidRPr="00925DF4">
        <w:rPr>
          <w:rFonts w:cs="Arial"/>
          <w:lang w:eastAsia="en-GB"/>
        </w:rPr>
        <w:t>Refused</w:t>
      </w:r>
      <w:r w:rsidRPr="00925DF4">
        <w:rPr>
          <w:rFonts w:cs="Arial"/>
          <w:lang w:eastAsia="en-GB"/>
        </w:rPr>
        <w:tab/>
        <w:t>99</w:t>
      </w:r>
    </w:p>
    <w:p w14:paraId="3C0459B8" w14:textId="77777777" w:rsidR="006E0879" w:rsidRPr="001F136C" w:rsidRDefault="006E0879" w:rsidP="006E0879">
      <w:pPr>
        <w:spacing w:after="160" w:line="259" w:lineRule="auto"/>
        <w:rPr>
          <w:rFonts w:cs="Arial"/>
          <w:color w:val="FF0000"/>
        </w:rPr>
      </w:pPr>
      <w:r w:rsidRPr="00925DF4">
        <w:rPr>
          <w:rFonts w:cs="Arial"/>
          <w:color w:val="FF0000"/>
        </w:rPr>
        <w:t>ASK IF DON’T KNOW TURNOVER (98) AT S4</w:t>
      </w:r>
      <w:r>
        <w:rPr>
          <w:rFonts w:cs="Arial"/>
          <w:color w:val="FF0000"/>
        </w:rPr>
        <w:t>_CC</w:t>
      </w:r>
    </w:p>
    <w:p w14:paraId="0DF2B39A" w14:textId="77777777" w:rsidR="006E0879" w:rsidRDefault="006E0879" w:rsidP="006E0879">
      <w:pPr>
        <w:rPr>
          <w:rFonts w:cs="Arial"/>
          <w:color w:val="FF0000"/>
          <w:lang w:eastAsia="en-GB"/>
        </w:rPr>
      </w:pPr>
      <w:r w:rsidRPr="00925DF4">
        <w:rPr>
          <w:rFonts w:cs="Arial"/>
          <w:b/>
          <w:bCs/>
        </w:rPr>
        <w:t>S</w:t>
      </w:r>
      <w:r>
        <w:rPr>
          <w:rFonts w:cs="Arial"/>
          <w:b/>
          <w:bCs/>
        </w:rPr>
        <w:t>4</w:t>
      </w:r>
      <w:r w:rsidRPr="00925DF4">
        <w:rPr>
          <w:rFonts w:cs="Arial"/>
          <w:b/>
          <w:bCs/>
        </w:rPr>
        <w:t>S</w:t>
      </w:r>
      <w:r>
        <w:rPr>
          <w:rFonts w:cs="Arial"/>
          <w:b/>
          <w:bCs/>
        </w:rPr>
        <w:t>5</w:t>
      </w:r>
      <w:r w:rsidRPr="00925DF4">
        <w:rPr>
          <w:rFonts w:cs="Arial"/>
          <w:b/>
          <w:bCs/>
        </w:rPr>
        <w:t>_</w:t>
      </w:r>
      <w:r>
        <w:rPr>
          <w:rFonts w:cs="Arial"/>
          <w:b/>
          <w:bCs/>
        </w:rPr>
        <w:t>CC</w:t>
      </w:r>
      <w:r w:rsidRPr="00925DF4">
        <w:rPr>
          <w:rFonts w:cs="Arial"/>
          <w:b/>
          <w:bCs/>
        </w:rPr>
        <w:t xml:space="preserve">.. </w:t>
      </w:r>
      <w:r>
        <w:rPr>
          <w:rFonts w:cs="Arial"/>
          <w:b/>
          <w:bCs/>
        </w:rPr>
        <w:t>Would it have been?</w:t>
      </w:r>
      <w:r>
        <w:rPr>
          <w:rFonts w:cs="Arial"/>
          <w:b/>
          <w:bCs/>
          <w:color w:val="1D1D1B" w:themeColor="text1"/>
          <w:lang w:eastAsia="en-GB"/>
        </w:rPr>
        <w:t xml:space="preserve"> </w:t>
      </w:r>
      <w:r w:rsidRPr="00925DF4">
        <w:rPr>
          <w:rFonts w:cs="Arial"/>
          <w:color w:val="FF0000"/>
          <w:lang w:eastAsia="en-GB"/>
        </w:rPr>
        <w:t xml:space="preserve">REPEAT </w:t>
      </w:r>
      <w:r>
        <w:rPr>
          <w:rFonts w:cs="Arial"/>
          <w:color w:val="FF0000"/>
          <w:lang w:eastAsia="en-GB"/>
        </w:rPr>
        <w:t>BANDS FROM</w:t>
      </w:r>
      <w:r w:rsidRPr="00925DF4">
        <w:rPr>
          <w:rFonts w:cs="Arial"/>
          <w:color w:val="FF0000"/>
          <w:lang w:eastAsia="en-GB"/>
        </w:rPr>
        <w:t xml:space="preserve"> S5</w:t>
      </w:r>
    </w:p>
    <w:p w14:paraId="2E6DD5E6" w14:textId="77777777" w:rsidR="006E0879" w:rsidRDefault="006E0879" w:rsidP="006E0879">
      <w:pPr>
        <w:rPr>
          <w:rFonts w:cs="Arial"/>
          <w:color w:val="FF0000"/>
        </w:rPr>
      </w:pPr>
      <w:r>
        <w:rPr>
          <w:rFonts w:cs="Arial"/>
          <w:color w:val="FF0000"/>
        </w:rPr>
        <w:t xml:space="preserve">ASK ALL </w:t>
      </w:r>
    </w:p>
    <w:p w14:paraId="46B3AE33" w14:textId="77777777" w:rsidR="006E0879" w:rsidRDefault="006E0879" w:rsidP="006E0879">
      <w:pPr>
        <w:spacing w:after="160" w:line="259" w:lineRule="auto"/>
        <w:rPr>
          <w:rFonts w:eastAsia="SimSun" w:cs="Arial"/>
          <w:b/>
          <w:bCs/>
        </w:rPr>
      </w:pPr>
      <w:r w:rsidRPr="00925DF4">
        <w:rPr>
          <w:rFonts w:eastAsia="SimSun" w:cs="Arial"/>
          <w:b/>
          <w:bCs/>
        </w:rPr>
        <w:t>S15</w:t>
      </w:r>
      <w:r>
        <w:rPr>
          <w:rFonts w:eastAsia="SimSun" w:cs="Arial"/>
          <w:b/>
          <w:bCs/>
        </w:rPr>
        <w:t>_CC</w:t>
      </w:r>
      <w:r w:rsidRPr="00925DF4">
        <w:rPr>
          <w:rFonts w:eastAsia="SimSun" w:cs="Arial"/>
          <w:b/>
          <w:bCs/>
        </w:rPr>
        <w:t xml:space="preserve">. How many people were employed at the end of </w:t>
      </w:r>
      <w:r>
        <w:rPr>
          <w:rFonts w:eastAsia="SimSun" w:cs="Arial"/>
          <w:b/>
          <w:bCs/>
        </w:rPr>
        <w:t>the 2029-2020 financial year</w:t>
      </w:r>
      <w:r w:rsidRPr="00925DF4">
        <w:rPr>
          <w:rFonts w:eastAsia="SimSun" w:cs="Arial"/>
          <w:b/>
          <w:bCs/>
        </w:rPr>
        <w:t>?</w:t>
      </w:r>
    </w:p>
    <w:p w14:paraId="7694054B" w14:textId="5BD1C009" w:rsidR="006E0879" w:rsidRPr="00C31D26" w:rsidRDefault="006E0879" w:rsidP="00C31D26">
      <w:pPr>
        <w:rPr>
          <w:rFonts w:eastAsia="SimSun" w:cs="Arial"/>
        </w:rPr>
      </w:pPr>
      <w:r w:rsidRPr="00925DF4">
        <w:rPr>
          <w:rFonts w:eastAsia="SimSun" w:cs="Arial"/>
          <w:color w:val="F06603" w:themeColor="accent6"/>
        </w:rPr>
        <w:t>NUMBER OR ACCEPT BANDED REPLY IF NOT SURE. [RANGE = 1-99,999]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44"/>
      </w:tblGrid>
      <w:tr w:rsidR="006E0879" w:rsidRPr="00925DF4" w14:paraId="464AEF82" w14:textId="77777777" w:rsidTr="00AB3D40">
        <w:tc>
          <w:tcPr>
            <w:tcW w:w="5000" w:type="pct"/>
            <w:tcBorders>
              <w:top w:val="single" w:sz="4" w:space="0" w:color="000000"/>
              <w:left w:val="single" w:sz="4" w:space="0" w:color="000000"/>
              <w:bottom w:val="single" w:sz="4" w:space="0" w:color="000000"/>
              <w:right w:val="single" w:sz="4" w:space="0" w:color="000000"/>
            </w:tcBorders>
          </w:tcPr>
          <w:p w14:paraId="279C144B" w14:textId="77777777" w:rsidR="006E0879" w:rsidRPr="00925DF4" w:rsidRDefault="006E0879" w:rsidP="00AB3D40">
            <w:pPr>
              <w:rPr>
                <w:rFonts w:eastAsia="SimSun" w:cs="Arial"/>
                <w:color w:val="1D1D1B" w:themeColor="text1"/>
                <w:lang w:eastAsia="en-GB"/>
              </w:rPr>
            </w:pPr>
          </w:p>
          <w:p w14:paraId="29C35970" w14:textId="77777777" w:rsidR="006E0879" w:rsidRPr="00925DF4" w:rsidRDefault="006E0879" w:rsidP="00AB3D40">
            <w:pPr>
              <w:rPr>
                <w:rFonts w:eastAsia="SimSun" w:cs="Arial"/>
                <w:color w:val="1D1D1B" w:themeColor="text1"/>
                <w:lang w:eastAsia="en-GB"/>
              </w:rPr>
            </w:pPr>
          </w:p>
        </w:tc>
      </w:tr>
    </w:tbl>
    <w:p w14:paraId="43D3358E" w14:textId="77777777" w:rsidR="006E0879" w:rsidRPr="00925DF4" w:rsidRDefault="006E0879" w:rsidP="006E0879">
      <w:pPr>
        <w:rPr>
          <w:rFonts w:eastAsia="SimSun" w:cs="Arial"/>
          <w:color w:val="1D1D1B" w:themeColor="text1"/>
        </w:rPr>
      </w:pPr>
    </w:p>
    <w:p w14:paraId="18BA4E92" w14:textId="77777777" w:rsidR="006E0879" w:rsidRPr="00925DF4" w:rsidRDefault="006E0879" w:rsidP="006E0879">
      <w:pPr>
        <w:rPr>
          <w:rFonts w:eastAsia="SimSun" w:cs="Arial"/>
        </w:rPr>
      </w:pPr>
      <w:r w:rsidRPr="00925DF4">
        <w:rPr>
          <w:rFonts w:eastAsia="SimSun" w:cs="Arial"/>
        </w:rPr>
        <w:t>Don’t know</w:t>
      </w:r>
      <w:r w:rsidRPr="00925DF4">
        <w:rPr>
          <w:rFonts w:eastAsia="SimSun" w:cs="Arial"/>
        </w:rPr>
        <w:tab/>
      </w:r>
      <w:r w:rsidRPr="00925DF4">
        <w:rPr>
          <w:rFonts w:eastAsia="SimSun" w:cs="Arial"/>
        </w:rPr>
        <w:tab/>
        <w:t xml:space="preserve">98            </w:t>
      </w:r>
    </w:p>
    <w:p w14:paraId="4445B06E" w14:textId="01CCBD4A" w:rsidR="006E0879" w:rsidRPr="00C31D26" w:rsidRDefault="006E0879" w:rsidP="006E0879">
      <w:pPr>
        <w:rPr>
          <w:rFonts w:eastAsia="SimSun" w:cs="Arial"/>
        </w:rPr>
      </w:pPr>
      <w:r w:rsidRPr="00925DF4">
        <w:rPr>
          <w:rFonts w:eastAsia="SimSun" w:cs="Arial"/>
        </w:rPr>
        <w:t>Refused</w:t>
      </w:r>
      <w:r w:rsidRPr="00925DF4">
        <w:rPr>
          <w:rFonts w:eastAsia="SimSun" w:cs="Arial"/>
        </w:rPr>
        <w:tab/>
      </w:r>
      <w:r w:rsidRPr="00925DF4">
        <w:rPr>
          <w:rFonts w:eastAsia="SimSun" w:cs="Arial"/>
        </w:rPr>
        <w:tab/>
        <w:t>99</w:t>
      </w:r>
    </w:p>
    <w:p w14:paraId="2DB993E7" w14:textId="00D9B9E9" w:rsidR="006E0879" w:rsidRDefault="006E0879" w:rsidP="00C31D26">
      <w:pPr>
        <w:spacing w:after="160" w:line="259" w:lineRule="auto"/>
        <w:rPr>
          <w:rFonts w:cs="Arial"/>
          <w:color w:val="FF0000"/>
        </w:rPr>
      </w:pPr>
      <w:r w:rsidRPr="00925DF4">
        <w:rPr>
          <w:rFonts w:cs="Arial"/>
          <w:color w:val="FF0000"/>
        </w:rPr>
        <w:t xml:space="preserve">ASK IF DON’T KNOW </w:t>
      </w:r>
      <w:r>
        <w:rPr>
          <w:rFonts w:cs="Arial"/>
          <w:color w:val="FF0000"/>
        </w:rPr>
        <w:t>NUMBER OF EMPLOYEES</w:t>
      </w:r>
      <w:r w:rsidRPr="00925DF4">
        <w:rPr>
          <w:rFonts w:cs="Arial"/>
          <w:color w:val="FF0000"/>
        </w:rPr>
        <w:t xml:space="preserve"> (98) AT S</w:t>
      </w:r>
      <w:r>
        <w:rPr>
          <w:rFonts w:cs="Arial"/>
          <w:color w:val="FF0000"/>
        </w:rPr>
        <w:t>15_CC</w:t>
      </w:r>
    </w:p>
    <w:p w14:paraId="436BDDB5" w14:textId="77777777" w:rsidR="006E0879" w:rsidRDefault="006E0879" w:rsidP="006E0879">
      <w:pPr>
        <w:rPr>
          <w:rFonts w:cs="Arial"/>
          <w:color w:val="FF0000"/>
          <w:lang w:eastAsia="en-GB"/>
        </w:rPr>
      </w:pPr>
      <w:r>
        <w:rPr>
          <w:rFonts w:cs="Arial"/>
          <w:color w:val="FF0000"/>
          <w:lang w:eastAsia="en-GB"/>
        </w:rPr>
        <w:t>S16_CC Would it have been?</w:t>
      </w:r>
    </w:p>
    <w:p w14:paraId="5DDFE2B9" w14:textId="1CB00CE3" w:rsidR="006E0879" w:rsidRPr="00C31D26" w:rsidRDefault="006E0879" w:rsidP="00C31D26">
      <w:pPr>
        <w:rPr>
          <w:rFonts w:cs="Arial"/>
          <w:color w:val="FF0000"/>
          <w:lang w:eastAsia="en-GB"/>
        </w:rPr>
      </w:pPr>
      <w:r w:rsidRPr="00925DF4">
        <w:rPr>
          <w:rFonts w:cs="Arial"/>
          <w:color w:val="FF0000"/>
          <w:lang w:eastAsia="en-GB"/>
        </w:rPr>
        <w:t xml:space="preserve">REPEAT </w:t>
      </w:r>
      <w:r>
        <w:rPr>
          <w:rFonts w:cs="Arial"/>
          <w:color w:val="FF0000"/>
          <w:lang w:eastAsia="en-GB"/>
        </w:rPr>
        <w:t>BANDS FROM</w:t>
      </w:r>
      <w:r w:rsidRPr="00925DF4">
        <w:rPr>
          <w:rFonts w:cs="Arial"/>
          <w:color w:val="FF0000"/>
          <w:lang w:eastAsia="en-GB"/>
        </w:rPr>
        <w:t xml:space="preserve"> S</w:t>
      </w:r>
      <w:r>
        <w:rPr>
          <w:rFonts w:cs="Arial"/>
          <w:color w:val="FF0000"/>
          <w:lang w:eastAsia="en-GB"/>
        </w:rPr>
        <w:t>16</w:t>
      </w:r>
    </w:p>
    <w:p w14:paraId="7109C28C" w14:textId="77777777" w:rsidR="006E0879" w:rsidRPr="00925DF4" w:rsidRDefault="006E0879" w:rsidP="006E0879">
      <w:pPr>
        <w:spacing w:after="160" w:line="259" w:lineRule="auto"/>
        <w:rPr>
          <w:rFonts w:cs="Arial"/>
          <w:color w:val="FF0000"/>
        </w:rPr>
      </w:pPr>
      <w:r w:rsidRPr="00925DF4">
        <w:rPr>
          <w:rFonts w:cs="Arial"/>
          <w:color w:val="FF0000"/>
        </w:rPr>
        <w:t>ASK ALL.</w:t>
      </w:r>
    </w:p>
    <w:p w14:paraId="1E7971EB" w14:textId="77777777" w:rsidR="006E0879" w:rsidRPr="00925DF4" w:rsidRDefault="006E0879" w:rsidP="006E0879">
      <w:pPr>
        <w:spacing w:after="160" w:line="259" w:lineRule="auto"/>
        <w:rPr>
          <w:rFonts w:cs="Arial"/>
          <w:color w:val="FF0000"/>
        </w:rPr>
      </w:pPr>
      <w:r w:rsidRPr="00925DF4">
        <w:rPr>
          <w:rFonts w:cs="Arial"/>
          <w:color w:val="FF0000"/>
        </w:rPr>
        <w:t>REPEATS S15-16 FOR:</w:t>
      </w:r>
    </w:p>
    <w:p w14:paraId="3413FDFE" w14:textId="77777777" w:rsidR="006E0879" w:rsidRDefault="006E0879" w:rsidP="006E0879">
      <w:pPr>
        <w:spacing w:after="160" w:line="259" w:lineRule="auto"/>
        <w:rPr>
          <w:rFonts w:eastAsia="SimSun" w:cs="Arial"/>
          <w:b/>
          <w:bCs/>
        </w:rPr>
      </w:pPr>
      <w:bookmarkStart w:id="85" w:name="_Hlk82622492"/>
      <w:r w:rsidRPr="00925DF4">
        <w:rPr>
          <w:rFonts w:eastAsia="SimSun" w:cs="Arial"/>
          <w:b/>
          <w:bCs/>
        </w:rPr>
        <w:t>S1516</w:t>
      </w:r>
      <w:r>
        <w:rPr>
          <w:rFonts w:eastAsia="SimSun" w:cs="Arial"/>
          <w:b/>
          <w:bCs/>
        </w:rPr>
        <w:t>_BB</w:t>
      </w:r>
      <w:r w:rsidRPr="00925DF4">
        <w:rPr>
          <w:rFonts w:eastAsia="SimSun" w:cs="Arial"/>
          <w:b/>
          <w:bCs/>
        </w:rPr>
        <w:t xml:space="preserve">. How many people were employed at the end of </w:t>
      </w:r>
      <w:r>
        <w:rPr>
          <w:rFonts w:eastAsia="SimSun" w:cs="Arial"/>
          <w:b/>
          <w:bCs/>
        </w:rPr>
        <w:t>the 2020-2021 financial year</w:t>
      </w:r>
      <w:r w:rsidRPr="00925DF4">
        <w:rPr>
          <w:rFonts w:eastAsia="SimSun" w:cs="Arial"/>
          <w:b/>
          <w:bCs/>
        </w:rPr>
        <w:t>?</w:t>
      </w:r>
    </w:p>
    <w:p w14:paraId="7E03C6E5" w14:textId="77777777" w:rsidR="006E0879" w:rsidRPr="00925DF4" w:rsidRDefault="006E0879" w:rsidP="006E0879">
      <w:pPr>
        <w:spacing w:after="160" w:line="259" w:lineRule="auto"/>
        <w:rPr>
          <w:rFonts w:eastAsia="SimSun" w:cs="Arial"/>
          <w:b/>
          <w:bCs/>
        </w:rPr>
      </w:pPr>
      <w:r w:rsidRPr="00925DF4">
        <w:rPr>
          <w:rFonts w:eastAsia="SimSun" w:cs="Arial"/>
          <w:b/>
          <w:bCs/>
        </w:rPr>
        <w:t>S1516</w:t>
      </w:r>
      <w:r>
        <w:rPr>
          <w:rFonts w:eastAsia="SimSun" w:cs="Arial"/>
          <w:b/>
          <w:bCs/>
        </w:rPr>
        <w:t>_CC</w:t>
      </w:r>
      <w:bookmarkEnd w:id="85"/>
      <w:r w:rsidRPr="00925DF4">
        <w:rPr>
          <w:rFonts w:eastAsia="SimSun" w:cs="Arial"/>
          <w:b/>
          <w:bCs/>
        </w:rPr>
        <w:t>. How many people were employed at the end of your latest completed financial year ending prior to the Covid-19 pandemic (i.e. 23 March 2020)?</w:t>
      </w:r>
    </w:p>
    <w:p w14:paraId="71F24649" w14:textId="77777777" w:rsidR="006E0879" w:rsidRPr="00925DF4" w:rsidRDefault="006E0879" w:rsidP="006E0879">
      <w:pPr>
        <w:spacing w:after="160" w:line="259" w:lineRule="auto"/>
        <w:rPr>
          <w:rFonts w:cs="Arial"/>
          <w:color w:val="FF0000"/>
        </w:rPr>
      </w:pPr>
      <w:r w:rsidRPr="00925DF4">
        <w:rPr>
          <w:rFonts w:eastAsia="SimSun" w:cs="Arial"/>
          <w:color w:val="FF0000"/>
        </w:rPr>
        <w:t xml:space="preserve">REPEAT </w:t>
      </w:r>
      <w:r>
        <w:rPr>
          <w:rFonts w:eastAsia="SimSun" w:cs="Arial"/>
          <w:color w:val="FF0000"/>
        </w:rPr>
        <w:t>BANDS AT</w:t>
      </w:r>
      <w:r w:rsidRPr="00925DF4">
        <w:rPr>
          <w:rFonts w:eastAsia="SimSun" w:cs="Arial"/>
          <w:color w:val="FF0000"/>
        </w:rPr>
        <w:t xml:space="preserve"> S16</w:t>
      </w:r>
    </w:p>
    <w:p w14:paraId="767F4B8A" w14:textId="77777777" w:rsidR="006E0879" w:rsidRPr="00925DF4" w:rsidRDefault="006E0879" w:rsidP="006E0879">
      <w:pPr>
        <w:spacing w:after="160" w:line="259" w:lineRule="auto"/>
        <w:rPr>
          <w:rFonts w:cs="Arial"/>
          <w:color w:val="FF0000"/>
        </w:rPr>
      </w:pPr>
      <w:r w:rsidRPr="00925DF4">
        <w:rPr>
          <w:rFonts w:cs="Arial"/>
          <w:color w:val="FF0000"/>
        </w:rPr>
        <w:t xml:space="preserve">ASK ALL </w:t>
      </w:r>
    </w:p>
    <w:p w14:paraId="0C81D211" w14:textId="77777777" w:rsidR="006E0879" w:rsidRPr="00925DF4" w:rsidRDefault="006E0879" w:rsidP="006E0879">
      <w:pPr>
        <w:rPr>
          <w:rFonts w:cs="Arial"/>
        </w:rPr>
      </w:pPr>
      <w:r w:rsidRPr="00925DF4">
        <w:rPr>
          <w:rFonts w:cs="Arial"/>
          <w:b/>
          <w:bCs/>
        </w:rPr>
        <w:t xml:space="preserve">S17 What is the legal status of your business? </w:t>
      </w:r>
      <w:r w:rsidRPr="00925DF4">
        <w:rPr>
          <w:rFonts w:cs="Arial"/>
          <w:b/>
          <w:bCs/>
          <w:color w:val="FF0000"/>
        </w:rPr>
        <w:t>IF CLOSED (S9=</w:t>
      </w:r>
      <w:r>
        <w:rPr>
          <w:rFonts w:cs="Arial"/>
          <w:b/>
          <w:bCs/>
          <w:color w:val="FF0000"/>
        </w:rPr>
        <w:t>3</w:t>
      </w:r>
      <w:r w:rsidRPr="00925DF4">
        <w:rPr>
          <w:rFonts w:cs="Arial"/>
          <w:b/>
          <w:bCs/>
          <w:color w:val="FF0000"/>
        </w:rPr>
        <w:t xml:space="preserve">): </w:t>
      </w:r>
      <w:r w:rsidRPr="00925DF4">
        <w:rPr>
          <w:rFonts w:cs="Arial"/>
          <w:b/>
          <w:bCs/>
        </w:rPr>
        <w:t>What was the legal status of your business… ?</w:t>
      </w:r>
      <w:r w:rsidRPr="00925DF4">
        <w:rPr>
          <w:rFonts w:cs="Arial"/>
        </w:rPr>
        <w:t xml:space="preserve"> </w:t>
      </w:r>
      <w:r w:rsidRPr="00925DF4">
        <w:rPr>
          <w:rFonts w:cs="Arial"/>
          <w:color w:val="FF0000"/>
        </w:rPr>
        <w:t>SINGLE CODE ONLY</w:t>
      </w:r>
    </w:p>
    <w:p w14:paraId="6B647D10" w14:textId="77777777" w:rsidR="006E0879" w:rsidRPr="00925DF4" w:rsidRDefault="006E0879" w:rsidP="006E0879">
      <w:pPr>
        <w:rPr>
          <w:rFonts w:cs="Arial"/>
        </w:rPr>
      </w:pPr>
    </w:p>
    <w:p w14:paraId="79C86E83" w14:textId="32701C22" w:rsidR="006E0879" w:rsidRPr="00925DF4" w:rsidRDefault="006E0879" w:rsidP="39C1DD97">
      <w:pPr>
        <w:rPr>
          <w:rFonts w:cs="Arial"/>
          <w:b/>
          <w:bCs/>
          <w:u w:val="single"/>
        </w:rPr>
      </w:pPr>
      <w:r w:rsidRPr="39C1DD97">
        <w:rPr>
          <w:rFonts w:cs="Arial"/>
          <w:color w:val="FF0000"/>
        </w:rPr>
        <w:t xml:space="preserve">IF SOLE PROPRIETORSHIP/TRADER (CODE 1) THEN ASK: </w:t>
      </w:r>
      <w:r w:rsidRPr="39C1DD97">
        <w:rPr>
          <w:rFonts w:cs="Arial"/>
          <w:b/>
          <w:bCs/>
        </w:rPr>
        <w:t>Can [</w:t>
      </w:r>
      <w:r w:rsidRPr="39C1DD97">
        <w:rPr>
          <w:rFonts w:cs="Arial"/>
          <w:color w:val="FF0000"/>
        </w:rPr>
        <w:t xml:space="preserve">CATI: </w:t>
      </w:r>
      <w:r w:rsidRPr="39C1DD97">
        <w:rPr>
          <w:rFonts w:cs="Arial"/>
          <w:b/>
          <w:bCs/>
        </w:rPr>
        <w:t>I] [</w:t>
      </w:r>
      <w:r w:rsidRPr="39C1DD97">
        <w:rPr>
          <w:rFonts w:cs="Arial"/>
          <w:color w:val="FF0000"/>
        </w:rPr>
        <w:t xml:space="preserve">WEB: </w:t>
      </w:r>
      <w:r w:rsidRPr="39C1DD97">
        <w:rPr>
          <w:rFonts w:cs="Arial"/>
          <w:b/>
          <w:bCs/>
        </w:rPr>
        <w:t xml:space="preserve">you]  just confirm that there are </w:t>
      </w:r>
      <w:r w:rsidRPr="39C1DD97">
        <w:rPr>
          <w:rFonts w:cs="Arial"/>
        </w:rPr>
        <w:t>[IF CLOSED</w:t>
      </w:r>
      <w:r w:rsidRPr="39C1DD97">
        <w:rPr>
          <w:rFonts w:cs="Arial"/>
          <w:b/>
          <w:bCs/>
        </w:rPr>
        <w:t xml:space="preserve"> (S9=3): were</w:t>
      </w:r>
      <w:r w:rsidRPr="39C1DD97">
        <w:rPr>
          <w:rFonts w:cs="Arial"/>
        </w:rPr>
        <w:t>]</w:t>
      </w:r>
      <w:r w:rsidRPr="39C1DD97">
        <w:rPr>
          <w:rFonts w:cs="Arial"/>
          <w:b/>
          <w:bCs/>
        </w:rPr>
        <w:t xml:space="preserve"> no other owners involved in running the business except yourself? </w:t>
      </w:r>
      <w:r w:rsidRPr="39C1DD97">
        <w:rPr>
          <w:rFonts w:cs="Arial"/>
          <w:color w:val="F06603" w:themeColor="accent6"/>
        </w:rPr>
        <w:t>IF THERE ARE OTHER OWNERS THEN PLEASE RE-CODE AS A PARTNERSHIP (CODE 4). IF SOLE PROPRIETORSHIP/TRADER (CODE 1) AS WELL AS SAID THEY HAD TWO OR MORE EMPLOYEES AT S15/16_AA (CODE 2-12) THEN PLEASE CHECK WITH THE RESPONDENT THAT BOTH ANSWERS ARE CORRECT AND RE-CODE AS NECESSARY</w:t>
      </w:r>
      <w:r w:rsidRPr="39C1DD97">
        <w:rPr>
          <w:rFonts w:cs="Arial"/>
          <w:b/>
          <w:bCs/>
          <w:color w:val="F06603" w:themeColor="accent6"/>
          <w:u w:val="single"/>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05"/>
        <w:gridCol w:w="939"/>
      </w:tblGrid>
      <w:tr w:rsidR="006E0879" w:rsidRPr="00925DF4" w14:paraId="188A807A"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1944818B" w14:textId="77777777" w:rsidR="006E0879" w:rsidRPr="00925DF4" w:rsidRDefault="006E0879" w:rsidP="00AB3D40">
            <w:pPr>
              <w:spacing w:before="60"/>
              <w:rPr>
                <w:rFonts w:cs="Arial"/>
              </w:rPr>
            </w:pPr>
            <w:r w:rsidRPr="00925DF4">
              <w:rPr>
                <w:rFonts w:cs="Arial"/>
              </w:rPr>
              <w:t>Sole Proprietorship/sole trader</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742A5EFA" w14:textId="77777777" w:rsidR="006E0879" w:rsidRPr="00925DF4" w:rsidRDefault="006E0879" w:rsidP="00AB3D40">
            <w:pPr>
              <w:jc w:val="center"/>
              <w:rPr>
                <w:rFonts w:cs="Arial"/>
              </w:rPr>
            </w:pPr>
            <w:r w:rsidRPr="00925DF4">
              <w:rPr>
                <w:rFonts w:cs="Arial"/>
              </w:rPr>
              <w:t>1</w:t>
            </w:r>
          </w:p>
        </w:tc>
      </w:tr>
      <w:tr w:rsidR="006E0879" w:rsidRPr="00925DF4" w14:paraId="437A733F"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146F9247" w14:textId="77777777" w:rsidR="006E0879" w:rsidRPr="00925DF4" w:rsidRDefault="006E0879" w:rsidP="00AB3D40">
            <w:pPr>
              <w:spacing w:before="60"/>
              <w:rPr>
                <w:rFonts w:cs="Arial"/>
              </w:rPr>
            </w:pPr>
            <w:r w:rsidRPr="00925DF4">
              <w:rPr>
                <w:rFonts w:cs="Arial"/>
              </w:rPr>
              <w:t>Private limited company, limited by shares (LTD.)</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174B6BFC" w14:textId="77777777" w:rsidR="006E0879" w:rsidRPr="00925DF4" w:rsidRDefault="006E0879" w:rsidP="00AB3D40">
            <w:pPr>
              <w:jc w:val="center"/>
              <w:rPr>
                <w:rFonts w:cs="Arial"/>
              </w:rPr>
            </w:pPr>
            <w:r w:rsidRPr="00925DF4">
              <w:rPr>
                <w:rFonts w:cs="Arial"/>
              </w:rPr>
              <w:t>2</w:t>
            </w:r>
          </w:p>
        </w:tc>
      </w:tr>
      <w:tr w:rsidR="006E0879" w:rsidRPr="00925DF4" w14:paraId="6FF9C8CB"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4BA4036A" w14:textId="77777777" w:rsidR="006E0879" w:rsidRPr="00925DF4" w:rsidRDefault="006E0879" w:rsidP="00AB3D40">
            <w:pPr>
              <w:spacing w:before="60"/>
              <w:rPr>
                <w:rFonts w:cs="Arial"/>
              </w:rPr>
            </w:pPr>
            <w:r w:rsidRPr="00925DF4">
              <w:rPr>
                <w:rFonts w:cs="Arial"/>
              </w:rPr>
              <w:t>Public Ltd Company (PLC)</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6E23D6F1" w14:textId="77777777" w:rsidR="006E0879" w:rsidRPr="00925DF4" w:rsidRDefault="006E0879" w:rsidP="00AB3D40">
            <w:pPr>
              <w:jc w:val="center"/>
              <w:rPr>
                <w:rFonts w:cs="Arial"/>
              </w:rPr>
            </w:pPr>
            <w:r w:rsidRPr="00925DF4">
              <w:rPr>
                <w:rFonts w:cs="Arial"/>
              </w:rPr>
              <w:t>3</w:t>
            </w:r>
          </w:p>
        </w:tc>
      </w:tr>
      <w:tr w:rsidR="006E0879" w:rsidRPr="00925DF4" w14:paraId="7FF4BEB8"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5C990DA7" w14:textId="77777777" w:rsidR="006E0879" w:rsidRPr="00925DF4" w:rsidRDefault="006E0879" w:rsidP="00AB3D40">
            <w:pPr>
              <w:spacing w:before="60"/>
              <w:rPr>
                <w:rFonts w:cs="Arial"/>
              </w:rPr>
            </w:pPr>
            <w:r w:rsidRPr="00925DF4">
              <w:rPr>
                <w:rFonts w:cs="Arial"/>
              </w:rPr>
              <w:t>Partnership</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76ADADE2" w14:textId="77777777" w:rsidR="006E0879" w:rsidRPr="00925DF4" w:rsidRDefault="006E0879" w:rsidP="00AB3D40">
            <w:pPr>
              <w:jc w:val="center"/>
              <w:rPr>
                <w:rFonts w:cs="Arial"/>
              </w:rPr>
            </w:pPr>
            <w:r w:rsidRPr="00925DF4">
              <w:rPr>
                <w:rFonts w:cs="Arial"/>
              </w:rPr>
              <w:t>4</w:t>
            </w:r>
          </w:p>
        </w:tc>
      </w:tr>
      <w:tr w:rsidR="006E0879" w:rsidRPr="00925DF4" w14:paraId="658677EC"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6B45905A" w14:textId="77777777" w:rsidR="006E0879" w:rsidRPr="00925DF4" w:rsidRDefault="006E0879" w:rsidP="00AB3D40">
            <w:pPr>
              <w:spacing w:before="60"/>
              <w:rPr>
                <w:rFonts w:cs="Arial"/>
              </w:rPr>
            </w:pPr>
            <w:r w:rsidRPr="00925DF4">
              <w:rPr>
                <w:rFonts w:cs="Arial"/>
              </w:rPr>
              <w:t>Limited liability partnership</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66BFC21B" w14:textId="77777777" w:rsidR="006E0879" w:rsidRPr="00925DF4" w:rsidRDefault="006E0879" w:rsidP="00AB3D40">
            <w:pPr>
              <w:jc w:val="center"/>
              <w:rPr>
                <w:rFonts w:cs="Arial"/>
              </w:rPr>
            </w:pPr>
            <w:r w:rsidRPr="00925DF4">
              <w:rPr>
                <w:rFonts w:cs="Arial"/>
              </w:rPr>
              <w:t>5</w:t>
            </w:r>
          </w:p>
        </w:tc>
      </w:tr>
      <w:tr w:rsidR="006E0879" w:rsidRPr="00925DF4" w14:paraId="16EE4B9E"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72B38B12" w14:textId="77777777" w:rsidR="006E0879" w:rsidRPr="00925DF4" w:rsidRDefault="006E0879" w:rsidP="00AB3D40">
            <w:pPr>
              <w:spacing w:before="60"/>
              <w:rPr>
                <w:rFonts w:cs="Arial"/>
              </w:rPr>
            </w:pPr>
            <w:r w:rsidRPr="00925DF4">
              <w:rPr>
                <w:rFonts w:cs="Arial"/>
              </w:rPr>
              <w:t>Private company limited by guarantee</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6CEB38C8" w14:textId="77777777" w:rsidR="006E0879" w:rsidRPr="00925DF4" w:rsidRDefault="006E0879" w:rsidP="00AB3D40">
            <w:pPr>
              <w:jc w:val="center"/>
              <w:rPr>
                <w:rFonts w:cs="Arial"/>
              </w:rPr>
            </w:pPr>
            <w:r w:rsidRPr="00925DF4">
              <w:rPr>
                <w:rFonts w:cs="Arial"/>
              </w:rPr>
              <w:t>6</w:t>
            </w:r>
          </w:p>
        </w:tc>
      </w:tr>
      <w:tr w:rsidR="006E0879" w:rsidRPr="00925DF4" w14:paraId="74BD2B97"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4ED7A2B9" w14:textId="77777777" w:rsidR="006E0879" w:rsidRPr="00925DF4" w:rsidRDefault="006E0879" w:rsidP="00AB3D40">
            <w:pPr>
              <w:spacing w:before="60"/>
              <w:rPr>
                <w:rFonts w:cs="Arial"/>
              </w:rPr>
            </w:pPr>
            <w:r w:rsidRPr="00925DF4">
              <w:rPr>
                <w:rFonts w:cs="Arial"/>
              </w:rPr>
              <w:t>Friendly Society</w:t>
            </w:r>
            <w:r>
              <w:rPr>
                <w:rFonts w:cs="Arial"/>
              </w:rPr>
              <w:t xml:space="preserve"> or a co-operative</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418A6122" w14:textId="77777777" w:rsidR="006E0879" w:rsidRPr="00925DF4" w:rsidRDefault="006E0879" w:rsidP="00AB3D40">
            <w:pPr>
              <w:jc w:val="center"/>
              <w:rPr>
                <w:rFonts w:cs="Arial"/>
              </w:rPr>
            </w:pPr>
            <w:r>
              <w:rPr>
                <w:rFonts w:cs="Arial"/>
              </w:rPr>
              <w:t>7</w:t>
            </w:r>
          </w:p>
        </w:tc>
      </w:tr>
      <w:tr w:rsidR="006E0879" w:rsidRPr="00925DF4" w14:paraId="7DD72590"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183E42AF" w14:textId="77777777" w:rsidR="006E0879" w:rsidRPr="00925DF4" w:rsidRDefault="006E0879" w:rsidP="00AB3D40">
            <w:pPr>
              <w:spacing w:before="60"/>
              <w:rPr>
                <w:rFonts w:cs="Arial"/>
              </w:rPr>
            </w:pPr>
            <w:r w:rsidRPr="00925DF4">
              <w:rPr>
                <w:rFonts w:cs="Arial"/>
              </w:rPr>
              <w:t>Other (PLEASE TYPE IN)</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2790ECBF" w14:textId="77777777" w:rsidR="006E0879" w:rsidRPr="00925DF4" w:rsidRDefault="006E0879" w:rsidP="00AB3D40">
            <w:pPr>
              <w:jc w:val="center"/>
              <w:rPr>
                <w:rFonts w:cs="Arial"/>
              </w:rPr>
            </w:pPr>
            <w:r>
              <w:rPr>
                <w:rFonts w:cs="Arial"/>
              </w:rPr>
              <w:t>8</w:t>
            </w:r>
          </w:p>
        </w:tc>
      </w:tr>
      <w:tr w:rsidR="006E0879" w:rsidRPr="00925DF4" w14:paraId="5279FB3A"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41C8FEC5" w14:textId="77777777" w:rsidR="006E0879" w:rsidRPr="00925DF4" w:rsidRDefault="006E0879" w:rsidP="00AB3D40">
            <w:pPr>
              <w:spacing w:before="60"/>
              <w:rPr>
                <w:rFonts w:cs="Arial"/>
              </w:rPr>
            </w:pPr>
            <w:r w:rsidRPr="00925DF4">
              <w:rPr>
                <w:rFonts w:cs="Arial"/>
              </w:rPr>
              <w:t>Don’t know</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56E2B657" w14:textId="77777777" w:rsidR="006E0879" w:rsidRPr="00925DF4" w:rsidRDefault="006E0879" w:rsidP="00AB3D40">
            <w:pPr>
              <w:jc w:val="center"/>
              <w:rPr>
                <w:rFonts w:cs="Arial"/>
              </w:rPr>
            </w:pPr>
            <w:r w:rsidRPr="00925DF4">
              <w:rPr>
                <w:rFonts w:cs="Arial"/>
              </w:rPr>
              <w:t>98</w:t>
            </w:r>
          </w:p>
        </w:tc>
      </w:tr>
      <w:tr w:rsidR="006E0879" w:rsidRPr="00925DF4" w14:paraId="3AE851FF" w14:textId="77777777" w:rsidTr="00AB3D40">
        <w:tc>
          <w:tcPr>
            <w:tcW w:w="4537" w:type="pct"/>
            <w:tcBorders>
              <w:top w:val="single" w:sz="4" w:space="0" w:color="000000"/>
              <w:left w:val="single" w:sz="4" w:space="0" w:color="000000"/>
              <w:bottom w:val="single" w:sz="4" w:space="0" w:color="000000"/>
              <w:right w:val="single" w:sz="4" w:space="0" w:color="000000"/>
            </w:tcBorders>
            <w:vAlign w:val="center"/>
            <w:hideMark/>
          </w:tcPr>
          <w:p w14:paraId="2CA7AED2" w14:textId="77777777" w:rsidR="006E0879" w:rsidRPr="00925DF4" w:rsidRDefault="006E0879" w:rsidP="00AB3D40">
            <w:pPr>
              <w:spacing w:before="60"/>
              <w:rPr>
                <w:rFonts w:cs="Arial"/>
              </w:rPr>
            </w:pPr>
            <w:r w:rsidRPr="00925DF4">
              <w:rPr>
                <w:rFonts w:cs="Arial"/>
              </w:rPr>
              <w:t>Refused</w:t>
            </w:r>
          </w:p>
        </w:tc>
        <w:tc>
          <w:tcPr>
            <w:tcW w:w="463" w:type="pct"/>
            <w:tcBorders>
              <w:top w:val="single" w:sz="4" w:space="0" w:color="000000"/>
              <w:left w:val="single" w:sz="4" w:space="0" w:color="000000"/>
              <w:bottom w:val="single" w:sz="4" w:space="0" w:color="000000"/>
              <w:right w:val="single" w:sz="4" w:space="0" w:color="000000"/>
            </w:tcBorders>
            <w:vAlign w:val="center"/>
            <w:hideMark/>
          </w:tcPr>
          <w:p w14:paraId="37EA8475" w14:textId="77777777" w:rsidR="006E0879" w:rsidRPr="00925DF4" w:rsidRDefault="006E0879" w:rsidP="00AB3D40">
            <w:pPr>
              <w:jc w:val="center"/>
              <w:rPr>
                <w:rFonts w:cs="Arial"/>
              </w:rPr>
            </w:pPr>
            <w:r w:rsidRPr="00925DF4">
              <w:rPr>
                <w:rFonts w:cs="Arial"/>
              </w:rPr>
              <w:t>99</w:t>
            </w:r>
          </w:p>
        </w:tc>
      </w:tr>
    </w:tbl>
    <w:p w14:paraId="7D9E8723" w14:textId="77777777" w:rsidR="006E0879" w:rsidRPr="00925DF4" w:rsidRDefault="006E0879" w:rsidP="006E0879">
      <w:pPr>
        <w:tabs>
          <w:tab w:val="left" w:pos="709"/>
        </w:tabs>
        <w:ind w:left="709" w:hanging="709"/>
        <w:rPr>
          <w:rFonts w:cs="Arial"/>
          <w:b/>
          <w:u w:val="single"/>
        </w:rPr>
      </w:pPr>
    </w:p>
    <w:p w14:paraId="45B3524F" w14:textId="77777777" w:rsidR="006E0879" w:rsidRPr="00925DF4" w:rsidRDefault="006E0879" w:rsidP="006E0879">
      <w:pPr>
        <w:rPr>
          <w:rFonts w:eastAsia="SimSun" w:cs="Arial"/>
          <w:color w:val="FF0000"/>
        </w:rPr>
      </w:pPr>
      <w:r w:rsidRPr="00925DF4">
        <w:rPr>
          <w:rFonts w:eastAsia="SimSun" w:cs="Arial"/>
          <w:color w:val="FF0000"/>
        </w:rPr>
        <w:t xml:space="preserve">ASK ALL </w:t>
      </w:r>
    </w:p>
    <w:p w14:paraId="69524902" w14:textId="509453D3" w:rsidR="006E0879" w:rsidRPr="00C31D26" w:rsidRDefault="006E0879" w:rsidP="00C31D26">
      <w:pPr>
        <w:rPr>
          <w:rFonts w:eastAsia="SimSun" w:cs="Arial"/>
        </w:rPr>
      </w:pPr>
      <w:r w:rsidRPr="00925DF4">
        <w:rPr>
          <w:rFonts w:eastAsia="SimSun" w:cs="Arial"/>
          <w:b/>
          <w:bCs/>
        </w:rPr>
        <w:t xml:space="preserve">S18 We have </w:t>
      </w:r>
      <w:r w:rsidRPr="00925DF4">
        <w:rPr>
          <w:rFonts w:eastAsia="SimSun" w:cs="Arial"/>
          <w:bCs/>
          <w:color w:val="FF0000"/>
        </w:rPr>
        <w:t>[DESCRIPTION OF BUSINESS ACTIVITY FROM SAMPLE]</w:t>
      </w:r>
      <w:r w:rsidRPr="00925DF4">
        <w:rPr>
          <w:rFonts w:eastAsia="SimSun" w:cs="Arial"/>
          <w:b/>
          <w:bCs/>
          <w:color w:val="FF0000"/>
        </w:rPr>
        <w:t xml:space="preserve"> </w:t>
      </w:r>
      <w:r w:rsidRPr="00925DF4">
        <w:rPr>
          <w:rFonts w:eastAsia="SimSun" w:cs="Arial"/>
          <w:b/>
          <w:bCs/>
        </w:rPr>
        <w:t>as a broad description of your company’s activity</w:t>
      </w:r>
      <w:r>
        <w:rPr>
          <w:rFonts w:eastAsia="SimSun" w:cs="Arial"/>
          <w:b/>
          <w:bCs/>
        </w:rPr>
        <w:t xml:space="preserve"> </w:t>
      </w:r>
      <w:r w:rsidRPr="00925DF4">
        <w:rPr>
          <w:rFonts w:cs="Arial"/>
          <w:b/>
          <w:bCs/>
          <w:color w:val="FF0000"/>
        </w:rPr>
        <w:t>IF CLOSED (S9=</w:t>
      </w:r>
      <w:r>
        <w:rPr>
          <w:rFonts w:cs="Arial"/>
          <w:b/>
          <w:bCs/>
          <w:color w:val="FF0000"/>
        </w:rPr>
        <w:t>3</w:t>
      </w:r>
      <w:r w:rsidRPr="00925DF4">
        <w:rPr>
          <w:rFonts w:cs="Arial"/>
          <w:b/>
          <w:bCs/>
          <w:color w:val="FF0000"/>
        </w:rPr>
        <w:t xml:space="preserve">): </w:t>
      </w:r>
      <w:r>
        <w:rPr>
          <w:rFonts w:cs="Arial"/>
          <w:b/>
          <w:bCs/>
        </w:rPr>
        <w:t>before it closed</w:t>
      </w:r>
      <w:r w:rsidRPr="00925DF4">
        <w:rPr>
          <w:rFonts w:eastAsia="SimSun" w:cs="Arial"/>
          <w:b/>
          <w:bCs/>
        </w:rPr>
        <w:t>. Does this sound about right to you?</w:t>
      </w:r>
      <w:r w:rsidRPr="00925DF4">
        <w:rPr>
          <w:rFonts w:eastAsia="SimSun" w:cs="Arial"/>
        </w:rPr>
        <w:t xml:space="preserve"> </w:t>
      </w:r>
      <w:r w:rsidRPr="00925DF4">
        <w:rPr>
          <w:rFonts w:eastAsia="SimSun" w:cs="Arial"/>
          <w:color w:val="FF0000"/>
        </w:rPr>
        <w:t>SINGLE CODE ONLY</w:t>
      </w:r>
    </w:p>
    <w:p w14:paraId="14C7C5CB" w14:textId="77777777" w:rsidR="006E0879" w:rsidRPr="00925DF4" w:rsidRDefault="006E0879" w:rsidP="006E0879">
      <w:pPr>
        <w:rPr>
          <w:rFonts w:eastAsia="SimSun" w:cs="Arial"/>
          <w:color w:val="F06603" w:themeColor="accent6"/>
        </w:rPr>
      </w:pPr>
      <w:r w:rsidRPr="00925DF4">
        <w:rPr>
          <w:rFonts w:eastAsia="SimSun" w:cs="Arial"/>
          <w:color w:val="F06603" w:themeColor="accent6"/>
        </w:rPr>
        <w:t>INTERVIEWER NOTE: SEE SECTOR CRIB SHEET</w:t>
      </w:r>
    </w:p>
    <w:p w14:paraId="4EFBBE15" w14:textId="77777777" w:rsidR="006E0879" w:rsidRPr="00925DF4" w:rsidRDefault="006E0879" w:rsidP="006E0879">
      <w:pPr>
        <w:ind w:left="284" w:hanging="284"/>
        <w:rPr>
          <w:rFonts w:eastAsia="SimSun" w:cs="Arial"/>
          <w:b/>
          <w:color w:val="1D1D1B"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gridCol w:w="899"/>
      </w:tblGrid>
      <w:tr w:rsidR="006E0879" w:rsidRPr="00925DF4" w14:paraId="4FE52A39"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2AB81475"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Yes</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72F58466"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1</w:t>
            </w:r>
          </w:p>
        </w:tc>
      </w:tr>
      <w:tr w:rsidR="006E0879" w:rsidRPr="00925DF4" w14:paraId="3B77D447"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2591BF93"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No</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636F2F56"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2</w:t>
            </w:r>
          </w:p>
        </w:tc>
      </w:tr>
      <w:tr w:rsidR="006E0879" w:rsidRPr="00925DF4" w14:paraId="50153F71"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7F17800E"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Don’t know</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4398983D"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98</w:t>
            </w:r>
          </w:p>
        </w:tc>
      </w:tr>
      <w:tr w:rsidR="006E0879" w:rsidRPr="00925DF4" w14:paraId="1A56C327"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5A2F9F60"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Refused</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70021118"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99</w:t>
            </w:r>
          </w:p>
        </w:tc>
      </w:tr>
    </w:tbl>
    <w:p w14:paraId="0D896558" w14:textId="77777777" w:rsidR="006E0879" w:rsidRPr="00925DF4" w:rsidRDefault="006E0879" w:rsidP="006E0879">
      <w:pPr>
        <w:ind w:left="284" w:hanging="284"/>
        <w:rPr>
          <w:rFonts w:eastAsia="SimSun" w:cs="Arial"/>
          <w:b/>
          <w:color w:val="1D1D1B" w:themeColor="text1"/>
        </w:rPr>
      </w:pPr>
    </w:p>
    <w:p w14:paraId="6B01A0F5" w14:textId="77777777" w:rsidR="006E0879" w:rsidRPr="00925DF4" w:rsidRDefault="006E0879" w:rsidP="006E0879">
      <w:pPr>
        <w:spacing w:after="160" w:line="259" w:lineRule="auto"/>
        <w:rPr>
          <w:rFonts w:eastAsia="SimSun" w:cs="Arial"/>
          <w:color w:val="FF0000"/>
        </w:rPr>
      </w:pPr>
      <w:r w:rsidRPr="00925DF4">
        <w:rPr>
          <w:rFonts w:eastAsia="SimSun" w:cs="Arial"/>
          <w:color w:val="FF0000"/>
        </w:rPr>
        <w:t>ASK IF NOT CORRECT OR DON’T KNOW (CODE 2) AT S18</w:t>
      </w:r>
    </w:p>
    <w:p w14:paraId="6FA75832" w14:textId="7B08289D" w:rsidR="006E0879" w:rsidRPr="00C31D26" w:rsidRDefault="006E0879" w:rsidP="006E0879">
      <w:pPr>
        <w:rPr>
          <w:rFonts w:eastAsia="SimSun" w:cs="Arial"/>
          <w:bCs/>
          <w:color w:val="1D1D1B" w:themeColor="text1"/>
        </w:rPr>
      </w:pPr>
      <w:r w:rsidRPr="00925DF4">
        <w:rPr>
          <w:rFonts w:eastAsia="SimSun" w:cs="Arial"/>
          <w:b/>
          <w:bCs/>
        </w:rPr>
        <w:t xml:space="preserve">S19 </w:t>
      </w:r>
      <w:r w:rsidRPr="00925DF4">
        <w:rPr>
          <w:rFonts w:eastAsia="SimSun" w:cs="Arial"/>
          <w:b/>
          <w:color w:val="1D1D1B" w:themeColor="text1"/>
        </w:rPr>
        <w:t>What is your main business activity</w:t>
      </w:r>
      <w:r w:rsidRPr="00925DF4">
        <w:rPr>
          <w:rFonts w:eastAsia="SimSun" w:cs="Arial"/>
          <w:color w:val="1D1D1B" w:themeColor="text1"/>
        </w:rPr>
        <w:t xml:space="preserve">? </w:t>
      </w:r>
      <w:r w:rsidRPr="00925DF4">
        <w:rPr>
          <w:rFonts w:cs="Arial"/>
          <w:b/>
          <w:bCs/>
          <w:color w:val="FF0000"/>
        </w:rPr>
        <w:t>IF CLOSED (S9=</w:t>
      </w:r>
      <w:r>
        <w:rPr>
          <w:rFonts w:cs="Arial"/>
          <w:b/>
          <w:bCs/>
          <w:color w:val="FF0000"/>
        </w:rPr>
        <w:t>3</w:t>
      </w:r>
      <w:r w:rsidRPr="00925DF4">
        <w:rPr>
          <w:rFonts w:cs="Arial"/>
          <w:b/>
          <w:bCs/>
          <w:color w:val="FF0000"/>
        </w:rPr>
        <w:t xml:space="preserve">): </w:t>
      </w:r>
      <w:r w:rsidRPr="00925DF4">
        <w:rPr>
          <w:rFonts w:cs="Arial"/>
          <w:b/>
          <w:bCs/>
        </w:rPr>
        <w:t xml:space="preserve">What was your main business activity? </w:t>
      </w:r>
      <w:r w:rsidRPr="00925DF4">
        <w:rPr>
          <w:rFonts w:eastAsia="SimSun" w:cs="Arial"/>
          <w:color w:val="1D1D1B" w:themeColor="text1"/>
        </w:rPr>
        <w:t xml:space="preserve"> </w:t>
      </w:r>
      <w:r w:rsidRPr="00925DF4">
        <w:rPr>
          <w:rFonts w:eastAsia="SimSun" w:cs="Arial"/>
          <w:bCs/>
          <w:color w:val="F06603" w:themeColor="accent6"/>
        </w:rPr>
        <w:t>PROBE AS NECESSARY</w:t>
      </w:r>
    </w:p>
    <w:p w14:paraId="01EF6390" w14:textId="77777777" w:rsidR="006E0879" w:rsidRPr="00925DF4" w:rsidRDefault="006E0879" w:rsidP="006E0879">
      <w:pPr>
        <w:pStyle w:val="ListParagraph"/>
        <w:keepLines/>
        <w:numPr>
          <w:ilvl w:val="0"/>
          <w:numId w:val="38"/>
        </w:numPr>
        <w:spacing w:after="0" w:line="240" w:lineRule="auto"/>
        <w:jc w:val="both"/>
        <w:rPr>
          <w:rFonts w:eastAsia="SimSun"/>
          <w:szCs w:val="20"/>
        </w:rPr>
      </w:pPr>
      <w:r w:rsidRPr="00925DF4">
        <w:rPr>
          <w:rFonts w:eastAsia="SimSun"/>
          <w:szCs w:val="20"/>
        </w:rPr>
        <w:t xml:space="preserve">What is </w:t>
      </w:r>
      <w:r w:rsidRPr="00925DF4">
        <w:rPr>
          <w:rFonts w:eastAsia="SimSun"/>
          <w:color w:val="FF0000"/>
          <w:szCs w:val="20"/>
        </w:rPr>
        <w:t>[</w:t>
      </w:r>
      <w:r w:rsidRPr="00925DF4">
        <w:rPr>
          <w:b/>
          <w:bCs/>
          <w:color w:val="FF0000"/>
        </w:rPr>
        <w:t>IF CLOSED S9=</w:t>
      </w:r>
      <w:r>
        <w:rPr>
          <w:b/>
          <w:bCs/>
          <w:color w:val="FF0000"/>
        </w:rPr>
        <w:t>3</w:t>
      </w:r>
      <w:r w:rsidRPr="00925DF4">
        <w:rPr>
          <w:b/>
          <w:bCs/>
          <w:color w:val="FF0000"/>
        </w:rPr>
        <w:t xml:space="preserve">): </w:t>
      </w:r>
      <w:r w:rsidRPr="00925DF4">
        <w:rPr>
          <w:rFonts w:eastAsia="SimSun"/>
          <w:szCs w:val="20"/>
        </w:rPr>
        <w:t>was] the main product or service of the business?</w:t>
      </w:r>
    </w:p>
    <w:p w14:paraId="57CB4648" w14:textId="77777777" w:rsidR="006E0879" w:rsidRPr="00925DF4" w:rsidRDefault="006E0879" w:rsidP="006E0879">
      <w:pPr>
        <w:pStyle w:val="ListParagraph"/>
        <w:keepLines/>
        <w:numPr>
          <w:ilvl w:val="0"/>
          <w:numId w:val="38"/>
        </w:numPr>
        <w:spacing w:after="0" w:line="240" w:lineRule="auto"/>
        <w:jc w:val="both"/>
        <w:rPr>
          <w:rFonts w:eastAsia="SimSun"/>
          <w:szCs w:val="20"/>
        </w:rPr>
      </w:pPr>
      <w:r w:rsidRPr="00925DF4">
        <w:rPr>
          <w:rFonts w:eastAsia="SimSun"/>
          <w:szCs w:val="20"/>
        </w:rPr>
        <w:t xml:space="preserve">What exactly is </w:t>
      </w:r>
      <w:r w:rsidRPr="00925DF4">
        <w:rPr>
          <w:rFonts w:eastAsia="SimSun"/>
          <w:color w:val="FF0000"/>
          <w:szCs w:val="20"/>
        </w:rPr>
        <w:t>[</w:t>
      </w:r>
      <w:r w:rsidRPr="00925DF4">
        <w:rPr>
          <w:b/>
          <w:bCs/>
          <w:color w:val="FF0000"/>
        </w:rPr>
        <w:t>IF CLOSED S9=</w:t>
      </w:r>
      <w:r>
        <w:rPr>
          <w:b/>
          <w:bCs/>
          <w:color w:val="FF0000"/>
        </w:rPr>
        <w:t>3</w:t>
      </w:r>
      <w:r w:rsidRPr="00925DF4">
        <w:rPr>
          <w:b/>
          <w:bCs/>
          <w:color w:val="FF0000"/>
        </w:rPr>
        <w:t xml:space="preserve">): </w:t>
      </w:r>
      <w:r w:rsidRPr="00925DF4">
        <w:rPr>
          <w:rFonts w:eastAsia="SimSun"/>
          <w:szCs w:val="20"/>
        </w:rPr>
        <w:t>was] made or done in the business?</w:t>
      </w:r>
    </w:p>
    <w:p w14:paraId="2FFB6F8C" w14:textId="56D0D95F" w:rsidR="006E0879" w:rsidRDefault="006E0879" w:rsidP="000824F2">
      <w:pPr>
        <w:pStyle w:val="ListParagraph"/>
        <w:keepLines/>
        <w:numPr>
          <w:ilvl w:val="0"/>
          <w:numId w:val="38"/>
        </w:numPr>
        <w:spacing w:after="0" w:line="240" w:lineRule="auto"/>
        <w:jc w:val="both"/>
        <w:rPr>
          <w:rFonts w:eastAsia="SimSun"/>
          <w:szCs w:val="20"/>
        </w:rPr>
      </w:pPr>
      <w:r w:rsidRPr="00925DF4">
        <w:rPr>
          <w:rFonts w:eastAsia="SimSun"/>
          <w:szCs w:val="20"/>
        </w:rPr>
        <w:t>What material or machinery does [</w:t>
      </w:r>
      <w:r w:rsidRPr="00925DF4">
        <w:rPr>
          <w:b/>
          <w:bCs/>
          <w:color w:val="FF0000"/>
        </w:rPr>
        <w:t>IF CLOSED S9=</w:t>
      </w:r>
      <w:r>
        <w:rPr>
          <w:b/>
          <w:bCs/>
          <w:color w:val="FF0000"/>
        </w:rPr>
        <w:t>3</w:t>
      </w:r>
      <w:r w:rsidRPr="00925DF4">
        <w:rPr>
          <w:b/>
          <w:bCs/>
          <w:color w:val="FF0000"/>
        </w:rPr>
        <w:t xml:space="preserve">): </w:t>
      </w:r>
      <w:r w:rsidRPr="00925DF4">
        <w:rPr>
          <w:rFonts w:eastAsia="SimSun"/>
          <w:szCs w:val="20"/>
        </w:rPr>
        <w:t>did] this involve using?</w:t>
      </w:r>
    </w:p>
    <w:p w14:paraId="2F629E81" w14:textId="77777777" w:rsidR="000824F2" w:rsidRPr="00C31D26" w:rsidRDefault="000824F2" w:rsidP="00C31D26">
      <w:pPr>
        <w:pStyle w:val="ListParagraph"/>
        <w:keepLines/>
        <w:spacing w:after="0" w:line="240" w:lineRule="auto"/>
        <w:jc w:val="both"/>
        <w:rPr>
          <w:rFonts w:eastAsia="SimSun"/>
          <w:szCs w:val="20"/>
        </w:rPr>
      </w:pPr>
    </w:p>
    <w:p w14:paraId="576BD55E" w14:textId="23F9CB34" w:rsidR="000824F2" w:rsidRPr="00C31D26" w:rsidRDefault="006E0879" w:rsidP="006E0879">
      <w:pPr>
        <w:rPr>
          <w:rFonts w:eastAsia="SimSun" w:cs="Arial"/>
          <w:color w:val="F06603" w:themeColor="accent6"/>
        </w:rPr>
      </w:pPr>
      <w:r w:rsidRPr="00925DF4">
        <w:rPr>
          <w:rFonts w:eastAsia="SimSun" w:cs="Arial"/>
          <w:color w:val="F06603" w:themeColor="accent6"/>
        </w:rPr>
        <w:t xml:space="preserve">INTERVIEWER NOTE: SEE SECTOR CRIB SHEET. WRITE IN FULL DETAILS (2 DIGIT SIC CODING).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4"/>
      </w:tblGrid>
      <w:tr w:rsidR="006E0879" w:rsidRPr="00925DF4" w14:paraId="7F9F9FB2" w14:textId="77777777" w:rsidTr="00AB3D40">
        <w:tc>
          <w:tcPr>
            <w:tcW w:w="5000" w:type="pct"/>
            <w:tcBorders>
              <w:top w:val="single" w:sz="4" w:space="0" w:color="auto"/>
              <w:left w:val="single" w:sz="4" w:space="0" w:color="auto"/>
              <w:bottom w:val="single" w:sz="4" w:space="0" w:color="auto"/>
              <w:right w:val="single" w:sz="4" w:space="0" w:color="auto"/>
            </w:tcBorders>
          </w:tcPr>
          <w:p w14:paraId="1A63BEE9" w14:textId="77777777" w:rsidR="006E0879" w:rsidRPr="00925DF4" w:rsidRDefault="006E0879" w:rsidP="00AB3D40">
            <w:pPr>
              <w:spacing w:before="120"/>
              <w:outlineLvl w:val="0"/>
              <w:rPr>
                <w:rFonts w:eastAsia="SimSun" w:cs="Arial"/>
                <w:bCs/>
                <w:color w:val="1D1D1B" w:themeColor="text1"/>
              </w:rPr>
            </w:pPr>
          </w:p>
        </w:tc>
      </w:tr>
    </w:tbl>
    <w:p w14:paraId="3792FC18" w14:textId="77777777" w:rsidR="000824F2" w:rsidRDefault="006E0879" w:rsidP="006E0879">
      <w:pPr>
        <w:rPr>
          <w:rFonts w:cs="Arial"/>
          <w:lang w:eastAsia="en-GB"/>
        </w:rPr>
      </w:pPr>
      <w:r w:rsidRPr="00925DF4">
        <w:rPr>
          <w:rFonts w:cs="Arial"/>
          <w:lang w:eastAsia="en-GB"/>
        </w:rPr>
        <w:tab/>
      </w:r>
    </w:p>
    <w:p w14:paraId="007A8E6E" w14:textId="6D7B8B11" w:rsidR="006E0879" w:rsidRPr="00C31D26" w:rsidRDefault="006E0879" w:rsidP="006E0879">
      <w:pPr>
        <w:rPr>
          <w:rFonts w:cs="Arial"/>
          <w:lang w:eastAsia="en-GB"/>
        </w:rPr>
      </w:pPr>
      <w:r w:rsidRPr="00925DF4">
        <w:rPr>
          <w:rFonts w:cs="Arial"/>
          <w:color w:val="FF0000"/>
        </w:rPr>
        <w:t xml:space="preserve">SHOW ALL LOAN RECIPIENTS </w:t>
      </w:r>
      <w:r w:rsidRPr="00925DF4">
        <w:rPr>
          <w:rFonts w:cs="Arial"/>
          <w:b/>
          <w:bCs/>
        </w:rPr>
        <w:t xml:space="preserve">The next few questions are about the external finance you have </w:t>
      </w:r>
      <w:r w:rsidRPr="00925DF4">
        <w:rPr>
          <w:rFonts w:cs="Arial"/>
          <w:b/>
          <w:color w:val="1D1D1B" w:themeColor="text1"/>
        </w:rPr>
        <w:t xml:space="preserve">obtained </w:t>
      </w:r>
      <w:r w:rsidRPr="00925DF4">
        <w:rPr>
          <w:rFonts w:cs="Arial"/>
          <w:b/>
          <w:bCs/>
        </w:rPr>
        <w:t xml:space="preserve">through the </w:t>
      </w:r>
      <w:r>
        <w:rPr>
          <w:rFonts w:cs="Arial"/>
          <w:b/>
        </w:rPr>
        <w:t>Recovery</w:t>
      </w:r>
      <w:r w:rsidRPr="00925DF4">
        <w:rPr>
          <w:rFonts w:cs="Arial"/>
          <w:b/>
        </w:rPr>
        <w:t xml:space="preserve"> Loan Scheme</w:t>
      </w:r>
      <w:r w:rsidRPr="00925DF4">
        <w:rPr>
          <w:rFonts w:cs="Arial"/>
          <w:b/>
          <w:bCs/>
        </w:rPr>
        <w:t>.</w:t>
      </w:r>
      <w:bookmarkStart w:id="86" w:name="_Hlk74176940"/>
      <w:r>
        <w:rPr>
          <w:rFonts w:cs="Arial"/>
          <w:b/>
          <w:bCs/>
        </w:rPr>
        <w:t xml:space="preserve"> </w:t>
      </w:r>
    </w:p>
    <w:p w14:paraId="115DF98C" w14:textId="77777777" w:rsidR="006E0879" w:rsidRPr="00925DF4" w:rsidRDefault="006E0879" w:rsidP="006E0879">
      <w:pPr>
        <w:rPr>
          <w:rFonts w:cs="Arial"/>
          <w:b/>
          <w:bCs/>
          <w:color w:val="1D1D1B" w:themeColor="text1"/>
        </w:rPr>
      </w:pPr>
      <w:r w:rsidRPr="00925DF4">
        <w:rPr>
          <w:rFonts w:cs="Arial"/>
          <w:color w:val="FF0000"/>
        </w:rPr>
        <w:t xml:space="preserve">ASK CONTROL GROUP </w:t>
      </w:r>
      <w:r w:rsidRPr="00925DF4">
        <w:rPr>
          <w:rFonts w:cs="Arial"/>
          <w:b/>
          <w:bCs/>
          <w:color w:val="1D1D1B" w:themeColor="text1"/>
        </w:rPr>
        <w:t xml:space="preserve">A9. Why did you not seek finance </w:t>
      </w:r>
      <w:r>
        <w:rPr>
          <w:rFonts w:cs="Arial"/>
          <w:b/>
          <w:bCs/>
          <w:color w:val="1D1D1B" w:themeColor="text1"/>
        </w:rPr>
        <w:t>under</w:t>
      </w:r>
      <w:r w:rsidRPr="00925DF4">
        <w:rPr>
          <w:rFonts w:cs="Arial"/>
          <w:b/>
          <w:color w:val="1D1D1B" w:themeColor="text1"/>
        </w:rPr>
        <w:t xml:space="preserve"> the </w:t>
      </w:r>
      <w:r>
        <w:rPr>
          <w:rFonts w:cs="Arial"/>
          <w:b/>
          <w:color w:val="1D1D1B" w:themeColor="text1"/>
        </w:rPr>
        <w:t>Recovery Loan Scheme?</w:t>
      </w:r>
      <w:r w:rsidRPr="00925DF4">
        <w:rPr>
          <w:rFonts w:cs="Arial"/>
          <w:b/>
          <w:color w:val="1D1D1B" w:themeColor="text1"/>
        </w:rPr>
        <w:t xml:space="preserve"> </w:t>
      </w:r>
    </w:p>
    <w:p w14:paraId="3F321E26" w14:textId="48BC26CB" w:rsidR="006E0879" w:rsidRPr="00C31D26" w:rsidRDefault="006E0879" w:rsidP="006E0879">
      <w:pPr>
        <w:rPr>
          <w:rFonts w:cs="Arial"/>
          <w:bCs/>
          <w:color w:val="FF0000"/>
          <w:lang w:eastAsia="en-GB"/>
        </w:rPr>
      </w:pPr>
      <w:r w:rsidRPr="00925DF4">
        <w:rPr>
          <w:rFonts w:cs="Arial"/>
          <w:bCs/>
          <w:color w:val="FF0000"/>
          <w:lang w:eastAsia="en-GB"/>
        </w:rPr>
        <w:t>MULTI CODE OK. PROMPT IF NECESSARY. ROTATE 1-4</w:t>
      </w:r>
    </w:p>
    <w:p w14:paraId="32C9EFB1" w14:textId="39AB05FA" w:rsidR="006E0879" w:rsidRPr="00C31D26" w:rsidRDefault="006E0879" w:rsidP="006E0879">
      <w:pPr>
        <w:rPr>
          <w:rFonts w:cs="Arial"/>
          <w:color w:val="FF0000"/>
        </w:rPr>
      </w:pPr>
      <w:r>
        <w:rPr>
          <w:rFonts w:cs="Arial"/>
          <w:color w:val="FF0000"/>
        </w:rPr>
        <w:t>IF WEB: Please select all that apply.</w:t>
      </w:r>
    </w:p>
    <w:p w14:paraId="07FD22E3" w14:textId="77777777" w:rsidR="006E0879" w:rsidRDefault="006E0879" w:rsidP="006E0879">
      <w:pPr>
        <w:rPr>
          <w:rFonts w:cs="Arial"/>
          <w:b/>
          <w:bCs/>
        </w:rPr>
      </w:pPr>
      <w:r>
        <w:rPr>
          <w:rFonts w:cs="Arial"/>
          <w:b/>
          <w:bCs/>
        </w:rPr>
        <w:t>READ OUT / SHOW ALL</w:t>
      </w:r>
    </w:p>
    <w:p w14:paraId="6E48C203" w14:textId="69514ABA" w:rsidR="006E0879" w:rsidRPr="00C31D26" w:rsidRDefault="006E0879" w:rsidP="006E0879">
      <w:pPr>
        <w:rPr>
          <w:rFonts w:cs="Arial"/>
          <w:b/>
          <w:bCs/>
        </w:rPr>
      </w:pPr>
      <w:r>
        <w:rPr>
          <w:rFonts w:cs="Arial"/>
          <w:b/>
          <w:bCs/>
        </w:rPr>
        <w:t xml:space="preserve">As a reminder, this </w:t>
      </w:r>
      <w:r>
        <w:rPr>
          <w:rFonts w:cs="Arial"/>
          <w:b/>
          <w:color w:val="1D1D1B" w:themeColor="text1"/>
        </w:rPr>
        <w:t>was launched by the Government in late April 2021, and closed at the end of 2021. This is distinct from the earlier loan schemes offered by the Government, such as Bounce Back Loans, Coronavirus Business Interruption Loans, or Coronavirus Large</w:t>
      </w:r>
      <w:r w:rsidR="000824F2">
        <w:rPr>
          <w:rFonts w:cs="Arial"/>
          <w:b/>
          <w:color w:val="1D1D1B" w:themeColor="text1"/>
        </w:rPr>
        <w:t xml:space="preserve"> </w:t>
      </w:r>
      <w:r>
        <w:rPr>
          <w:rFonts w:cs="Arial"/>
          <w:b/>
          <w:color w:val="1D1D1B" w:themeColor="text1"/>
        </w:rPr>
        <w:t xml:space="preserve">Business Interruption Loans, which you may also have applied for.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9085"/>
        <w:gridCol w:w="958"/>
      </w:tblGrid>
      <w:tr w:rsidR="006E0879" w:rsidRPr="00925DF4" w14:paraId="359179A8" w14:textId="77777777" w:rsidTr="00AB3D40">
        <w:trPr>
          <w:cantSplit/>
          <w:trHeight w:val="320"/>
        </w:trPr>
        <w:tc>
          <w:tcPr>
            <w:tcW w:w="4523" w:type="pct"/>
            <w:tcBorders>
              <w:top w:val="single" w:sz="4" w:space="0" w:color="auto"/>
              <w:left w:val="single" w:sz="4" w:space="0" w:color="auto"/>
              <w:bottom w:val="single" w:sz="4" w:space="0" w:color="auto"/>
              <w:right w:val="single" w:sz="4" w:space="0" w:color="auto"/>
            </w:tcBorders>
          </w:tcPr>
          <w:p w14:paraId="7847DD84"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Pr>
                <w:bCs w:val="0"/>
                <w:color w:val="1D1D1B" w:themeColor="text1"/>
                <w:sz w:val="20"/>
                <w:szCs w:val="20"/>
              </w:rPr>
              <w:t>The scheme terms and/or conditions were not attractive for my business</w:t>
            </w:r>
          </w:p>
        </w:tc>
        <w:tc>
          <w:tcPr>
            <w:tcW w:w="477" w:type="pct"/>
            <w:tcBorders>
              <w:top w:val="single" w:sz="4" w:space="0" w:color="auto"/>
              <w:left w:val="single" w:sz="4" w:space="0" w:color="auto"/>
              <w:bottom w:val="single" w:sz="4" w:space="0" w:color="auto"/>
              <w:right w:val="single" w:sz="4" w:space="0" w:color="auto"/>
            </w:tcBorders>
            <w:vAlign w:val="center"/>
          </w:tcPr>
          <w:p w14:paraId="780A1340" w14:textId="77777777" w:rsidR="006E0879" w:rsidRPr="00925DF4" w:rsidRDefault="006E0879" w:rsidP="00AB3D40">
            <w:pPr>
              <w:spacing w:before="60"/>
              <w:jc w:val="center"/>
              <w:rPr>
                <w:rFonts w:cs="Arial"/>
                <w:color w:val="1D1D1B" w:themeColor="text1"/>
              </w:rPr>
            </w:pPr>
            <w:r>
              <w:rPr>
                <w:rFonts w:cs="Arial"/>
                <w:color w:val="1D1D1B" w:themeColor="text1"/>
              </w:rPr>
              <w:t>1</w:t>
            </w:r>
          </w:p>
        </w:tc>
      </w:tr>
      <w:tr w:rsidR="006E0879" w:rsidRPr="00925DF4" w14:paraId="519DB0C7" w14:textId="77777777" w:rsidTr="00AB3D40">
        <w:trPr>
          <w:cantSplit/>
          <w:trHeight w:val="320"/>
        </w:trPr>
        <w:tc>
          <w:tcPr>
            <w:tcW w:w="4523" w:type="pct"/>
            <w:tcBorders>
              <w:top w:val="single" w:sz="4" w:space="0" w:color="auto"/>
              <w:left w:val="single" w:sz="4" w:space="0" w:color="auto"/>
              <w:bottom w:val="single" w:sz="4" w:space="0" w:color="auto"/>
              <w:right w:val="single" w:sz="4" w:space="0" w:color="auto"/>
            </w:tcBorders>
          </w:tcPr>
          <w:p w14:paraId="28F5022A"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I was not aware of the scheme</w:t>
            </w:r>
          </w:p>
        </w:tc>
        <w:tc>
          <w:tcPr>
            <w:tcW w:w="477" w:type="pct"/>
            <w:tcBorders>
              <w:top w:val="single" w:sz="4" w:space="0" w:color="auto"/>
              <w:left w:val="single" w:sz="4" w:space="0" w:color="auto"/>
              <w:bottom w:val="single" w:sz="4" w:space="0" w:color="auto"/>
              <w:right w:val="single" w:sz="4" w:space="0" w:color="auto"/>
            </w:tcBorders>
            <w:vAlign w:val="center"/>
          </w:tcPr>
          <w:p w14:paraId="5A60E0D2" w14:textId="77777777" w:rsidR="006E0879" w:rsidRPr="00925DF4" w:rsidRDefault="006E0879" w:rsidP="00AB3D40">
            <w:pPr>
              <w:spacing w:before="60"/>
              <w:jc w:val="center"/>
              <w:rPr>
                <w:rFonts w:cs="Arial"/>
                <w:color w:val="1D1D1B" w:themeColor="text1"/>
              </w:rPr>
            </w:pPr>
            <w:r>
              <w:rPr>
                <w:rFonts w:cs="Arial"/>
                <w:color w:val="1D1D1B" w:themeColor="text1"/>
              </w:rPr>
              <w:t>2</w:t>
            </w:r>
          </w:p>
        </w:tc>
      </w:tr>
      <w:tr w:rsidR="006E0879" w:rsidRPr="00925DF4" w14:paraId="4340DA98" w14:textId="77777777" w:rsidTr="00AB3D40">
        <w:trPr>
          <w:cantSplit/>
          <w:trHeight w:val="320"/>
        </w:trPr>
        <w:tc>
          <w:tcPr>
            <w:tcW w:w="4523" w:type="pct"/>
            <w:tcBorders>
              <w:top w:val="single" w:sz="4" w:space="0" w:color="auto"/>
              <w:left w:val="single" w:sz="4" w:space="0" w:color="auto"/>
              <w:bottom w:val="single" w:sz="4" w:space="0" w:color="auto"/>
              <w:right w:val="single" w:sz="4" w:space="0" w:color="auto"/>
            </w:tcBorders>
          </w:tcPr>
          <w:p w14:paraId="2993AFFD"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Pr>
                <w:bCs w:val="0"/>
                <w:color w:val="1D1D1B" w:themeColor="text1"/>
                <w:sz w:val="20"/>
                <w:szCs w:val="20"/>
              </w:rPr>
              <w:t>I d</w:t>
            </w:r>
            <w:r w:rsidRPr="00E919D0">
              <w:rPr>
                <w:bCs w:val="0"/>
                <w:color w:val="1D1D1B" w:themeColor="text1"/>
                <w:sz w:val="20"/>
                <w:szCs w:val="20"/>
              </w:rPr>
              <w:t>id not want to take on debt (or take on more debt)</w:t>
            </w:r>
          </w:p>
        </w:tc>
        <w:tc>
          <w:tcPr>
            <w:tcW w:w="477" w:type="pct"/>
            <w:tcBorders>
              <w:top w:val="single" w:sz="4" w:space="0" w:color="auto"/>
              <w:left w:val="single" w:sz="4" w:space="0" w:color="auto"/>
              <w:bottom w:val="single" w:sz="4" w:space="0" w:color="auto"/>
              <w:right w:val="single" w:sz="4" w:space="0" w:color="auto"/>
            </w:tcBorders>
            <w:vAlign w:val="center"/>
          </w:tcPr>
          <w:p w14:paraId="21D353C1" w14:textId="77777777" w:rsidR="006E0879" w:rsidRPr="00925DF4" w:rsidRDefault="006E0879" w:rsidP="00AB3D40">
            <w:pPr>
              <w:spacing w:before="60"/>
              <w:jc w:val="center"/>
              <w:rPr>
                <w:rFonts w:cs="Arial"/>
                <w:color w:val="1D1D1B" w:themeColor="text1"/>
              </w:rPr>
            </w:pPr>
            <w:r>
              <w:rPr>
                <w:rFonts w:cs="Arial"/>
                <w:color w:val="1D1D1B" w:themeColor="text1"/>
              </w:rPr>
              <w:t>3</w:t>
            </w:r>
          </w:p>
        </w:tc>
      </w:tr>
      <w:tr w:rsidR="006E0879" w:rsidRPr="00925DF4" w14:paraId="74A3BAAF" w14:textId="77777777" w:rsidTr="00AB3D40">
        <w:trPr>
          <w:cantSplit/>
          <w:trHeight w:val="320"/>
        </w:trPr>
        <w:tc>
          <w:tcPr>
            <w:tcW w:w="4523" w:type="pct"/>
            <w:tcBorders>
              <w:top w:val="single" w:sz="4" w:space="0" w:color="auto"/>
              <w:left w:val="single" w:sz="4" w:space="0" w:color="auto"/>
              <w:bottom w:val="single" w:sz="4" w:space="0" w:color="auto"/>
              <w:right w:val="single" w:sz="4" w:space="0" w:color="auto"/>
            </w:tcBorders>
          </w:tcPr>
          <w:p w14:paraId="2A0EDE00"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 xml:space="preserve">Another reason </w:t>
            </w:r>
          </w:p>
        </w:tc>
        <w:tc>
          <w:tcPr>
            <w:tcW w:w="477" w:type="pct"/>
            <w:tcBorders>
              <w:top w:val="single" w:sz="4" w:space="0" w:color="auto"/>
              <w:left w:val="single" w:sz="4" w:space="0" w:color="auto"/>
              <w:bottom w:val="single" w:sz="4" w:space="0" w:color="auto"/>
              <w:right w:val="single" w:sz="4" w:space="0" w:color="auto"/>
            </w:tcBorders>
            <w:vAlign w:val="center"/>
          </w:tcPr>
          <w:p w14:paraId="1767653E" w14:textId="77777777" w:rsidR="006E0879" w:rsidRPr="00925DF4" w:rsidRDefault="006E0879" w:rsidP="00AB3D40">
            <w:pPr>
              <w:spacing w:before="60"/>
              <w:jc w:val="center"/>
              <w:rPr>
                <w:rFonts w:cs="Arial"/>
                <w:color w:val="1D1D1B" w:themeColor="text1"/>
              </w:rPr>
            </w:pPr>
            <w:r>
              <w:rPr>
                <w:rFonts w:cs="Arial"/>
                <w:color w:val="1D1D1B" w:themeColor="text1"/>
              </w:rPr>
              <w:t>4</w:t>
            </w:r>
          </w:p>
        </w:tc>
      </w:tr>
      <w:tr w:rsidR="006E0879" w:rsidRPr="00925DF4" w14:paraId="3D9E45F9" w14:textId="77777777" w:rsidTr="00AB3D40">
        <w:trPr>
          <w:cantSplit/>
          <w:trHeight w:val="320"/>
        </w:trPr>
        <w:tc>
          <w:tcPr>
            <w:tcW w:w="4523" w:type="pct"/>
            <w:tcBorders>
              <w:top w:val="single" w:sz="4" w:space="0" w:color="auto"/>
              <w:left w:val="single" w:sz="4" w:space="0" w:color="auto"/>
              <w:bottom w:val="single" w:sz="4" w:space="0" w:color="auto"/>
              <w:right w:val="single" w:sz="4" w:space="0" w:color="auto"/>
            </w:tcBorders>
          </w:tcPr>
          <w:p w14:paraId="483DD07F"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Don’t know</w:t>
            </w:r>
          </w:p>
        </w:tc>
        <w:tc>
          <w:tcPr>
            <w:tcW w:w="477" w:type="pct"/>
            <w:tcBorders>
              <w:top w:val="single" w:sz="4" w:space="0" w:color="auto"/>
              <w:left w:val="single" w:sz="4" w:space="0" w:color="auto"/>
              <w:bottom w:val="single" w:sz="4" w:space="0" w:color="auto"/>
              <w:right w:val="single" w:sz="4" w:space="0" w:color="auto"/>
            </w:tcBorders>
            <w:vAlign w:val="center"/>
          </w:tcPr>
          <w:p w14:paraId="06747AF9" w14:textId="77777777" w:rsidR="006E0879" w:rsidRPr="00925DF4" w:rsidRDefault="006E0879" w:rsidP="00AB3D40">
            <w:pPr>
              <w:spacing w:before="60"/>
              <w:jc w:val="center"/>
              <w:rPr>
                <w:rFonts w:cs="Arial"/>
                <w:color w:val="1D1D1B" w:themeColor="text1"/>
              </w:rPr>
            </w:pPr>
            <w:r w:rsidRPr="00925DF4">
              <w:rPr>
                <w:rFonts w:cs="Arial"/>
                <w:color w:val="1D1D1B" w:themeColor="text1"/>
              </w:rPr>
              <w:t>98</w:t>
            </w:r>
          </w:p>
        </w:tc>
      </w:tr>
      <w:tr w:rsidR="006E0879" w:rsidRPr="00925DF4" w14:paraId="06E5E615" w14:textId="77777777" w:rsidTr="00AB3D40">
        <w:trPr>
          <w:cantSplit/>
          <w:trHeight w:val="320"/>
        </w:trPr>
        <w:tc>
          <w:tcPr>
            <w:tcW w:w="4523" w:type="pct"/>
            <w:tcBorders>
              <w:top w:val="single" w:sz="4" w:space="0" w:color="auto"/>
              <w:left w:val="single" w:sz="4" w:space="0" w:color="auto"/>
              <w:bottom w:val="single" w:sz="4" w:space="0" w:color="auto"/>
              <w:right w:val="single" w:sz="4" w:space="0" w:color="auto"/>
            </w:tcBorders>
            <w:vAlign w:val="center"/>
          </w:tcPr>
          <w:p w14:paraId="7BEF3F0A" w14:textId="77777777" w:rsidR="006E0879" w:rsidRPr="00925DF4" w:rsidRDefault="006E0879" w:rsidP="00AB3D40">
            <w:pPr>
              <w:pStyle w:val="responsecodes"/>
              <w:tabs>
                <w:tab w:val="left" w:pos="0"/>
                <w:tab w:val="left" w:leader="dot" w:pos="8280"/>
              </w:tabs>
              <w:spacing w:before="60"/>
              <w:ind w:left="0"/>
              <w:rPr>
                <w:bCs w:val="0"/>
                <w:color w:val="1D1D1B" w:themeColor="text1"/>
                <w:sz w:val="20"/>
                <w:szCs w:val="20"/>
              </w:rPr>
            </w:pPr>
            <w:r w:rsidRPr="00925DF4">
              <w:rPr>
                <w:bCs w:val="0"/>
                <w:color w:val="1D1D1B" w:themeColor="text1"/>
                <w:sz w:val="20"/>
                <w:szCs w:val="20"/>
              </w:rPr>
              <w:t>Refused</w:t>
            </w:r>
          </w:p>
        </w:tc>
        <w:tc>
          <w:tcPr>
            <w:tcW w:w="477" w:type="pct"/>
            <w:tcBorders>
              <w:top w:val="single" w:sz="4" w:space="0" w:color="auto"/>
              <w:left w:val="single" w:sz="4" w:space="0" w:color="auto"/>
              <w:bottom w:val="single" w:sz="4" w:space="0" w:color="auto"/>
              <w:right w:val="single" w:sz="4" w:space="0" w:color="auto"/>
            </w:tcBorders>
            <w:vAlign w:val="center"/>
          </w:tcPr>
          <w:p w14:paraId="24525DD1" w14:textId="77777777" w:rsidR="006E0879" w:rsidRPr="00925DF4" w:rsidRDefault="006E0879" w:rsidP="00AB3D40">
            <w:pPr>
              <w:spacing w:before="60"/>
              <w:jc w:val="center"/>
              <w:rPr>
                <w:rFonts w:cs="Arial"/>
                <w:color w:val="1D1D1B" w:themeColor="text1"/>
              </w:rPr>
            </w:pPr>
            <w:r w:rsidRPr="00925DF4">
              <w:rPr>
                <w:rFonts w:cs="Arial"/>
              </w:rPr>
              <w:t>99</w:t>
            </w:r>
          </w:p>
        </w:tc>
      </w:tr>
      <w:bookmarkEnd w:id="86"/>
    </w:tbl>
    <w:p w14:paraId="45435419" w14:textId="77777777" w:rsidR="000824F2" w:rsidRDefault="000824F2" w:rsidP="006E0879">
      <w:pPr>
        <w:spacing w:after="160" w:line="259" w:lineRule="auto"/>
        <w:rPr>
          <w:rFonts w:cs="Arial"/>
          <w:bCs/>
          <w:color w:val="FF0000"/>
          <w:lang w:eastAsia="en-GB"/>
        </w:rPr>
      </w:pPr>
    </w:p>
    <w:p w14:paraId="0702BBB1" w14:textId="6EBC34D2" w:rsidR="006E0879" w:rsidRPr="00FF2B73" w:rsidRDefault="006E0879" w:rsidP="006E0879">
      <w:pPr>
        <w:spacing w:after="160" w:line="259" w:lineRule="auto"/>
        <w:rPr>
          <w:rFonts w:cs="Arial"/>
          <w:color w:val="FF0000"/>
        </w:rPr>
      </w:pPr>
      <w:r w:rsidRPr="00925DF4">
        <w:rPr>
          <w:rFonts w:cs="Arial"/>
          <w:bCs/>
          <w:color w:val="FF0000"/>
          <w:lang w:eastAsia="en-GB"/>
        </w:rPr>
        <w:t xml:space="preserve">ASK ALL </w:t>
      </w:r>
      <w:r w:rsidRPr="00925DF4">
        <w:rPr>
          <w:rFonts w:cs="Arial"/>
          <w:color w:val="FF0000"/>
        </w:rPr>
        <w:t>LOAN</w:t>
      </w:r>
    </w:p>
    <w:p w14:paraId="52EC44CB" w14:textId="46F43F4D" w:rsidR="006E0879" w:rsidRDefault="006E0879" w:rsidP="006E0879">
      <w:pPr>
        <w:rPr>
          <w:rFonts w:cs="Arial"/>
          <w:color w:val="F06603" w:themeColor="accent6"/>
        </w:rPr>
      </w:pPr>
      <w:r w:rsidRPr="00925DF4">
        <w:rPr>
          <w:rFonts w:cs="Arial"/>
          <w:b/>
          <w:bCs/>
        </w:rPr>
        <w:t xml:space="preserve">A18 </w:t>
      </w:r>
      <w:r w:rsidRPr="00925DF4">
        <w:rPr>
          <w:rFonts w:cs="Arial"/>
          <w:b/>
        </w:rPr>
        <w:t xml:space="preserve">How did your business use the external finance obtained </w:t>
      </w:r>
      <w:r>
        <w:rPr>
          <w:rFonts w:cs="Arial"/>
          <w:b/>
        </w:rPr>
        <w:t>through</w:t>
      </w:r>
      <w:r w:rsidRPr="00925DF4">
        <w:rPr>
          <w:rFonts w:cs="Arial"/>
          <w:b/>
        </w:rPr>
        <w:t xml:space="preserve"> the</w:t>
      </w:r>
      <w:r w:rsidRPr="00925DF4">
        <w:rPr>
          <w:rFonts w:cs="Arial"/>
        </w:rPr>
        <w:t xml:space="preserve"> </w:t>
      </w:r>
      <w:r>
        <w:rPr>
          <w:rFonts w:cs="Arial"/>
          <w:b/>
          <w:bCs/>
          <w:iCs/>
        </w:rPr>
        <w:t>Recovery</w:t>
      </w:r>
      <w:r w:rsidRPr="00925DF4">
        <w:rPr>
          <w:rFonts w:cs="Arial"/>
          <w:b/>
          <w:bCs/>
          <w:iCs/>
        </w:rPr>
        <w:t xml:space="preserve"> Loan Scheme</w:t>
      </w:r>
      <w:r w:rsidRPr="00925DF4">
        <w:rPr>
          <w:rFonts w:cs="Arial"/>
        </w:rPr>
        <w:t xml:space="preserve">?  </w:t>
      </w:r>
      <w:r w:rsidRPr="00925DF4">
        <w:rPr>
          <w:rFonts w:cs="Arial"/>
          <w:color w:val="FF0000"/>
        </w:rPr>
        <w:t xml:space="preserve">ROTATE A TO </w:t>
      </w:r>
      <w:r>
        <w:rPr>
          <w:rFonts w:cs="Arial"/>
          <w:color w:val="FF0000"/>
        </w:rPr>
        <w:t>J</w:t>
      </w:r>
      <w:r w:rsidRPr="00925DF4">
        <w:rPr>
          <w:rFonts w:cs="Arial"/>
          <w:color w:val="FF0000"/>
        </w:rPr>
        <w:t xml:space="preserve"> MULTICODE OK. </w:t>
      </w:r>
      <w:r w:rsidRPr="00925DF4">
        <w:rPr>
          <w:rFonts w:cs="Arial"/>
          <w:color w:val="F06603" w:themeColor="accent6"/>
        </w:rPr>
        <w:t xml:space="preserve">READ OUT A TO </w:t>
      </w:r>
      <w:r>
        <w:rPr>
          <w:rFonts w:cs="Arial"/>
          <w:color w:val="F06603" w:themeColor="accent6"/>
        </w:rPr>
        <w:t>J</w:t>
      </w:r>
      <w:r w:rsidRPr="00925DF4">
        <w:rPr>
          <w:rFonts w:cs="Arial"/>
          <w:color w:val="F06603" w:themeColor="accent6"/>
        </w:rPr>
        <w:t>.</w:t>
      </w:r>
    </w:p>
    <w:p w14:paraId="4D18111D" w14:textId="77777777" w:rsidR="006E0879" w:rsidRDefault="006E0879" w:rsidP="006E0879">
      <w:pPr>
        <w:rPr>
          <w:rFonts w:cs="Arial"/>
          <w:b/>
          <w:bCs/>
        </w:rPr>
      </w:pPr>
      <w:r>
        <w:rPr>
          <w:rFonts w:cs="Arial"/>
          <w:b/>
          <w:bCs/>
        </w:rPr>
        <w:t>READ OUT / SHOW TO THOSE WHO WERE IN RECEIPT OF COVID LOANS (CODE 1 AT S3A)</w:t>
      </w:r>
    </w:p>
    <w:p w14:paraId="78332350" w14:textId="479EEC85" w:rsidR="006E0879" w:rsidRPr="00C31D26" w:rsidRDefault="006E0879" w:rsidP="006E0879">
      <w:pPr>
        <w:rPr>
          <w:rFonts w:cs="Arial"/>
          <w:b/>
          <w:bCs/>
        </w:rPr>
      </w:pPr>
      <w:r>
        <w:rPr>
          <w:rFonts w:cs="Arial"/>
          <w:b/>
          <w:bCs/>
        </w:rPr>
        <w:t xml:space="preserve">As a reminder, this </w:t>
      </w:r>
      <w:r>
        <w:rPr>
          <w:rFonts w:cs="Arial"/>
          <w:b/>
          <w:color w:val="1D1D1B" w:themeColor="text1"/>
        </w:rPr>
        <w:t xml:space="preserve">is distinct from the earlier loan schemes offered by the Government, such as Bounce Back Loans, Coronavirus Business Interruption Loans, or Coronavirus Large Business Interruption Loans, which you may also have applied for. </w:t>
      </w:r>
    </w:p>
    <w:p w14:paraId="5CDEAB32" w14:textId="3F3667CD" w:rsidR="006E0879" w:rsidRPr="00925DF4" w:rsidRDefault="006E0879" w:rsidP="006E0879">
      <w:pPr>
        <w:rPr>
          <w:rFonts w:cs="Arial"/>
          <w:color w:val="FF0000"/>
        </w:rPr>
      </w:pPr>
      <w:r w:rsidRPr="00450576">
        <w:rPr>
          <w:rFonts w:cs="Arial"/>
          <w:color w:val="FF0000"/>
        </w:rPr>
        <w:t>I</w:t>
      </w:r>
      <w:r w:rsidR="000824F2">
        <w:rPr>
          <w:rFonts w:cs="Arial"/>
          <w:color w:val="FF0000"/>
        </w:rPr>
        <w:t>F</w:t>
      </w:r>
      <w:r w:rsidRPr="00450576">
        <w:rPr>
          <w:rFonts w:cs="Arial"/>
          <w:color w:val="FF0000"/>
        </w:rPr>
        <w:t xml:space="preserve"> WEB: Please select all that apply</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
        <w:gridCol w:w="8294"/>
        <w:gridCol w:w="958"/>
      </w:tblGrid>
      <w:tr w:rsidR="006E0879" w:rsidRPr="00925DF4" w14:paraId="7BBFAAF8" w14:textId="77777777" w:rsidTr="00AB3D40">
        <w:tc>
          <w:tcPr>
            <w:tcW w:w="394" w:type="pct"/>
            <w:tcBorders>
              <w:top w:val="single" w:sz="4" w:space="0" w:color="auto"/>
              <w:left w:val="single" w:sz="4" w:space="0" w:color="auto"/>
              <w:bottom w:val="single" w:sz="4" w:space="0" w:color="auto"/>
              <w:right w:val="single" w:sz="4" w:space="0" w:color="auto"/>
            </w:tcBorders>
          </w:tcPr>
          <w:p w14:paraId="655A962C" w14:textId="77777777" w:rsidR="006E0879" w:rsidRPr="00925DF4" w:rsidRDefault="006E0879" w:rsidP="00AB3D40">
            <w:pPr>
              <w:pStyle w:val="resptext"/>
              <w:tabs>
                <w:tab w:val="left" w:pos="720"/>
              </w:tabs>
              <w:spacing w:before="60"/>
              <w:ind w:left="0"/>
            </w:pPr>
            <w:r w:rsidRPr="00925DF4">
              <w:t>A</w:t>
            </w:r>
          </w:p>
        </w:tc>
        <w:tc>
          <w:tcPr>
            <w:tcW w:w="4129" w:type="pct"/>
            <w:tcBorders>
              <w:top w:val="single" w:sz="4" w:space="0" w:color="auto"/>
              <w:left w:val="single" w:sz="4" w:space="0" w:color="auto"/>
              <w:bottom w:val="single" w:sz="4" w:space="0" w:color="auto"/>
              <w:right w:val="single" w:sz="4" w:space="0" w:color="auto"/>
            </w:tcBorders>
          </w:tcPr>
          <w:p w14:paraId="5F3FFD3C" w14:textId="77777777" w:rsidR="006E0879" w:rsidRPr="00925DF4" w:rsidRDefault="006E0879" w:rsidP="00AB3D40">
            <w:pPr>
              <w:pStyle w:val="resptext"/>
              <w:tabs>
                <w:tab w:val="left" w:pos="720"/>
              </w:tabs>
              <w:spacing w:before="60"/>
              <w:ind w:left="0"/>
            </w:pPr>
            <w:r w:rsidRPr="00925DF4">
              <w:rPr>
                <w:bCs/>
                <w:color w:val="1D1D1B" w:themeColor="text1"/>
              </w:rPr>
              <w:t>Pay staff salaries</w:t>
            </w:r>
          </w:p>
        </w:tc>
        <w:tc>
          <w:tcPr>
            <w:tcW w:w="477" w:type="pct"/>
            <w:tcBorders>
              <w:top w:val="single" w:sz="4" w:space="0" w:color="auto"/>
              <w:left w:val="single" w:sz="4" w:space="0" w:color="auto"/>
              <w:bottom w:val="single" w:sz="4" w:space="0" w:color="auto"/>
              <w:right w:val="single" w:sz="4" w:space="0" w:color="auto"/>
            </w:tcBorders>
          </w:tcPr>
          <w:p w14:paraId="34E2CC2D" w14:textId="77777777" w:rsidR="006E0879" w:rsidRPr="00925DF4" w:rsidRDefault="006E0879" w:rsidP="00AB3D40">
            <w:pPr>
              <w:pStyle w:val="resptext"/>
              <w:tabs>
                <w:tab w:val="left" w:pos="720"/>
              </w:tabs>
              <w:spacing w:before="60"/>
              <w:ind w:left="0"/>
              <w:jc w:val="center"/>
            </w:pPr>
            <w:r w:rsidRPr="00925DF4">
              <w:t>1</w:t>
            </w:r>
          </w:p>
        </w:tc>
      </w:tr>
      <w:tr w:rsidR="006E0879" w:rsidRPr="00925DF4" w14:paraId="2654C078" w14:textId="77777777" w:rsidTr="00AB3D40">
        <w:tc>
          <w:tcPr>
            <w:tcW w:w="394" w:type="pct"/>
            <w:tcBorders>
              <w:top w:val="single" w:sz="4" w:space="0" w:color="auto"/>
              <w:left w:val="single" w:sz="4" w:space="0" w:color="auto"/>
              <w:bottom w:val="single" w:sz="4" w:space="0" w:color="auto"/>
              <w:right w:val="single" w:sz="4" w:space="0" w:color="auto"/>
            </w:tcBorders>
          </w:tcPr>
          <w:p w14:paraId="030ED705" w14:textId="77777777" w:rsidR="006E0879" w:rsidRPr="00925DF4" w:rsidRDefault="006E0879" w:rsidP="00AB3D40">
            <w:pPr>
              <w:pStyle w:val="resptext"/>
              <w:tabs>
                <w:tab w:val="left" w:pos="720"/>
              </w:tabs>
              <w:spacing w:before="60"/>
              <w:ind w:left="0"/>
            </w:pPr>
            <w:r>
              <w:t>B</w:t>
            </w:r>
          </w:p>
        </w:tc>
        <w:tc>
          <w:tcPr>
            <w:tcW w:w="4129" w:type="pct"/>
            <w:tcBorders>
              <w:top w:val="single" w:sz="4" w:space="0" w:color="auto"/>
              <w:left w:val="single" w:sz="4" w:space="0" w:color="auto"/>
              <w:bottom w:val="single" w:sz="4" w:space="0" w:color="auto"/>
              <w:right w:val="single" w:sz="4" w:space="0" w:color="auto"/>
            </w:tcBorders>
          </w:tcPr>
          <w:p w14:paraId="6B5B9615" w14:textId="77777777" w:rsidR="006E0879" w:rsidRPr="00925DF4" w:rsidRDefault="006E0879" w:rsidP="00AB3D40">
            <w:pPr>
              <w:pStyle w:val="resptext"/>
              <w:tabs>
                <w:tab w:val="left" w:pos="720"/>
              </w:tabs>
              <w:spacing w:before="60"/>
              <w:ind w:left="0"/>
              <w:rPr>
                <w:bCs/>
                <w:color w:val="1D1D1B" w:themeColor="text1"/>
              </w:rPr>
            </w:pPr>
            <w:r>
              <w:rPr>
                <w:color w:val="1D1D1B" w:themeColor="text1"/>
              </w:rPr>
              <w:t>Purchase of materials and/or goods</w:t>
            </w:r>
          </w:p>
        </w:tc>
        <w:tc>
          <w:tcPr>
            <w:tcW w:w="477" w:type="pct"/>
            <w:tcBorders>
              <w:top w:val="single" w:sz="4" w:space="0" w:color="auto"/>
              <w:left w:val="single" w:sz="4" w:space="0" w:color="auto"/>
              <w:bottom w:val="single" w:sz="4" w:space="0" w:color="auto"/>
              <w:right w:val="single" w:sz="4" w:space="0" w:color="auto"/>
            </w:tcBorders>
          </w:tcPr>
          <w:p w14:paraId="33999779" w14:textId="77777777" w:rsidR="006E0879" w:rsidRPr="00925DF4" w:rsidRDefault="006E0879" w:rsidP="00AB3D40">
            <w:pPr>
              <w:pStyle w:val="resptext"/>
              <w:tabs>
                <w:tab w:val="left" w:pos="720"/>
              </w:tabs>
              <w:spacing w:before="60"/>
              <w:ind w:left="0"/>
              <w:jc w:val="center"/>
            </w:pPr>
            <w:r>
              <w:t>2</w:t>
            </w:r>
          </w:p>
        </w:tc>
      </w:tr>
      <w:tr w:rsidR="006E0879" w:rsidRPr="00925DF4" w14:paraId="36490B6F" w14:textId="77777777" w:rsidTr="00AB3D40">
        <w:tc>
          <w:tcPr>
            <w:tcW w:w="394" w:type="pct"/>
            <w:tcBorders>
              <w:top w:val="single" w:sz="4" w:space="0" w:color="auto"/>
              <w:left w:val="single" w:sz="4" w:space="0" w:color="auto"/>
              <w:bottom w:val="single" w:sz="4" w:space="0" w:color="auto"/>
              <w:right w:val="single" w:sz="4" w:space="0" w:color="auto"/>
            </w:tcBorders>
          </w:tcPr>
          <w:p w14:paraId="1C688853" w14:textId="77777777" w:rsidR="006E0879" w:rsidRPr="00925DF4" w:rsidRDefault="006E0879" w:rsidP="00AB3D40">
            <w:pPr>
              <w:pStyle w:val="resptext"/>
              <w:tabs>
                <w:tab w:val="left" w:pos="720"/>
              </w:tabs>
              <w:spacing w:before="60"/>
              <w:ind w:left="0"/>
            </w:pPr>
            <w:r>
              <w:t>C</w:t>
            </w:r>
          </w:p>
        </w:tc>
        <w:tc>
          <w:tcPr>
            <w:tcW w:w="4129" w:type="pct"/>
            <w:tcBorders>
              <w:top w:val="single" w:sz="4" w:space="0" w:color="auto"/>
              <w:left w:val="single" w:sz="4" w:space="0" w:color="auto"/>
              <w:bottom w:val="single" w:sz="4" w:space="0" w:color="auto"/>
              <w:right w:val="single" w:sz="4" w:space="0" w:color="auto"/>
            </w:tcBorders>
          </w:tcPr>
          <w:p w14:paraId="71428BA0" w14:textId="77777777" w:rsidR="006E0879" w:rsidRPr="00925DF4" w:rsidRDefault="006E0879" w:rsidP="00AB3D40">
            <w:pPr>
              <w:pStyle w:val="resptext"/>
              <w:tabs>
                <w:tab w:val="left" w:pos="720"/>
              </w:tabs>
              <w:spacing w:before="60"/>
              <w:ind w:left="0"/>
            </w:pPr>
            <w:r>
              <w:rPr>
                <w:bCs/>
                <w:color w:val="1D1D1B" w:themeColor="text1"/>
              </w:rPr>
              <w:t>Fund day to day costs/expenses (other than materials and/or goods)</w:t>
            </w:r>
          </w:p>
        </w:tc>
        <w:tc>
          <w:tcPr>
            <w:tcW w:w="477" w:type="pct"/>
            <w:tcBorders>
              <w:top w:val="single" w:sz="4" w:space="0" w:color="auto"/>
              <w:left w:val="single" w:sz="4" w:space="0" w:color="auto"/>
              <w:bottom w:val="single" w:sz="4" w:space="0" w:color="auto"/>
              <w:right w:val="single" w:sz="4" w:space="0" w:color="auto"/>
            </w:tcBorders>
          </w:tcPr>
          <w:p w14:paraId="20F3712A" w14:textId="77777777" w:rsidR="006E0879" w:rsidRPr="00925DF4" w:rsidRDefault="006E0879" w:rsidP="00AB3D40">
            <w:pPr>
              <w:pStyle w:val="resptext"/>
              <w:tabs>
                <w:tab w:val="left" w:pos="720"/>
              </w:tabs>
              <w:spacing w:before="60"/>
              <w:ind w:left="0"/>
              <w:jc w:val="center"/>
            </w:pPr>
            <w:r>
              <w:t>3</w:t>
            </w:r>
          </w:p>
        </w:tc>
      </w:tr>
      <w:tr w:rsidR="006E0879" w:rsidRPr="00925DF4" w14:paraId="30AC29B5" w14:textId="77777777" w:rsidTr="00AB3D40">
        <w:tc>
          <w:tcPr>
            <w:tcW w:w="394" w:type="pct"/>
            <w:tcBorders>
              <w:top w:val="single" w:sz="4" w:space="0" w:color="auto"/>
              <w:left w:val="single" w:sz="4" w:space="0" w:color="auto"/>
              <w:bottom w:val="single" w:sz="4" w:space="0" w:color="auto"/>
              <w:right w:val="single" w:sz="4" w:space="0" w:color="auto"/>
            </w:tcBorders>
          </w:tcPr>
          <w:p w14:paraId="2B487D7D" w14:textId="77777777" w:rsidR="006E0879" w:rsidRPr="00925DF4" w:rsidRDefault="006E0879" w:rsidP="00AB3D40">
            <w:pPr>
              <w:pStyle w:val="resptext"/>
              <w:tabs>
                <w:tab w:val="left" w:pos="720"/>
              </w:tabs>
              <w:spacing w:before="60"/>
              <w:ind w:left="0"/>
            </w:pPr>
            <w:r>
              <w:t>D</w:t>
            </w:r>
          </w:p>
        </w:tc>
        <w:tc>
          <w:tcPr>
            <w:tcW w:w="4129" w:type="pct"/>
            <w:tcBorders>
              <w:top w:val="single" w:sz="4" w:space="0" w:color="auto"/>
              <w:left w:val="single" w:sz="4" w:space="0" w:color="auto"/>
              <w:bottom w:val="single" w:sz="4" w:space="0" w:color="auto"/>
              <w:right w:val="single" w:sz="4" w:space="0" w:color="auto"/>
            </w:tcBorders>
          </w:tcPr>
          <w:p w14:paraId="1702E7EC" w14:textId="77777777" w:rsidR="006E0879" w:rsidRPr="00925DF4" w:rsidRDefault="006E0879" w:rsidP="00AB3D40">
            <w:pPr>
              <w:pStyle w:val="resptext"/>
              <w:tabs>
                <w:tab w:val="left" w:pos="720"/>
              </w:tabs>
              <w:spacing w:before="60"/>
              <w:ind w:left="0"/>
              <w:rPr>
                <w:bCs/>
                <w:color w:val="1D1D1B" w:themeColor="text1"/>
              </w:rPr>
            </w:pPr>
            <w:r>
              <w:rPr>
                <w:bCs/>
                <w:color w:val="1D1D1B" w:themeColor="text1"/>
              </w:rPr>
              <w:t>Change business model, e.g. moving to online service provision or improving digital capability</w:t>
            </w:r>
          </w:p>
        </w:tc>
        <w:tc>
          <w:tcPr>
            <w:tcW w:w="477" w:type="pct"/>
            <w:tcBorders>
              <w:top w:val="single" w:sz="4" w:space="0" w:color="auto"/>
              <w:left w:val="single" w:sz="4" w:space="0" w:color="auto"/>
              <w:bottom w:val="single" w:sz="4" w:space="0" w:color="auto"/>
              <w:right w:val="single" w:sz="4" w:space="0" w:color="auto"/>
            </w:tcBorders>
          </w:tcPr>
          <w:p w14:paraId="65881575" w14:textId="77777777" w:rsidR="006E0879" w:rsidRPr="00925DF4" w:rsidRDefault="006E0879" w:rsidP="00AB3D40">
            <w:pPr>
              <w:pStyle w:val="resptext"/>
              <w:tabs>
                <w:tab w:val="left" w:pos="720"/>
              </w:tabs>
              <w:spacing w:before="60"/>
              <w:ind w:left="0"/>
              <w:jc w:val="center"/>
            </w:pPr>
            <w:r>
              <w:t>4</w:t>
            </w:r>
          </w:p>
        </w:tc>
      </w:tr>
      <w:tr w:rsidR="006E0879" w:rsidRPr="00925DF4" w14:paraId="2ACA2E78" w14:textId="77777777" w:rsidTr="00AB3D40">
        <w:tc>
          <w:tcPr>
            <w:tcW w:w="394" w:type="pct"/>
            <w:tcBorders>
              <w:top w:val="single" w:sz="4" w:space="0" w:color="auto"/>
              <w:left w:val="single" w:sz="4" w:space="0" w:color="auto"/>
              <w:bottom w:val="single" w:sz="4" w:space="0" w:color="auto"/>
              <w:right w:val="single" w:sz="4" w:space="0" w:color="auto"/>
            </w:tcBorders>
          </w:tcPr>
          <w:p w14:paraId="57C8D66D" w14:textId="77777777" w:rsidR="006E0879" w:rsidRPr="00925DF4" w:rsidRDefault="006E0879" w:rsidP="00AB3D40">
            <w:pPr>
              <w:pStyle w:val="resptext"/>
              <w:tabs>
                <w:tab w:val="left" w:pos="720"/>
              </w:tabs>
              <w:spacing w:before="60"/>
              <w:ind w:left="0"/>
            </w:pPr>
            <w:r>
              <w:t>E</w:t>
            </w:r>
          </w:p>
        </w:tc>
        <w:tc>
          <w:tcPr>
            <w:tcW w:w="4129" w:type="pct"/>
            <w:tcBorders>
              <w:top w:val="single" w:sz="4" w:space="0" w:color="auto"/>
              <w:left w:val="single" w:sz="4" w:space="0" w:color="auto"/>
              <w:bottom w:val="single" w:sz="4" w:space="0" w:color="auto"/>
              <w:right w:val="single" w:sz="4" w:space="0" w:color="auto"/>
            </w:tcBorders>
          </w:tcPr>
          <w:p w14:paraId="4ED6ECFD" w14:textId="77777777" w:rsidR="006E0879" w:rsidRPr="00925DF4" w:rsidRDefault="006E0879" w:rsidP="00AB3D40">
            <w:pPr>
              <w:pStyle w:val="resptext"/>
              <w:tabs>
                <w:tab w:val="left" w:pos="720"/>
              </w:tabs>
              <w:spacing w:before="60"/>
              <w:ind w:left="0"/>
              <w:rPr>
                <w:bCs/>
                <w:color w:val="1D1D1B" w:themeColor="text1"/>
              </w:rPr>
            </w:pPr>
            <w:r>
              <w:rPr>
                <w:bCs/>
                <w:color w:val="1D1D1B" w:themeColor="text1"/>
              </w:rPr>
              <w:t>Introduce new or different goods or services</w:t>
            </w:r>
          </w:p>
        </w:tc>
        <w:tc>
          <w:tcPr>
            <w:tcW w:w="477" w:type="pct"/>
            <w:tcBorders>
              <w:top w:val="single" w:sz="4" w:space="0" w:color="auto"/>
              <w:left w:val="single" w:sz="4" w:space="0" w:color="auto"/>
              <w:bottom w:val="single" w:sz="4" w:space="0" w:color="auto"/>
              <w:right w:val="single" w:sz="4" w:space="0" w:color="auto"/>
            </w:tcBorders>
          </w:tcPr>
          <w:p w14:paraId="264E7423" w14:textId="77777777" w:rsidR="006E0879" w:rsidRPr="00925DF4" w:rsidRDefault="006E0879" w:rsidP="00AB3D40">
            <w:pPr>
              <w:pStyle w:val="resptext"/>
              <w:tabs>
                <w:tab w:val="left" w:pos="720"/>
              </w:tabs>
              <w:spacing w:before="60"/>
              <w:ind w:left="0"/>
              <w:jc w:val="center"/>
            </w:pPr>
            <w:r>
              <w:t>5</w:t>
            </w:r>
          </w:p>
        </w:tc>
      </w:tr>
      <w:tr w:rsidR="006E0879" w:rsidRPr="00925DF4" w14:paraId="386EB742" w14:textId="77777777" w:rsidTr="00AB3D40">
        <w:tc>
          <w:tcPr>
            <w:tcW w:w="394" w:type="pct"/>
            <w:tcBorders>
              <w:top w:val="single" w:sz="4" w:space="0" w:color="auto"/>
              <w:left w:val="single" w:sz="4" w:space="0" w:color="auto"/>
              <w:bottom w:val="single" w:sz="4" w:space="0" w:color="auto"/>
              <w:right w:val="single" w:sz="4" w:space="0" w:color="auto"/>
            </w:tcBorders>
          </w:tcPr>
          <w:p w14:paraId="29657D93" w14:textId="77777777" w:rsidR="006E0879" w:rsidRPr="00925DF4" w:rsidRDefault="006E0879" w:rsidP="00AB3D40">
            <w:pPr>
              <w:pStyle w:val="resptext"/>
              <w:tabs>
                <w:tab w:val="left" w:pos="720"/>
              </w:tabs>
              <w:spacing w:before="60"/>
              <w:ind w:left="0"/>
            </w:pPr>
            <w:r>
              <w:t>F</w:t>
            </w:r>
          </w:p>
        </w:tc>
        <w:tc>
          <w:tcPr>
            <w:tcW w:w="4129" w:type="pct"/>
            <w:tcBorders>
              <w:top w:val="single" w:sz="4" w:space="0" w:color="auto"/>
              <w:left w:val="single" w:sz="4" w:space="0" w:color="auto"/>
              <w:bottom w:val="single" w:sz="4" w:space="0" w:color="auto"/>
              <w:right w:val="single" w:sz="4" w:space="0" w:color="auto"/>
            </w:tcBorders>
          </w:tcPr>
          <w:p w14:paraId="358F2AEC" w14:textId="77777777" w:rsidR="006E0879" w:rsidRPr="00925DF4" w:rsidRDefault="006E0879" w:rsidP="00AB3D40">
            <w:pPr>
              <w:pStyle w:val="resptext"/>
              <w:tabs>
                <w:tab w:val="left" w:pos="720"/>
              </w:tabs>
              <w:spacing w:before="60"/>
              <w:ind w:left="0"/>
            </w:pPr>
            <w:r w:rsidRPr="00925DF4">
              <w:rPr>
                <w:bCs/>
                <w:color w:val="1D1D1B" w:themeColor="text1"/>
              </w:rPr>
              <w:t xml:space="preserve">Other adjustments to working practices (e.g. ensure workplace is </w:t>
            </w:r>
            <w:r w:rsidRPr="00925DF4">
              <w:rPr>
                <w:color w:val="1D1D1B" w:themeColor="text1"/>
              </w:rPr>
              <w:t>Covid-19</w:t>
            </w:r>
            <w:r w:rsidRPr="00925DF4">
              <w:rPr>
                <w:b/>
                <w:bCs/>
                <w:color w:val="1D1D1B" w:themeColor="text1"/>
              </w:rPr>
              <w:t xml:space="preserve"> </w:t>
            </w:r>
            <w:r w:rsidRPr="00925DF4">
              <w:rPr>
                <w:bCs/>
                <w:color w:val="1D1D1B" w:themeColor="text1"/>
              </w:rPr>
              <w:t>safe</w:t>
            </w:r>
            <w:r>
              <w:rPr>
                <w:bCs/>
                <w:color w:val="1D1D1B" w:themeColor="text1"/>
              </w:rPr>
              <w:t xml:space="preserve"> or reversing Covid-19 related changes</w:t>
            </w:r>
            <w:r w:rsidRPr="00925DF4">
              <w:rPr>
                <w:bCs/>
                <w:color w:val="1D1D1B" w:themeColor="text1"/>
              </w:rPr>
              <w:t>)</w:t>
            </w:r>
          </w:p>
        </w:tc>
        <w:tc>
          <w:tcPr>
            <w:tcW w:w="477" w:type="pct"/>
            <w:tcBorders>
              <w:top w:val="single" w:sz="4" w:space="0" w:color="auto"/>
              <w:left w:val="single" w:sz="4" w:space="0" w:color="auto"/>
              <w:bottom w:val="single" w:sz="4" w:space="0" w:color="auto"/>
              <w:right w:val="single" w:sz="4" w:space="0" w:color="auto"/>
            </w:tcBorders>
          </w:tcPr>
          <w:p w14:paraId="506E7441" w14:textId="77777777" w:rsidR="006E0879" w:rsidRPr="00925DF4" w:rsidRDefault="006E0879" w:rsidP="00AB3D40">
            <w:pPr>
              <w:pStyle w:val="resptext"/>
              <w:tabs>
                <w:tab w:val="left" w:pos="720"/>
              </w:tabs>
              <w:spacing w:before="60"/>
              <w:ind w:left="0"/>
              <w:jc w:val="center"/>
            </w:pPr>
            <w:r>
              <w:t>6</w:t>
            </w:r>
          </w:p>
        </w:tc>
      </w:tr>
      <w:tr w:rsidR="006E0879" w:rsidRPr="00925DF4" w14:paraId="5577E7BC" w14:textId="77777777" w:rsidTr="00AB3D40">
        <w:tc>
          <w:tcPr>
            <w:tcW w:w="394" w:type="pct"/>
            <w:tcBorders>
              <w:top w:val="single" w:sz="4" w:space="0" w:color="auto"/>
              <w:left w:val="single" w:sz="4" w:space="0" w:color="auto"/>
              <w:bottom w:val="single" w:sz="4" w:space="0" w:color="auto"/>
              <w:right w:val="single" w:sz="4" w:space="0" w:color="auto"/>
            </w:tcBorders>
          </w:tcPr>
          <w:p w14:paraId="0A792A0F" w14:textId="77777777" w:rsidR="006E0879" w:rsidRPr="00925DF4" w:rsidRDefault="006E0879" w:rsidP="00AB3D40">
            <w:pPr>
              <w:pStyle w:val="resptext"/>
              <w:tabs>
                <w:tab w:val="left" w:pos="720"/>
              </w:tabs>
              <w:spacing w:before="60"/>
              <w:ind w:left="0"/>
            </w:pPr>
            <w:r>
              <w:t>G</w:t>
            </w:r>
          </w:p>
        </w:tc>
        <w:tc>
          <w:tcPr>
            <w:tcW w:w="4129" w:type="pct"/>
            <w:tcBorders>
              <w:top w:val="single" w:sz="4" w:space="0" w:color="auto"/>
              <w:left w:val="single" w:sz="4" w:space="0" w:color="auto"/>
              <w:bottom w:val="single" w:sz="4" w:space="0" w:color="auto"/>
              <w:right w:val="single" w:sz="4" w:space="0" w:color="auto"/>
            </w:tcBorders>
          </w:tcPr>
          <w:p w14:paraId="654F3513" w14:textId="77777777" w:rsidR="006E0879" w:rsidRPr="00925DF4" w:rsidRDefault="006E0879" w:rsidP="00AB3D40">
            <w:pPr>
              <w:pStyle w:val="resptext"/>
              <w:tabs>
                <w:tab w:val="left" w:pos="720"/>
              </w:tabs>
              <w:spacing w:before="60"/>
              <w:ind w:left="0"/>
            </w:pPr>
            <w:r w:rsidRPr="00925DF4">
              <w:rPr>
                <w:bCs/>
                <w:color w:val="1D1D1B" w:themeColor="text1"/>
              </w:rPr>
              <w:t>Provide financial security and/or headroom, e.g. in case more funds are needed</w:t>
            </w:r>
          </w:p>
        </w:tc>
        <w:tc>
          <w:tcPr>
            <w:tcW w:w="477" w:type="pct"/>
            <w:tcBorders>
              <w:top w:val="single" w:sz="4" w:space="0" w:color="auto"/>
              <w:left w:val="single" w:sz="4" w:space="0" w:color="auto"/>
              <w:bottom w:val="single" w:sz="4" w:space="0" w:color="auto"/>
              <w:right w:val="single" w:sz="4" w:space="0" w:color="auto"/>
            </w:tcBorders>
          </w:tcPr>
          <w:p w14:paraId="2AB3F983" w14:textId="77777777" w:rsidR="006E0879" w:rsidRPr="00925DF4" w:rsidRDefault="006E0879" w:rsidP="00AB3D40">
            <w:pPr>
              <w:pStyle w:val="resptext"/>
              <w:tabs>
                <w:tab w:val="left" w:pos="720"/>
              </w:tabs>
              <w:spacing w:before="60"/>
              <w:ind w:left="0"/>
              <w:jc w:val="center"/>
            </w:pPr>
            <w:r>
              <w:t>7</w:t>
            </w:r>
          </w:p>
        </w:tc>
      </w:tr>
      <w:tr w:rsidR="006E0879" w:rsidRPr="00925DF4" w14:paraId="3CDD2392" w14:textId="77777777" w:rsidTr="00AB3D40">
        <w:tc>
          <w:tcPr>
            <w:tcW w:w="394" w:type="pct"/>
            <w:tcBorders>
              <w:top w:val="single" w:sz="4" w:space="0" w:color="auto"/>
              <w:left w:val="single" w:sz="4" w:space="0" w:color="auto"/>
              <w:bottom w:val="single" w:sz="4" w:space="0" w:color="auto"/>
              <w:right w:val="single" w:sz="4" w:space="0" w:color="auto"/>
            </w:tcBorders>
          </w:tcPr>
          <w:p w14:paraId="74020CA2" w14:textId="77777777" w:rsidR="006E0879" w:rsidRPr="00925DF4" w:rsidRDefault="006E0879" w:rsidP="00AB3D40">
            <w:pPr>
              <w:pStyle w:val="resptext"/>
              <w:tabs>
                <w:tab w:val="left" w:pos="720"/>
              </w:tabs>
              <w:spacing w:before="60"/>
              <w:ind w:left="0"/>
            </w:pPr>
            <w:r>
              <w:t>H</w:t>
            </w:r>
          </w:p>
        </w:tc>
        <w:tc>
          <w:tcPr>
            <w:tcW w:w="4129" w:type="pct"/>
            <w:tcBorders>
              <w:top w:val="single" w:sz="4" w:space="0" w:color="auto"/>
              <w:left w:val="single" w:sz="4" w:space="0" w:color="auto"/>
              <w:bottom w:val="single" w:sz="4" w:space="0" w:color="auto"/>
              <w:right w:val="single" w:sz="4" w:space="0" w:color="auto"/>
            </w:tcBorders>
          </w:tcPr>
          <w:p w14:paraId="0DAB8DED" w14:textId="77777777" w:rsidR="006E0879" w:rsidRPr="00925DF4" w:rsidRDefault="006E0879" w:rsidP="00AB3D40">
            <w:pPr>
              <w:pStyle w:val="resptext"/>
              <w:tabs>
                <w:tab w:val="left" w:pos="720"/>
              </w:tabs>
              <w:spacing w:before="60"/>
              <w:ind w:left="0"/>
            </w:pPr>
            <w:r w:rsidRPr="00925DF4">
              <w:rPr>
                <w:bCs/>
                <w:color w:val="1D1D1B" w:themeColor="text1"/>
              </w:rPr>
              <w:t>Make any debt repayments</w:t>
            </w:r>
          </w:p>
        </w:tc>
        <w:tc>
          <w:tcPr>
            <w:tcW w:w="477" w:type="pct"/>
            <w:tcBorders>
              <w:top w:val="single" w:sz="4" w:space="0" w:color="auto"/>
              <w:left w:val="single" w:sz="4" w:space="0" w:color="auto"/>
              <w:bottom w:val="single" w:sz="4" w:space="0" w:color="auto"/>
              <w:right w:val="single" w:sz="4" w:space="0" w:color="auto"/>
            </w:tcBorders>
          </w:tcPr>
          <w:p w14:paraId="0970864E" w14:textId="77777777" w:rsidR="006E0879" w:rsidRPr="00925DF4" w:rsidRDefault="006E0879" w:rsidP="00AB3D40">
            <w:pPr>
              <w:pStyle w:val="resptext"/>
              <w:tabs>
                <w:tab w:val="left" w:pos="720"/>
              </w:tabs>
              <w:spacing w:before="60"/>
              <w:ind w:left="0"/>
              <w:jc w:val="center"/>
            </w:pPr>
            <w:r>
              <w:t>8</w:t>
            </w:r>
          </w:p>
        </w:tc>
      </w:tr>
      <w:tr w:rsidR="006E0879" w:rsidRPr="00925DF4" w14:paraId="07E1EBF7" w14:textId="77777777" w:rsidTr="00AB3D40">
        <w:tc>
          <w:tcPr>
            <w:tcW w:w="394" w:type="pct"/>
            <w:tcBorders>
              <w:top w:val="single" w:sz="4" w:space="0" w:color="auto"/>
              <w:left w:val="single" w:sz="4" w:space="0" w:color="auto"/>
              <w:bottom w:val="single" w:sz="4" w:space="0" w:color="auto"/>
              <w:right w:val="single" w:sz="4" w:space="0" w:color="auto"/>
            </w:tcBorders>
          </w:tcPr>
          <w:p w14:paraId="0AAA6B96" w14:textId="77777777" w:rsidR="006E0879" w:rsidRPr="00925DF4" w:rsidRDefault="006E0879" w:rsidP="00AB3D40">
            <w:pPr>
              <w:pStyle w:val="resptext"/>
              <w:tabs>
                <w:tab w:val="left" w:pos="720"/>
              </w:tabs>
              <w:spacing w:before="60"/>
              <w:ind w:left="0"/>
            </w:pPr>
            <w:r>
              <w:t>I</w:t>
            </w:r>
          </w:p>
        </w:tc>
        <w:tc>
          <w:tcPr>
            <w:tcW w:w="4129" w:type="pct"/>
            <w:tcBorders>
              <w:top w:val="single" w:sz="4" w:space="0" w:color="auto"/>
              <w:left w:val="single" w:sz="4" w:space="0" w:color="auto"/>
              <w:bottom w:val="single" w:sz="4" w:space="0" w:color="auto"/>
              <w:right w:val="single" w:sz="4" w:space="0" w:color="auto"/>
            </w:tcBorders>
          </w:tcPr>
          <w:p w14:paraId="46EE2146" w14:textId="77777777" w:rsidR="006E0879" w:rsidRPr="00925DF4" w:rsidRDefault="006E0879" w:rsidP="00AB3D40">
            <w:pPr>
              <w:pStyle w:val="resptext"/>
              <w:tabs>
                <w:tab w:val="left" w:pos="720"/>
              </w:tabs>
              <w:spacing w:before="60"/>
              <w:ind w:left="0"/>
            </w:pPr>
            <w:r>
              <w:rPr>
                <w:bCs/>
                <w:color w:val="1D1D1B" w:themeColor="text1"/>
              </w:rPr>
              <w:t>Refinancing of existing debt</w:t>
            </w:r>
          </w:p>
        </w:tc>
        <w:tc>
          <w:tcPr>
            <w:tcW w:w="477" w:type="pct"/>
            <w:tcBorders>
              <w:top w:val="single" w:sz="4" w:space="0" w:color="auto"/>
              <w:left w:val="single" w:sz="4" w:space="0" w:color="auto"/>
              <w:bottom w:val="single" w:sz="4" w:space="0" w:color="auto"/>
              <w:right w:val="single" w:sz="4" w:space="0" w:color="auto"/>
            </w:tcBorders>
          </w:tcPr>
          <w:p w14:paraId="387F54B8" w14:textId="77777777" w:rsidR="006E0879" w:rsidRPr="00925DF4" w:rsidRDefault="006E0879" w:rsidP="00AB3D40">
            <w:pPr>
              <w:pStyle w:val="resptext"/>
              <w:tabs>
                <w:tab w:val="left" w:pos="720"/>
              </w:tabs>
              <w:spacing w:before="60"/>
              <w:ind w:left="0"/>
              <w:jc w:val="center"/>
            </w:pPr>
            <w:r>
              <w:t>9</w:t>
            </w:r>
          </w:p>
        </w:tc>
      </w:tr>
      <w:tr w:rsidR="006E0879" w:rsidRPr="00925DF4" w14:paraId="2B6B41D3" w14:textId="77777777" w:rsidTr="00AB3D40">
        <w:tc>
          <w:tcPr>
            <w:tcW w:w="394" w:type="pct"/>
            <w:tcBorders>
              <w:top w:val="single" w:sz="4" w:space="0" w:color="auto"/>
              <w:left w:val="single" w:sz="4" w:space="0" w:color="auto"/>
              <w:bottom w:val="single" w:sz="4" w:space="0" w:color="auto"/>
              <w:right w:val="single" w:sz="4" w:space="0" w:color="auto"/>
            </w:tcBorders>
          </w:tcPr>
          <w:p w14:paraId="01262366" w14:textId="77777777" w:rsidR="006E0879" w:rsidRPr="00925DF4" w:rsidRDefault="006E0879" w:rsidP="00AB3D40">
            <w:pPr>
              <w:pStyle w:val="resptext"/>
              <w:tabs>
                <w:tab w:val="left" w:pos="720"/>
              </w:tabs>
              <w:spacing w:before="60"/>
              <w:ind w:left="0"/>
            </w:pPr>
            <w:r>
              <w:t>J</w:t>
            </w:r>
          </w:p>
        </w:tc>
        <w:tc>
          <w:tcPr>
            <w:tcW w:w="4129" w:type="pct"/>
            <w:tcBorders>
              <w:top w:val="single" w:sz="4" w:space="0" w:color="auto"/>
              <w:left w:val="single" w:sz="4" w:space="0" w:color="auto"/>
              <w:bottom w:val="single" w:sz="4" w:space="0" w:color="auto"/>
              <w:right w:val="single" w:sz="4" w:space="0" w:color="auto"/>
            </w:tcBorders>
          </w:tcPr>
          <w:p w14:paraId="2F28AA2A"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Consolidation of existing debt – i.e. bringing existing debts together into one new de</w:t>
            </w:r>
            <w:r>
              <w:rPr>
                <w:bCs/>
                <w:color w:val="1D1D1B" w:themeColor="text1"/>
              </w:rPr>
              <w:t>b</w:t>
            </w:r>
            <w:r w:rsidRPr="00925DF4">
              <w:rPr>
                <w:bCs/>
                <w:color w:val="1D1D1B" w:themeColor="text1"/>
              </w:rPr>
              <w:t xml:space="preserve">t </w:t>
            </w:r>
          </w:p>
        </w:tc>
        <w:tc>
          <w:tcPr>
            <w:tcW w:w="477" w:type="pct"/>
            <w:tcBorders>
              <w:top w:val="single" w:sz="4" w:space="0" w:color="auto"/>
              <w:left w:val="single" w:sz="4" w:space="0" w:color="auto"/>
              <w:bottom w:val="single" w:sz="4" w:space="0" w:color="auto"/>
              <w:right w:val="single" w:sz="4" w:space="0" w:color="auto"/>
            </w:tcBorders>
          </w:tcPr>
          <w:p w14:paraId="4614EA3F" w14:textId="77777777" w:rsidR="006E0879" w:rsidRPr="00925DF4" w:rsidRDefault="006E0879" w:rsidP="00AB3D40">
            <w:pPr>
              <w:pStyle w:val="resptext"/>
              <w:tabs>
                <w:tab w:val="left" w:pos="720"/>
              </w:tabs>
              <w:spacing w:before="60"/>
              <w:ind w:left="0"/>
              <w:jc w:val="center"/>
            </w:pPr>
            <w:r w:rsidRPr="00925DF4">
              <w:t>1</w:t>
            </w:r>
            <w:r>
              <w:t>0</w:t>
            </w:r>
          </w:p>
        </w:tc>
      </w:tr>
      <w:tr w:rsidR="006E0879" w:rsidRPr="00925DF4" w14:paraId="1CFC3843" w14:textId="77777777" w:rsidTr="00AB3D40">
        <w:tc>
          <w:tcPr>
            <w:tcW w:w="394" w:type="pct"/>
            <w:tcBorders>
              <w:top w:val="single" w:sz="4" w:space="0" w:color="auto"/>
              <w:left w:val="single" w:sz="4" w:space="0" w:color="auto"/>
              <w:bottom w:val="single" w:sz="4" w:space="0" w:color="auto"/>
              <w:right w:val="single" w:sz="4" w:space="0" w:color="auto"/>
            </w:tcBorders>
          </w:tcPr>
          <w:p w14:paraId="4CC91005" w14:textId="77777777" w:rsidR="006E0879" w:rsidRPr="00925DF4" w:rsidRDefault="006E0879" w:rsidP="00AB3D40">
            <w:pPr>
              <w:pStyle w:val="resptext"/>
              <w:tabs>
                <w:tab w:val="left" w:pos="720"/>
              </w:tabs>
              <w:spacing w:before="60"/>
              <w:ind w:left="0"/>
            </w:pPr>
          </w:p>
        </w:tc>
        <w:tc>
          <w:tcPr>
            <w:tcW w:w="4129" w:type="pct"/>
            <w:tcBorders>
              <w:top w:val="single" w:sz="4" w:space="0" w:color="auto"/>
              <w:left w:val="single" w:sz="4" w:space="0" w:color="auto"/>
              <w:bottom w:val="single" w:sz="4" w:space="0" w:color="auto"/>
              <w:right w:val="single" w:sz="4" w:space="0" w:color="auto"/>
            </w:tcBorders>
          </w:tcPr>
          <w:p w14:paraId="58787DE3" w14:textId="77777777" w:rsidR="006E0879" w:rsidRPr="00925DF4" w:rsidRDefault="006E0879" w:rsidP="00AB3D40">
            <w:pPr>
              <w:pStyle w:val="resptext"/>
              <w:tabs>
                <w:tab w:val="left" w:pos="720"/>
              </w:tabs>
              <w:spacing w:before="60"/>
              <w:ind w:left="0"/>
            </w:pPr>
            <w:r w:rsidRPr="00925DF4">
              <w:t>Don’t know</w:t>
            </w:r>
          </w:p>
        </w:tc>
        <w:tc>
          <w:tcPr>
            <w:tcW w:w="477" w:type="pct"/>
            <w:tcBorders>
              <w:top w:val="single" w:sz="4" w:space="0" w:color="auto"/>
              <w:left w:val="single" w:sz="4" w:space="0" w:color="auto"/>
              <w:bottom w:val="single" w:sz="4" w:space="0" w:color="auto"/>
              <w:right w:val="single" w:sz="4" w:space="0" w:color="auto"/>
            </w:tcBorders>
          </w:tcPr>
          <w:p w14:paraId="218240CA" w14:textId="77777777" w:rsidR="006E0879" w:rsidRPr="00925DF4" w:rsidRDefault="006E0879" w:rsidP="00AB3D40">
            <w:pPr>
              <w:pStyle w:val="resptext"/>
              <w:tabs>
                <w:tab w:val="left" w:pos="720"/>
              </w:tabs>
              <w:spacing w:before="60"/>
              <w:ind w:left="0"/>
              <w:jc w:val="center"/>
            </w:pPr>
            <w:r w:rsidRPr="00925DF4">
              <w:t>98</w:t>
            </w:r>
          </w:p>
        </w:tc>
      </w:tr>
      <w:tr w:rsidR="006E0879" w:rsidRPr="00925DF4" w14:paraId="3998835B" w14:textId="77777777" w:rsidTr="00AB3D40">
        <w:tc>
          <w:tcPr>
            <w:tcW w:w="394" w:type="pct"/>
            <w:tcBorders>
              <w:top w:val="single" w:sz="4" w:space="0" w:color="auto"/>
              <w:left w:val="single" w:sz="4" w:space="0" w:color="auto"/>
              <w:bottom w:val="single" w:sz="4" w:space="0" w:color="auto"/>
              <w:right w:val="single" w:sz="4" w:space="0" w:color="auto"/>
            </w:tcBorders>
          </w:tcPr>
          <w:p w14:paraId="130722A2" w14:textId="77777777" w:rsidR="006E0879" w:rsidRPr="00925DF4" w:rsidRDefault="006E0879" w:rsidP="00AB3D40">
            <w:pPr>
              <w:pStyle w:val="resptext"/>
              <w:tabs>
                <w:tab w:val="left" w:pos="720"/>
              </w:tabs>
              <w:spacing w:before="60"/>
              <w:ind w:left="0"/>
            </w:pPr>
          </w:p>
        </w:tc>
        <w:tc>
          <w:tcPr>
            <w:tcW w:w="4129" w:type="pct"/>
            <w:tcBorders>
              <w:top w:val="single" w:sz="4" w:space="0" w:color="auto"/>
              <w:left w:val="single" w:sz="4" w:space="0" w:color="auto"/>
              <w:bottom w:val="single" w:sz="4" w:space="0" w:color="auto"/>
              <w:right w:val="single" w:sz="4" w:space="0" w:color="auto"/>
            </w:tcBorders>
          </w:tcPr>
          <w:p w14:paraId="13C84E7C" w14:textId="77777777" w:rsidR="006E0879" w:rsidRPr="00925DF4" w:rsidRDefault="006E0879" w:rsidP="00AB3D40">
            <w:pPr>
              <w:pStyle w:val="resptext"/>
              <w:tabs>
                <w:tab w:val="left" w:pos="720"/>
              </w:tabs>
              <w:spacing w:before="60"/>
              <w:ind w:left="0"/>
            </w:pPr>
            <w:r w:rsidRPr="00925DF4">
              <w:t>Refused</w:t>
            </w:r>
          </w:p>
        </w:tc>
        <w:tc>
          <w:tcPr>
            <w:tcW w:w="477" w:type="pct"/>
            <w:tcBorders>
              <w:top w:val="single" w:sz="4" w:space="0" w:color="auto"/>
              <w:left w:val="single" w:sz="4" w:space="0" w:color="auto"/>
              <w:bottom w:val="single" w:sz="4" w:space="0" w:color="auto"/>
              <w:right w:val="single" w:sz="4" w:space="0" w:color="auto"/>
            </w:tcBorders>
          </w:tcPr>
          <w:p w14:paraId="0677B647" w14:textId="77777777" w:rsidR="006E0879" w:rsidRPr="00925DF4" w:rsidRDefault="006E0879" w:rsidP="00AB3D40">
            <w:pPr>
              <w:pStyle w:val="resptext"/>
              <w:tabs>
                <w:tab w:val="left" w:pos="720"/>
              </w:tabs>
              <w:spacing w:before="60"/>
              <w:ind w:left="0"/>
              <w:jc w:val="center"/>
            </w:pPr>
            <w:r w:rsidRPr="00925DF4">
              <w:t>99</w:t>
            </w:r>
          </w:p>
        </w:tc>
      </w:tr>
    </w:tbl>
    <w:p w14:paraId="2AF4116D" w14:textId="77777777" w:rsidR="006E0879" w:rsidRPr="00925DF4" w:rsidRDefault="006E0879" w:rsidP="006E0879">
      <w:pPr>
        <w:rPr>
          <w:rFonts w:cs="Arial"/>
        </w:rPr>
      </w:pPr>
    </w:p>
    <w:p w14:paraId="704D547E" w14:textId="77777777" w:rsidR="006E0879" w:rsidRPr="00925DF4" w:rsidRDefault="006E0879" w:rsidP="006E0879">
      <w:pPr>
        <w:spacing w:after="160" w:line="259" w:lineRule="auto"/>
        <w:rPr>
          <w:rFonts w:cs="Arial"/>
          <w:color w:val="FF0000"/>
        </w:rPr>
      </w:pPr>
      <w:r w:rsidRPr="00925DF4">
        <w:rPr>
          <w:rFonts w:cs="Arial"/>
          <w:color w:val="FF0000"/>
        </w:rPr>
        <w:t>ASK ALL WHO SELECT MORE THAN ONE (CODE 1 TO 1</w:t>
      </w:r>
      <w:r>
        <w:rPr>
          <w:rFonts w:cs="Arial"/>
          <w:color w:val="FF0000"/>
        </w:rPr>
        <w:t>0</w:t>
      </w:r>
      <w:r w:rsidRPr="00925DF4">
        <w:rPr>
          <w:rFonts w:cs="Arial"/>
          <w:color w:val="FF0000"/>
        </w:rPr>
        <w:t>) AT A18. IF ONE CODE AT A18 THEN AUTOPUNCH A19</w:t>
      </w:r>
    </w:p>
    <w:p w14:paraId="1E38F867" w14:textId="30028D1F" w:rsidR="006E0879" w:rsidRPr="00925DF4" w:rsidRDefault="006E0879" w:rsidP="006E0879">
      <w:pPr>
        <w:rPr>
          <w:rFonts w:cs="Arial"/>
          <w:color w:val="FF0000"/>
        </w:rPr>
      </w:pPr>
      <w:r w:rsidRPr="00925DF4">
        <w:rPr>
          <w:rFonts w:cs="Arial"/>
          <w:b/>
          <w:bCs/>
        </w:rPr>
        <w:t>A19</w:t>
      </w:r>
      <w:r w:rsidRPr="00925DF4">
        <w:rPr>
          <w:rFonts w:cs="Arial"/>
        </w:rPr>
        <w:t xml:space="preserve"> </w:t>
      </w:r>
      <w:r w:rsidRPr="00925DF4">
        <w:rPr>
          <w:rFonts w:cs="Arial"/>
          <w:b/>
        </w:rPr>
        <w:t>Which was the main use of the finance?</w:t>
      </w:r>
      <w:r w:rsidRPr="00925DF4">
        <w:rPr>
          <w:rFonts w:cs="Arial"/>
        </w:rPr>
        <w:t xml:space="preserve">  </w:t>
      </w:r>
      <w:r w:rsidRPr="00925DF4">
        <w:rPr>
          <w:rFonts w:cs="Arial"/>
          <w:color w:val="FF0000"/>
        </w:rPr>
        <w:t>ONLY SHOW THOSE SELECTED AT A1</w:t>
      </w:r>
      <w:r>
        <w:rPr>
          <w:rFonts w:cs="Arial"/>
          <w:color w:val="FF0000"/>
        </w:rPr>
        <w:t>8</w:t>
      </w:r>
      <w:r w:rsidRPr="00925DF4">
        <w:rPr>
          <w:rFonts w:cs="Arial"/>
          <w:color w:val="FF0000"/>
        </w:rPr>
        <w:t xml:space="preserve">. </w:t>
      </w:r>
    </w:p>
    <w:p w14:paraId="6EA5149B" w14:textId="436B9F82" w:rsidR="006E0879" w:rsidRPr="00925DF4" w:rsidRDefault="006E0879" w:rsidP="006E0879">
      <w:pPr>
        <w:rPr>
          <w:rFonts w:cs="Arial"/>
        </w:rPr>
      </w:pPr>
      <w:r w:rsidRPr="00925DF4">
        <w:rPr>
          <w:rFonts w:cs="Arial"/>
          <w:color w:val="FF0000"/>
        </w:rPr>
        <w:t>SINGLE CODE ONLY. ROTATE 1-1</w:t>
      </w:r>
      <w:r>
        <w:rPr>
          <w:rFonts w:cs="Arial"/>
          <w:color w:val="FF0000"/>
        </w:rPr>
        <w:t>0</w:t>
      </w:r>
      <w:r w:rsidRPr="00925DF4">
        <w:rPr>
          <w:rFonts w:cs="Arial"/>
          <w:color w:val="FF0000"/>
        </w:rPr>
        <w:t xml:space="preserve">. FOR ONLINE, SHOW AS YES/NO QUESTION </w:t>
      </w:r>
      <w:r w:rsidRPr="00925DF4">
        <w:rPr>
          <w:rFonts w:cs="Arial"/>
          <w:color w:val="F06603" w:themeColor="accent6"/>
        </w:rPr>
        <w:t>PROMPT IF NECESSARY.</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
        <w:gridCol w:w="8294"/>
        <w:gridCol w:w="958"/>
      </w:tblGrid>
      <w:tr w:rsidR="006E0879" w:rsidRPr="00925DF4" w14:paraId="44DAB6DD" w14:textId="77777777" w:rsidTr="00AB3D40">
        <w:tc>
          <w:tcPr>
            <w:tcW w:w="394" w:type="pct"/>
            <w:tcBorders>
              <w:top w:val="single" w:sz="4" w:space="0" w:color="auto"/>
              <w:left w:val="single" w:sz="4" w:space="0" w:color="auto"/>
              <w:bottom w:val="single" w:sz="4" w:space="0" w:color="auto"/>
              <w:right w:val="single" w:sz="4" w:space="0" w:color="auto"/>
            </w:tcBorders>
          </w:tcPr>
          <w:p w14:paraId="4E147ECF" w14:textId="77777777" w:rsidR="006E0879" w:rsidRPr="00925DF4" w:rsidRDefault="006E0879" w:rsidP="00AB3D40">
            <w:pPr>
              <w:pStyle w:val="resptext"/>
              <w:tabs>
                <w:tab w:val="left" w:pos="720"/>
              </w:tabs>
              <w:spacing w:before="60"/>
              <w:ind w:left="0"/>
            </w:pPr>
            <w:r w:rsidRPr="00925DF4">
              <w:t>A</w:t>
            </w:r>
          </w:p>
        </w:tc>
        <w:tc>
          <w:tcPr>
            <w:tcW w:w="4129" w:type="pct"/>
            <w:tcBorders>
              <w:top w:val="single" w:sz="4" w:space="0" w:color="auto"/>
              <w:left w:val="single" w:sz="4" w:space="0" w:color="auto"/>
              <w:bottom w:val="single" w:sz="4" w:space="0" w:color="auto"/>
              <w:right w:val="single" w:sz="4" w:space="0" w:color="auto"/>
            </w:tcBorders>
          </w:tcPr>
          <w:p w14:paraId="0351B8D3" w14:textId="77777777" w:rsidR="006E0879" w:rsidRPr="00925DF4" w:rsidRDefault="006E0879" w:rsidP="00AB3D40">
            <w:pPr>
              <w:pStyle w:val="resptext"/>
              <w:tabs>
                <w:tab w:val="left" w:pos="720"/>
              </w:tabs>
              <w:spacing w:before="60"/>
              <w:ind w:left="0"/>
            </w:pPr>
            <w:r w:rsidRPr="00925DF4">
              <w:rPr>
                <w:bCs/>
                <w:color w:val="1D1D1B" w:themeColor="text1"/>
              </w:rPr>
              <w:t>Pay staff salaries</w:t>
            </w:r>
          </w:p>
        </w:tc>
        <w:tc>
          <w:tcPr>
            <w:tcW w:w="477" w:type="pct"/>
            <w:tcBorders>
              <w:top w:val="single" w:sz="4" w:space="0" w:color="auto"/>
              <w:left w:val="single" w:sz="4" w:space="0" w:color="auto"/>
              <w:bottom w:val="single" w:sz="4" w:space="0" w:color="auto"/>
              <w:right w:val="single" w:sz="4" w:space="0" w:color="auto"/>
            </w:tcBorders>
          </w:tcPr>
          <w:p w14:paraId="712C2029" w14:textId="77777777" w:rsidR="006E0879" w:rsidRPr="00925DF4" w:rsidRDefault="006E0879" w:rsidP="00AB3D40">
            <w:pPr>
              <w:pStyle w:val="resptext"/>
              <w:tabs>
                <w:tab w:val="left" w:pos="720"/>
              </w:tabs>
              <w:spacing w:before="60"/>
              <w:ind w:left="0"/>
              <w:jc w:val="center"/>
            </w:pPr>
            <w:r w:rsidRPr="00925DF4">
              <w:t>1</w:t>
            </w:r>
          </w:p>
        </w:tc>
      </w:tr>
      <w:tr w:rsidR="006E0879" w:rsidRPr="00925DF4" w14:paraId="6D009D3F" w14:textId="77777777" w:rsidTr="00AB3D40">
        <w:tc>
          <w:tcPr>
            <w:tcW w:w="394" w:type="pct"/>
            <w:tcBorders>
              <w:top w:val="single" w:sz="4" w:space="0" w:color="auto"/>
              <w:left w:val="single" w:sz="4" w:space="0" w:color="auto"/>
              <w:bottom w:val="single" w:sz="4" w:space="0" w:color="auto"/>
              <w:right w:val="single" w:sz="4" w:space="0" w:color="auto"/>
            </w:tcBorders>
          </w:tcPr>
          <w:p w14:paraId="15A61155" w14:textId="77777777" w:rsidR="006E0879" w:rsidRPr="00925DF4" w:rsidRDefault="006E0879" w:rsidP="00AB3D40">
            <w:pPr>
              <w:pStyle w:val="resptext"/>
              <w:tabs>
                <w:tab w:val="left" w:pos="720"/>
              </w:tabs>
              <w:spacing w:before="60"/>
              <w:ind w:left="0"/>
            </w:pPr>
            <w:r>
              <w:t>B</w:t>
            </w:r>
          </w:p>
        </w:tc>
        <w:tc>
          <w:tcPr>
            <w:tcW w:w="4129" w:type="pct"/>
            <w:tcBorders>
              <w:top w:val="single" w:sz="4" w:space="0" w:color="auto"/>
              <w:left w:val="single" w:sz="4" w:space="0" w:color="auto"/>
              <w:bottom w:val="single" w:sz="4" w:space="0" w:color="auto"/>
              <w:right w:val="single" w:sz="4" w:space="0" w:color="auto"/>
            </w:tcBorders>
          </w:tcPr>
          <w:p w14:paraId="1EF3A393" w14:textId="77777777" w:rsidR="006E0879" w:rsidRPr="00925DF4" w:rsidRDefault="006E0879" w:rsidP="00AB3D40">
            <w:pPr>
              <w:pStyle w:val="resptext"/>
              <w:tabs>
                <w:tab w:val="left" w:pos="720"/>
              </w:tabs>
              <w:spacing w:before="60"/>
              <w:ind w:left="0"/>
              <w:rPr>
                <w:bCs/>
                <w:color w:val="1D1D1B" w:themeColor="text1"/>
              </w:rPr>
            </w:pPr>
            <w:r>
              <w:rPr>
                <w:color w:val="1D1D1B" w:themeColor="text1"/>
              </w:rPr>
              <w:t>Purchase of materials and/or goods</w:t>
            </w:r>
          </w:p>
        </w:tc>
        <w:tc>
          <w:tcPr>
            <w:tcW w:w="477" w:type="pct"/>
            <w:tcBorders>
              <w:top w:val="single" w:sz="4" w:space="0" w:color="auto"/>
              <w:left w:val="single" w:sz="4" w:space="0" w:color="auto"/>
              <w:bottom w:val="single" w:sz="4" w:space="0" w:color="auto"/>
              <w:right w:val="single" w:sz="4" w:space="0" w:color="auto"/>
            </w:tcBorders>
          </w:tcPr>
          <w:p w14:paraId="03D71300" w14:textId="77777777" w:rsidR="006E0879" w:rsidRPr="00925DF4" w:rsidRDefault="006E0879" w:rsidP="00AB3D40">
            <w:pPr>
              <w:pStyle w:val="resptext"/>
              <w:tabs>
                <w:tab w:val="left" w:pos="720"/>
              </w:tabs>
              <w:spacing w:before="60"/>
              <w:ind w:left="0"/>
              <w:jc w:val="center"/>
            </w:pPr>
            <w:r>
              <w:t>2</w:t>
            </w:r>
          </w:p>
        </w:tc>
      </w:tr>
      <w:tr w:rsidR="006E0879" w:rsidRPr="00925DF4" w14:paraId="3BBF0CFE" w14:textId="77777777" w:rsidTr="00AB3D40">
        <w:tc>
          <w:tcPr>
            <w:tcW w:w="394" w:type="pct"/>
            <w:tcBorders>
              <w:top w:val="single" w:sz="4" w:space="0" w:color="auto"/>
              <w:left w:val="single" w:sz="4" w:space="0" w:color="auto"/>
              <w:bottom w:val="single" w:sz="4" w:space="0" w:color="auto"/>
              <w:right w:val="single" w:sz="4" w:space="0" w:color="auto"/>
            </w:tcBorders>
          </w:tcPr>
          <w:p w14:paraId="4B9D6735" w14:textId="77777777" w:rsidR="006E0879" w:rsidRPr="00925DF4" w:rsidRDefault="006E0879" w:rsidP="00AB3D40">
            <w:pPr>
              <w:pStyle w:val="resptext"/>
              <w:tabs>
                <w:tab w:val="left" w:pos="720"/>
              </w:tabs>
              <w:spacing w:before="60"/>
              <w:ind w:left="0"/>
            </w:pPr>
            <w:r>
              <w:t>C</w:t>
            </w:r>
          </w:p>
        </w:tc>
        <w:tc>
          <w:tcPr>
            <w:tcW w:w="4129" w:type="pct"/>
            <w:tcBorders>
              <w:top w:val="single" w:sz="4" w:space="0" w:color="auto"/>
              <w:left w:val="single" w:sz="4" w:space="0" w:color="auto"/>
              <w:bottom w:val="single" w:sz="4" w:space="0" w:color="auto"/>
              <w:right w:val="single" w:sz="4" w:space="0" w:color="auto"/>
            </w:tcBorders>
          </w:tcPr>
          <w:p w14:paraId="708D36B1" w14:textId="77777777" w:rsidR="006E0879" w:rsidRPr="00925DF4" w:rsidRDefault="006E0879" w:rsidP="00AB3D40">
            <w:pPr>
              <w:pStyle w:val="resptext"/>
              <w:tabs>
                <w:tab w:val="left" w:pos="720"/>
              </w:tabs>
              <w:spacing w:before="60"/>
              <w:ind w:left="0"/>
            </w:pPr>
            <w:r>
              <w:rPr>
                <w:bCs/>
                <w:color w:val="1D1D1B" w:themeColor="text1"/>
              </w:rPr>
              <w:t>Fund day to day costs/expenses (other than materials and/or goods)</w:t>
            </w:r>
          </w:p>
        </w:tc>
        <w:tc>
          <w:tcPr>
            <w:tcW w:w="477" w:type="pct"/>
            <w:tcBorders>
              <w:top w:val="single" w:sz="4" w:space="0" w:color="auto"/>
              <w:left w:val="single" w:sz="4" w:space="0" w:color="auto"/>
              <w:bottom w:val="single" w:sz="4" w:space="0" w:color="auto"/>
              <w:right w:val="single" w:sz="4" w:space="0" w:color="auto"/>
            </w:tcBorders>
          </w:tcPr>
          <w:p w14:paraId="7478075A" w14:textId="77777777" w:rsidR="006E0879" w:rsidRPr="00925DF4" w:rsidRDefault="006E0879" w:rsidP="00AB3D40">
            <w:pPr>
              <w:pStyle w:val="resptext"/>
              <w:tabs>
                <w:tab w:val="left" w:pos="720"/>
              </w:tabs>
              <w:spacing w:before="60"/>
              <w:ind w:left="0"/>
              <w:jc w:val="center"/>
            </w:pPr>
            <w:r>
              <w:t>3</w:t>
            </w:r>
          </w:p>
        </w:tc>
      </w:tr>
      <w:tr w:rsidR="006E0879" w:rsidRPr="00925DF4" w14:paraId="093CD0D8" w14:textId="77777777" w:rsidTr="00AB3D40">
        <w:tc>
          <w:tcPr>
            <w:tcW w:w="394" w:type="pct"/>
            <w:tcBorders>
              <w:top w:val="single" w:sz="4" w:space="0" w:color="auto"/>
              <w:left w:val="single" w:sz="4" w:space="0" w:color="auto"/>
              <w:bottom w:val="single" w:sz="4" w:space="0" w:color="auto"/>
              <w:right w:val="single" w:sz="4" w:space="0" w:color="auto"/>
            </w:tcBorders>
          </w:tcPr>
          <w:p w14:paraId="2B624B82" w14:textId="77777777" w:rsidR="006E0879" w:rsidRPr="00925DF4" w:rsidRDefault="006E0879" w:rsidP="00AB3D40">
            <w:pPr>
              <w:pStyle w:val="resptext"/>
              <w:tabs>
                <w:tab w:val="left" w:pos="720"/>
              </w:tabs>
              <w:spacing w:before="60"/>
              <w:ind w:left="0"/>
            </w:pPr>
            <w:r>
              <w:t>D</w:t>
            </w:r>
          </w:p>
        </w:tc>
        <w:tc>
          <w:tcPr>
            <w:tcW w:w="4129" w:type="pct"/>
            <w:tcBorders>
              <w:top w:val="single" w:sz="4" w:space="0" w:color="auto"/>
              <w:left w:val="single" w:sz="4" w:space="0" w:color="auto"/>
              <w:bottom w:val="single" w:sz="4" w:space="0" w:color="auto"/>
              <w:right w:val="single" w:sz="4" w:space="0" w:color="auto"/>
            </w:tcBorders>
          </w:tcPr>
          <w:p w14:paraId="74F78EE5" w14:textId="77777777" w:rsidR="006E0879" w:rsidRPr="00925DF4" w:rsidRDefault="006E0879" w:rsidP="00AB3D40">
            <w:pPr>
              <w:pStyle w:val="resptext"/>
              <w:tabs>
                <w:tab w:val="left" w:pos="720"/>
              </w:tabs>
              <w:spacing w:before="60"/>
              <w:ind w:left="0"/>
              <w:rPr>
                <w:bCs/>
                <w:color w:val="1D1D1B" w:themeColor="text1"/>
              </w:rPr>
            </w:pPr>
            <w:r>
              <w:rPr>
                <w:bCs/>
                <w:color w:val="1D1D1B" w:themeColor="text1"/>
              </w:rPr>
              <w:t>Change business model, e.g. moving to online service provision or improving digital capability</w:t>
            </w:r>
          </w:p>
        </w:tc>
        <w:tc>
          <w:tcPr>
            <w:tcW w:w="477" w:type="pct"/>
            <w:tcBorders>
              <w:top w:val="single" w:sz="4" w:space="0" w:color="auto"/>
              <w:left w:val="single" w:sz="4" w:space="0" w:color="auto"/>
              <w:bottom w:val="single" w:sz="4" w:space="0" w:color="auto"/>
              <w:right w:val="single" w:sz="4" w:space="0" w:color="auto"/>
            </w:tcBorders>
          </w:tcPr>
          <w:p w14:paraId="5831CAC5" w14:textId="77777777" w:rsidR="006E0879" w:rsidRPr="00925DF4" w:rsidRDefault="006E0879" w:rsidP="00AB3D40">
            <w:pPr>
              <w:pStyle w:val="resptext"/>
              <w:tabs>
                <w:tab w:val="left" w:pos="720"/>
              </w:tabs>
              <w:spacing w:before="60"/>
              <w:ind w:left="0"/>
              <w:jc w:val="center"/>
            </w:pPr>
            <w:r>
              <w:t>4</w:t>
            </w:r>
          </w:p>
        </w:tc>
      </w:tr>
      <w:tr w:rsidR="006E0879" w:rsidRPr="00925DF4" w14:paraId="132F3A7E" w14:textId="77777777" w:rsidTr="00AB3D40">
        <w:tc>
          <w:tcPr>
            <w:tcW w:w="394" w:type="pct"/>
            <w:tcBorders>
              <w:top w:val="single" w:sz="4" w:space="0" w:color="auto"/>
              <w:left w:val="single" w:sz="4" w:space="0" w:color="auto"/>
              <w:bottom w:val="single" w:sz="4" w:space="0" w:color="auto"/>
              <w:right w:val="single" w:sz="4" w:space="0" w:color="auto"/>
            </w:tcBorders>
          </w:tcPr>
          <w:p w14:paraId="7D24A9CF" w14:textId="77777777" w:rsidR="006E0879" w:rsidRPr="00925DF4" w:rsidRDefault="006E0879" w:rsidP="00AB3D40">
            <w:pPr>
              <w:pStyle w:val="resptext"/>
              <w:tabs>
                <w:tab w:val="left" w:pos="720"/>
              </w:tabs>
              <w:spacing w:before="60"/>
              <w:ind w:left="0"/>
            </w:pPr>
            <w:r>
              <w:t>E</w:t>
            </w:r>
          </w:p>
        </w:tc>
        <w:tc>
          <w:tcPr>
            <w:tcW w:w="4129" w:type="pct"/>
            <w:tcBorders>
              <w:top w:val="single" w:sz="4" w:space="0" w:color="auto"/>
              <w:left w:val="single" w:sz="4" w:space="0" w:color="auto"/>
              <w:bottom w:val="single" w:sz="4" w:space="0" w:color="auto"/>
              <w:right w:val="single" w:sz="4" w:space="0" w:color="auto"/>
            </w:tcBorders>
          </w:tcPr>
          <w:p w14:paraId="02936503" w14:textId="77777777" w:rsidR="006E0879" w:rsidRPr="00925DF4" w:rsidRDefault="006E0879" w:rsidP="00AB3D40">
            <w:pPr>
              <w:pStyle w:val="resptext"/>
              <w:tabs>
                <w:tab w:val="left" w:pos="720"/>
              </w:tabs>
              <w:spacing w:before="60"/>
              <w:ind w:left="0"/>
              <w:rPr>
                <w:bCs/>
                <w:color w:val="1D1D1B" w:themeColor="text1"/>
              </w:rPr>
            </w:pPr>
            <w:r>
              <w:rPr>
                <w:bCs/>
                <w:color w:val="1D1D1B" w:themeColor="text1"/>
              </w:rPr>
              <w:t>Introduce new or different goods or services</w:t>
            </w:r>
          </w:p>
        </w:tc>
        <w:tc>
          <w:tcPr>
            <w:tcW w:w="477" w:type="pct"/>
            <w:tcBorders>
              <w:top w:val="single" w:sz="4" w:space="0" w:color="auto"/>
              <w:left w:val="single" w:sz="4" w:space="0" w:color="auto"/>
              <w:bottom w:val="single" w:sz="4" w:space="0" w:color="auto"/>
              <w:right w:val="single" w:sz="4" w:space="0" w:color="auto"/>
            </w:tcBorders>
          </w:tcPr>
          <w:p w14:paraId="6B96CC79" w14:textId="77777777" w:rsidR="006E0879" w:rsidRPr="00925DF4" w:rsidRDefault="006E0879" w:rsidP="00AB3D40">
            <w:pPr>
              <w:pStyle w:val="resptext"/>
              <w:tabs>
                <w:tab w:val="left" w:pos="720"/>
              </w:tabs>
              <w:spacing w:before="60"/>
              <w:ind w:left="0"/>
              <w:jc w:val="center"/>
            </w:pPr>
            <w:r>
              <w:t>5</w:t>
            </w:r>
          </w:p>
        </w:tc>
      </w:tr>
      <w:tr w:rsidR="006E0879" w:rsidRPr="00925DF4" w14:paraId="308FD28B" w14:textId="77777777" w:rsidTr="00AB3D40">
        <w:tc>
          <w:tcPr>
            <w:tcW w:w="394" w:type="pct"/>
            <w:tcBorders>
              <w:top w:val="single" w:sz="4" w:space="0" w:color="auto"/>
              <w:left w:val="single" w:sz="4" w:space="0" w:color="auto"/>
              <w:bottom w:val="single" w:sz="4" w:space="0" w:color="auto"/>
              <w:right w:val="single" w:sz="4" w:space="0" w:color="auto"/>
            </w:tcBorders>
          </w:tcPr>
          <w:p w14:paraId="15E3B9FC" w14:textId="77777777" w:rsidR="006E0879" w:rsidRPr="00925DF4" w:rsidRDefault="006E0879" w:rsidP="00AB3D40">
            <w:pPr>
              <w:pStyle w:val="resptext"/>
              <w:tabs>
                <w:tab w:val="left" w:pos="720"/>
              </w:tabs>
              <w:spacing w:before="60"/>
              <w:ind w:left="0"/>
            </w:pPr>
            <w:r>
              <w:t>F</w:t>
            </w:r>
          </w:p>
        </w:tc>
        <w:tc>
          <w:tcPr>
            <w:tcW w:w="4129" w:type="pct"/>
            <w:tcBorders>
              <w:top w:val="single" w:sz="4" w:space="0" w:color="auto"/>
              <w:left w:val="single" w:sz="4" w:space="0" w:color="auto"/>
              <w:bottom w:val="single" w:sz="4" w:space="0" w:color="auto"/>
              <w:right w:val="single" w:sz="4" w:space="0" w:color="auto"/>
            </w:tcBorders>
          </w:tcPr>
          <w:p w14:paraId="5C62B397" w14:textId="77777777" w:rsidR="006E0879" w:rsidRPr="00925DF4" w:rsidRDefault="006E0879" w:rsidP="00AB3D40">
            <w:pPr>
              <w:pStyle w:val="resptext"/>
              <w:tabs>
                <w:tab w:val="left" w:pos="720"/>
              </w:tabs>
              <w:spacing w:before="60"/>
              <w:ind w:left="0"/>
            </w:pPr>
            <w:r w:rsidRPr="00925DF4">
              <w:rPr>
                <w:bCs/>
                <w:color w:val="1D1D1B" w:themeColor="text1"/>
              </w:rPr>
              <w:t xml:space="preserve">Other adjustments to working practices (e.g. ensure workplace is </w:t>
            </w:r>
            <w:r w:rsidRPr="00925DF4">
              <w:rPr>
                <w:color w:val="1D1D1B" w:themeColor="text1"/>
              </w:rPr>
              <w:t>Covid-19</w:t>
            </w:r>
            <w:r w:rsidRPr="00925DF4">
              <w:rPr>
                <w:b/>
                <w:bCs/>
                <w:color w:val="1D1D1B" w:themeColor="text1"/>
              </w:rPr>
              <w:t xml:space="preserve"> </w:t>
            </w:r>
            <w:r w:rsidRPr="00925DF4">
              <w:rPr>
                <w:bCs/>
                <w:color w:val="1D1D1B" w:themeColor="text1"/>
              </w:rPr>
              <w:t>safe</w:t>
            </w:r>
            <w:r>
              <w:rPr>
                <w:bCs/>
                <w:color w:val="1D1D1B" w:themeColor="text1"/>
              </w:rPr>
              <w:t xml:space="preserve"> or reversing Covid-19 related changes</w:t>
            </w:r>
            <w:r w:rsidRPr="00925DF4">
              <w:rPr>
                <w:bCs/>
                <w:color w:val="1D1D1B" w:themeColor="text1"/>
              </w:rPr>
              <w:t>)</w:t>
            </w:r>
          </w:p>
        </w:tc>
        <w:tc>
          <w:tcPr>
            <w:tcW w:w="477" w:type="pct"/>
            <w:tcBorders>
              <w:top w:val="single" w:sz="4" w:space="0" w:color="auto"/>
              <w:left w:val="single" w:sz="4" w:space="0" w:color="auto"/>
              <w:bottom w:val="single" w:sz="4" w:space="0" w:color="auto"/>
              <w:right w:val="single" w:sz="4" w:space="0" w:color="auto"/>
            </w:tcBorders>
          </w:tcPr>
          <w:p w14:paraId="519086CA" w14:textId="77777777" w:rsidR="006E0879" w:rsidRPr="00925DF4" w:rsidRDefault="006E0879" w:rsidP="00AB3D40">
            <w:pPr>
              <w:pStyle w:val="resptext"/>
              <w:tabs>
                <w:tab w:val="left" w:pos="720"/>
              </w:tabs>
              <w:spacing w:before="60"/>
              <w:ind w:left="0"/>
              <w:jc w:val="center"/>
            </w:pPr>
            <w:r>
              <w:t>6</w:t>
            </w:r>
          </w:p>
        </w:tc>
      </w:tr>
      <w:tr w:rsidR="006E0879" w:rsidRPr="00925DF4" w14:paraId="13888482" w14:textId="77777777" w:rsidTr="00AB3D40">
        <w:tc>
          <w:tcPr>
            <w:tcW w:w="394" w:type="pct"/>
            <w:tcBorders>
              <w:top w:val="single" w:sz="4" w:space="0" w:color="auto"/>
              <w:left w:val="single" w:sz="4" w:space="0" w:color="auto"/>
              <w:bottom w:val="single" w:sz="4" w:space="0" w:color="auto"/>
              <w:right w:val="single" w:sz="4" w:space="0" w:color="auto"/>
            </w:tcBorders>
          </w:tcPr>
          <w:p w14:paraId="188CEC33" w14:textId="77777777" w:rsidR="006E0879" w:rsidRPr="00925DF4" w:rsidRDefault="006E0879" w:rsidP="00AB3D40">
            <w:pPr>
              <w:pStyle w:val="resptext"/>
              <w:tabs>
                <w:tab w:val="left" w:pos="720"/>
              </w:tabs>
              <w:spacing w:before="60"/>
              <w:ind w:left="0"/>
            </w:pPr>
            <w:r>
              <w:t>G</w:t>
            </w:r>
          </w:p>
        </w:tc>
        <w:tc>
          <w:tcPr>
            <w:tcW w:w="4129" w:type="pct"/>
            <w:tcBorders>
              <w:top w:val="single" w:sz="4" w:space="0" w:color="auto"/>
              <w:left w:val="single" w:sz="4" w:space="0" w:color="auto"/>
              <w:bottom w:val="single" w:sz="4" w:space="0" w:color="auto"/>
              <w:right w:val="single" w:sz="4" w:space="0" w:color="auto"/>
            </w:tcBorders>
          </w:tcPr>
          <w:p w14:paraId="714E21DD" w14:textId="77777777" w:rsidR="006E0879" w:rsidRPr="00925DF4" w:rsidRDefault="006E0879" w:rsidP="00AB3D40">
            <w:pPr>
              <w:pStyle w:val="resptext"/>
              <w:tabs>
                <w:tab w:val="left" w:pos="720"/>
              </w:tabs>
              <w:spacing w:before="60"/>
              <w:ind w:left="0"/>
            </w:pPr>
            <w:r w:rsidRPr="00925DF4">
              <w:rPr>
                <w:bCs/>
                <w:color w:val="1D1D1B" w:themeColor="text1"/>
              </w:rPr>
              <w:t>Provide financial security and/or headroom, e.g. in case more funds are needed</w:t>
            </w:r>
          </w:p>
        </w:tc>
        <w:tc>
          <w:tcPr>
            <w:tcW w:w="477" w:type="pct"/>
            <w:tcBorders>
              <w:top w:val="single" w:sz="4" w:space="0" w:color="auto"/>
              <w:left w:val="single" w:sz="4" w:space="0" w:color="auto"/>
              <w:bottom w:val="single" w:sz="4" w:space="0" w:color="auto"/>
              <w:right w:val="single" w:sz="4" w:space="0" w:color="auto"/>
            </w:tcBorders>
          </w:tcPr>
          <w:p w14:paraId="5D76041C" w14:textId="77777777" w:rsidR="006E0879" w:rsidRPr="00925DF4" w:rsidRDefault="006E0879" w:rsidP="00AB3D40">
            <w:pPr>
              <w:pStyle w:val="resptext"/>
              <w:tabs>
                <w:tab w:val="left" w:pos="720"/>
              </w:tabs>
              <w:spacing w:before="60"/>
              <w:ind w:left="0"/>
              <w:jc w:val="center"/>
            </w:pPr>
            <w:r>
              <w:t>7</w:t>
            </w:r>
          </w:p>
        </w:tc>
      </w:tr>
      <w:tr w:rsidR="006E0879" w:rsidRPr="00925DF4" w14:paraId="55DB6028" w14:textId="77777777" w:rsidTr="00AB3D40">
        <w:tc>
          <w:tcPr>
            <w:tcW w:w="394" w:type="pct"/>
            <w:tcBorders>
              <w:top w:val="single" w:sz="4" w:space="0" w:color="auto"/>
              <w:left w:val="single" w:sz="4" w:space="0" w:color="auto"/>
              <w:bottom w:val="single" w:sz="4" w:space="0" w:color="auto"/>
              <w:right w:val="single" w:sz="4" w:space="0" w:color="auto"/>
            </w:tcBorders>
          </w:tcPr>
          <w:p w14:paraId="77503D00" w14:textId="77777777" w:rsidR="006E0879" w:rsidRPr="00925DF4" w:rsidRDefault="006E0879" w:rsidP="00AB3D40">
            <w:pPr>
              <w:pStyle w:val="resptext"/>
              <w:tabs>
                <w:tab w:val="left" w:pos="720"/>
              </w:tabs>
              <w:spacing w:before="60"/>
              <w:ind w:left="0"/>
            </w:pPr>
            <w:r>
              <w:t>H</w:t>
            </w:r>
          </w:p>
        </w:tc>
        <w:tc>
          <w:tcPr>
            <w:tcW w:w="4129" w:type="pct"/>
            <w:tcBorders>
              <w:top w:val="single" w:sz="4" w:space="0" w:color="auto"/>
              <w:left w:val="single" w:sz="4" w:space="0" w:color="auto"/>
              <w:bottom w:val="single" w:sz="4" w:space="0" w:color="auto"/>
              <w:right w:val="single" w:sz="4" w:space="0" w:color="auto"/>
            </w:tcBorders>
          </w:tcPr>
          <w:p w14:paraId="5C4117AB" w14:textId="77777777" w:rsidR="006E0879" w:rsidRPr="00925DF4" w:rsidRDefault="006E0879" w:rsidP="00AB3D40">
            <w:pPr>
              <w:pStyle w:val="resptext"/>
              <w:tabs>
                <w:tab w:val="left" w:pos="720"/>
              </w:tabs>
              <w:spacing w:before="60"/>
              <w:ind w:left="0"/>
            </w:pPr>
            <w:r w:rsidRPr="00925DF4">
              <w:rPr>
                <w:bCs/>
                <w:color w:val="1D1D1B" w:themeColor="text1"/>
              </w:rPr>
              <w:t>Make any debt repayments</w:t>
            </w:r>
          </w:p>
        </w:tc>
        <w:tc>
          <w:tcPr>
            <w:tcW w:w="477" w:type="pct"/>
            <w:tcBorders>
              <w:top w:val="single" w:sz="4" w:space="0" w:color="auto"/>
              <w:left w:val="single" w:sz="4" w:space="0" w:color="auto"/>
              <w:bottom w:val="single" w:sz="4" w:space="0" w:color="auto"/>
              <w:right w:val="single" w:sz="4" w:space="0" w:color="auto"/>
            </w:tcBorders>
          </w:tcPr>
          <w:p w14:paraId="4835DFE6" w14:textId="77777777" w:rsidR="006E0879" w:rsidRPr="00925DF4" w:rsidRDefault="006E0879" w:rsidP="00AB3D40">
            <w:pPr>
              <w:pStyle w:val="resptext"/>
              <w:tabs>
                <w:tab w:val="left" w:pos="720"/>
              </w:tabs>
              <w:spacing w:before="60"/>
              <w:ind w:left="0"/>
              <w:jc w:val="center"/>
            </w:pPr>
            <w:r>
              <w:t>8</w:t>
            </w:r>
          </w:p>
        </w:tc>
      </w:tr>
      <w:tr w:rsidR="006E0879" w:rsidRPr="00925DF4" w14:paraId="3F1CED16" w14:textId="77777777" w:rsidTr="00AB3D40">
        <w:tc>
          <w:tcPr>
            <w:tcW w:w="394" w:type="pct"/>
            <w:tcBorders>
              <w:top w:val="single" w:sz="4" w:space="0" w:color="auto"/>
              <w:left w:val="single" w:sz="4" w:space="0" w:color="auto"/>
              <w:bottom w:val="single" w:sz="4" w:space="0" w:color="auto"/>
              <w:right w:val="single" w:sz="4" w:space="0" w:color="auto"/>
            </w:tcBorders>
          </w:tcPr>
          <w:p w14:paraId="5C04C40F" w14:textId="77777777" w:rsidR="006E0879" w:rsidRPr="00925DF4" w:rsidRDefault="006E0879" w:rsidP="00AB3D40">
            <w:pPr>
              <w:pStyle w:val="resptext"/>
              <w:tabs>
                <w:tab w:val="left" w:pos="720"/>
              </w:tabs>
              <w:spacing w:before="60"/>
              <w:ind w:left="0"/>
            </w:pPr>
            <w:r>
              <w:t>I</w:t>
            </w:r>
          </w:p>
        </w:tc>
        <w:tc>
          <w:tcPr>
            <w:tcW w:w="4129" w:type="pct"/>
            <w:tcBorders>
              <w:top w:val="single" w:sz="4" w:space="0" w:color="auto"/>
              <w:left w:val="single" w:sz="4" w:space="0" w:color="auto"/>
              <w:bottom w:val="single" w:sz="4" w:space="0" w:color="auto"/>
              <w:right w:val="single" w:sz="4" w:space="0" w:color="auto"/>
            </w:tcBorders>
          </w:tcPr>
          <w:p w14:paraId="3DE25202" w14:textId="77777777" w:rsidR="006E0879" w:rsidRPr="00925DF4" w:rsidRDefault="006E0879" w:rsidP="00AB3D40">
            <w:pPr>
              <w:pStyle w:val="resptext"/>
              <w:tabs>
                <w:tab w:val="left" w:pos="720"/>
              </w:tabs>
              <w:spacing w:before="60"/>
              <w:ind w:left="0"/>
            </w:pPr>
            <w:r>
              <w:rPr>
                <w:bCs/>
                <w:color w:val="1D1D1B" w:themeColor="text1"/>
              </w:rPr>
              <w:t>Refinancing of existing debt</w:t>
            </w:r>
          </w:p>
        </w:tc>
        <w:tc>
          <w:tcPr>
            <w:tcW w:w="477" w:type="pct"/>
            <w:tcBorders>
              <w:top w:val="single" w:sz="4" w:space="0" w:color="auto"/>
              <w:left w:val="single" w:sz="4" w:space="0" w:color="auto"/>
              <w:bottom w:val="single" w:sz="4" w:space="0" w:color="auto"/>
              <w:right w:val="single" w:sz="4" w:space="0" w:color="auto"/>
            </w:tcBorders>
          </w:tcPr>
          <w:p w14:paraId="2E70F969" w14:textId="77777777" w:rsidR="006E0879" w:rsidRPr="00925DF4" w:rsidRDefault="006E0879" w:rsidP="00AB3D40">
            <w:pPr>
              <w:pStyle w:val="resptext"/>
              <w:tabs>
                <w:tab w:val="left" w:pos="720"/>
              </w:tabs>
              <w:spacing w:before="60"/>
              <w:ind w:left="0"/>
              <w:jc w:val="center"/>
            </w:pPr>
            <w:r>
              <w:t>9</w:t>
            </w:r>
          </w:p>
        </w:tc>
      </w:tr>
      <w:tr w:rsidR="006E0879" w:rsidRPr="00925DF4" w14:paraId="7F45FE33" w14:textId="77777777" w:rsidTr="00AB3D40">
        <w:tc>
          <w:tcPr>
            <w:tcW w:w="394" w:type="pct"/>
            <w:tcBorders>
              <w:top w:val="single" w:sz="4" w:space="0" w:color="auto"/>
              <w:left w:val="single" w:sz="4" w:space="0" w:color="auto"/>
              <w:bottom w:val="single" w:sz="4" w:space="0" w:color="auto"/>
              <w:right w:val="single" w:sz="4" w:space="0" w:color="auto"/>
            </w:tcBorders>
          </w:tcPr>
          <w:p w14:paraId="53C04AD2" w14:textId="77777777" w:rsidR="006E0879" w:rsidRPr="00925DF4" w:rsidRDefault="006E0879" w:rsidP="00AB3D40">
            <w:pPr>
              <w:pStyle w:val="resptext"/>
              <w:tabs>
                <w:tab w:val="left" w:pos="720"/>
              </w:tabs>
              <w:spacing w:before="60"/>
              <w:ind w:left="0"/>
            </w:pPr>
            <w:r>
              <w:t>J</w:t>
            </w:r>
          </w:p>
        </w:tc>
        <w:tc>
          <w:tcPr>
            <w:tcW w:w="4129" w:type="pct"/>
            <w:tcBorders>
              <w:top w:val="single" w:sz="4" w:space="0" w:color="auto"/>
              <w:left w:val="single" w:sz="4" w:space="0" w:color="auto"/>
              <w:bottom w:val="single" w:sz="4" w:space="0" w:color="auto"/>
              <w:right w:val="single" w:sz="4" w:space="0" w:color="auto"/>
            </w:tcBorders>
          </w:tcPr>
          <w:p w14:paraId="13032E5D"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Consolidation of existing debt – i.e. bringing existing debts together into one new de</w:t>
            </w:r>
            <w:r>
              <w:rPr>
                <w:bCs/>
                <w:color w:val="1D1D1B" w:themeColor="text1"/>
              </w:rPr>
              <w:t>b</w:t>
            </w:r>
            <w:r w:rsidRPr="00925DF4">
              <w:rPr>
                <w:bCs/>
                <w:color w:val="1D1D1B" w:themeColor="text1"/>
              </w:rPr>
              <w:t xml:space="preserve">t </w:t>
            </w:r>
          </w:p>
        </w:tc>
        <w:tc>
          <w:tcPr>
            <w:tcW w:w="477" w:type="pct"/>
            <w:tcBorders>
              <w:top w:val="single" w:sz="4" w:space="0" w:color="auto"/>
              <w:left w:val="single" w:sz="4" w:space="0" w:color="auto"/>
              <w:bottom w:val="single" w:sz="4" w:space="0" w:color="auto"/>
              <w:right w:val="single" w:sz="4" w:space="0" w:color="auto"/>
            </w:tcBorders>
          </w:tcPr>
          <w:p w14:paraId="7C16519D" w14:textId="77777777" w:rsidR="006E0879" w:rsidRPr="00925DF4" w:rsidRDefault="006E0879" w:rsidP="00AB3D40">
            <w:pPr>
              <w:pStyle w:val="resptext"/>
              <w:tabs>
                <w:tab w:val="left" w:pos="720"/>
              </w:tabs>
              <w:spacing w:before="60"/>
              <w:ind w:left="0"/>
              <w:jc w:val="center"/>
            </w:pPr>
            <w:r w:rsidRPr="00925DF4">
              <w:t>1</w:t>
            </w:r>
            <w:r>
              <w:t>0</w:t>
            </w:r>
          </w:p>
        </w:tc>
      </w:tr>
      <w:tr w:rsidR="006E0879" w:rsidRPr="00925DF4" w14:paraId="6BAB8D77" w14:textId="77777777" w:rsidTr="00AB3D40">
        <w:tc>
          <w:tcPr>
            <w:tcW w:w="394" w:type="pct"/>
            <w:tcBorders>
              <w:top w:val="single" w:sz="4" w:space="0" w:color="auto"/>
              <w:left w:val="single" w:sz="4" w:space="0" w:color="auto"/>
              <w:bottom w:val="single" w:sz="4" w:space="0" w:color="auto"/>
              <w:right w:val="single" w:sz="4" w:space="0" w:color="auto"/>
            </w:tcBorders>
          </w:tcPr>
          <w:p w14:paraId="3B35E8A2" w14:textId="77777777" w:rsidR="006E0879" w:rsidRPr="00925DF4" w:rsidRDefault="006E0879" w:rsidP="00AB3D40">
            <w:pPr>
              <w:pStyle w:val="resptext"/>
              <w:tabs>
                <w:tab w:val="left" w:pos="720"/>
              </w:tabs>
              <w:spacing w:before="60"/>
              <w:ind w:left="0"/>
            </w:pPr>
          </w:p>
        </w:tc>
        <w:tc>
          <w:tcPr>
            <w:tcW w:w="4129" w:type="pct"/>
            <w:tcBorders>
              <w:top w:val="single" w:sz="4" w:space="0" w:color="auto"/>
              <w:left w:val="single" w:sz="4" w:space="0" w:color="auto"/>
              <w:bottom w:val="single" w:sz="4" w:space="0" w:color="auto"/>
              <w:right w:val="single" w:sz="4" w:space="0" w:color="auto"/>
            </w:tcBorders>
          </w:tcPr>
          <w:p w14:paraId="1E2A5D4E" w14:textId="77777777" w:rsidR="006E0879" w:rsidRPr="00925DF4" w:rsidRDefault="006E0879" w:rsidP="00AB3D40">
            <w:pPr>
              <w:pStyle w:val="resptext"/>
              <w:tabs>
                <w:tab w:val="left" w:pos="720"/>
              </w:tabs>
              <w:spacing w:before="60"/>
              <w:ind w:left="0"/>
            </w:pPr>
            <w:r w:rsidRPr="00925DF4">
              <w:t>Don’t know</w:t>
            </w:r>
          </w:p>
        </w:tc>
        <w:tc>
          <w:tcPr>
            <w:tcW w:w="477" w:type="pct"/>
            <w:tcBorders>
              <w:top w:val="single" w:sz="4" w:space="0" w:color="auto"/>
              <w:left w:val="single" w:sz="4" w:space="0" w:color="auto"/>
              <w:bottom w:val="single" w:sz="4" w:space="0" w:color="auto"/>
              <w:right w:val="single" w:sz="4" w:space="0" w:color="auto"/>
            </w:tcBorders>
          </w:tcPr>
          <w:p w14:paraId="5A4A33A1" w14:textId="77777777" w:rsidR="006E0879" w:rsidRPr="00925DF4" w:rsidRDefault="006E0879" w:rsidP="00AB3D40">
            <w:pPr>
              <w:pStyle w:val="resptext"/>
              <w:tabs>
                <w:tab w:val="left" w:pos="720"/>
              </w:tabs>
              <w:spacing w:before="60"/>
              <w:ind w:left="0"/>
              <w:jc w:val="center"/>
            </w:pPr>
            <w:r w:rsidRPr="00925DF4">
              <w:t>98</w:t>
            </w:r>
          </w:p>
        </w:tc>
      </w:tr>
      <w:tr w:rsidR="006E0879" w:rsidRPr="00925DF4" w14:paraId="6EA9FA0D" w14:textId="77777777" w:rsidTr="00AB3D40">
        <w:tc>
          <w:tcPr>
            <w:tcW w:w="394" w:type="pct"/>
            <w:tcBorders>
              <w:top w:val="single" w:sz="4" w:space="0" w:color="auto"/>
              <w:left w:val="single" w:sz="4" w:space="0" w:color="auto"/>
              <w:bottom w:val="single" w:sz="4" w:space="0" w:color="auto"/>
              <w:right w:val="single" w:sz="4" w:space="0" w:color="auto"/>
            </w:tcBorders>
          </w:tcPr>
          <w:p w14:paraId="2F5EF03D" w14:textId="77777777" w:rsidR="006E0879" w:rsidRPr="00925DF4" w:rsidRDefault="006E0879" w:rsidP="00AB3D40">
            <w:pPr>
              <w:pStyle w:val="resptext"/>
              <w:tabs>
                <w:tab w:val="left" w:pos="720"/>
              </w:tabs>
              <w:spacing w:before="60"/>
              <w:ind w:left="0"/>
            </w:pPr>
          </w:p>
        </w:tc>
        <w:tc>
          <w:tcPr>
            <w:tcW w:w="4129" w:type="pct"/>
            <w:tcBorders>
              <w:top w:val="single" w:sz="4" w:space="0" w:color="auto"/>
              <w:left w:val="single" w:sz="4" w:space="0" w:color="auto"/>
              <w:bottom w:val="single" w:sz="4" w:space="0" w:color="auto"/>
              <w:right w:val="single" w:sz="4" w:space="0" w:color="auto"/>
            </w:tcBorders>
          </w:tcPr>
          <w:p w14:paraId="68331E1D" w14:textId="77777777" w:rsidR="006E0879" w:rsidRPr="00925DF4" w:rsidRDefault="006E0879" w:rsidP="00AB3D40">
            <w:pPr>
              <w:pStyle w:val="resptext"/>
              <w:tabs>
                <w:tab w:val="left" w:pos="720"/>
              </w:tabs>
              <w:spacing w:before="60"/>
              <w:ind w:left="0"/>
            </w:pPr>
            <w:r w:rsidRPr="00925DF4">
              <w:t>Refused</w:t>
            </w:r>
          </w:p>
        </w:tc>
        <w:tc>
          <w:tcPr>
            <w:tcW w:w="477" w:type="pct"/>
            <w:tcBorders>
              <w:top w:val="single" w:sz="4" w:space="0" w:color="auto"/>
              <w:left w:val="single" w:sz="4" w:space="0" w:color="auto"/>
              <w:bottom w:val="single" w:sz="4" w:space="0" w:color="auto"/>
              <w:right w:val="single" w:sz="4" w:space="0" w:color="auto"/>
            </w:tcBorders>
          </w:tcPr>
          <w:p w14:paraId="0C172318" w14:textId="77777777" w:rsidR="006E0879" w:rsidRPr="00925DF4" w:rsidRDefault="006E0879" w:rsidP="00AB3D40">
            <w:pPr>
              <w:pStyle w:val="resptext"/>
              <w:tabs>
                <w:tab w:val="left" w:pos="720"/>
              </w:tabs>
              <w:spacing w:before="60"/>
              <w:ind w:left="0"/>
              <w:jc w:val="center"/>
            </w:pPr>
            <w:r w:rsidRPr="00925DF4">
              <w:t>99</w:t>
            </w:r>
          </w:p>
        </w:tc>
      </w:tr>
    </w:tbl>
    <w:p w14:paraId="09EAB69E" w14:textId="77777777" w:rsidR="006E0879" w:rsidRPr="00925DF4" w:rsidRDefault="006E0879" w:rsidP="006E0879">
      <w:pPr>
        <w:rPr>
          <w:rFonts w:cs="Arial"/>
          <w:color w:val="1D1D1B" w:themeColor="text1"/>
        </w:rPr>
      </w:pPr>
    </w:p>
    <w:p w14:paraId="0C6C8279" w14:textId="77777777" w:rsidR="006E0879" w:rsidRPr="00283223" w:rsidRDefault="006E0879" w:rsidP="006E0879">
      <w:pPr>
        <w:rPr>
          <w:rFonts w:cs="Arial"/>
          <w:color w:val="FF0000"/>
        </w:rPr>
      </w:pPr>
      <w:r w:rsidRPr="00283223">
        <w:rPr>
          <w:rFonts w:cs="Arial"/>
          <w:color w:val="FF0000"/>
        </w:rPr>
        <w:t>SHOW ALL</w:t>
      </w:r>
    </w:p>
    <w:p w14:paraId="4CDCA52C" w14:textId="77777777" w:rsidR="000824F2" w:rsidRDefault="006E0879" w:rsidP="006E0879">
      <w:pPr>
        <w:rPr>
          <w:rFonts w:cs="Arial"/>
          <w:b/>
          <w:bCs/>
        </w:rPr>
      </w:pPr>
      <w:r w:rsidRPr="00283223">
        <w:rPr>
          <w:rFonts w:cs="Arial"/>
          <w:b/>
          <w:bCs/>
        </w:rPr>
        <w:t xml:space="preserve">The next questions are about the support you may have used since the onset of the pandemic as well as the challenges the pandemic posed to your business. </w:t>
      </w:r>
    </w:p>
    <w:p w14:paraId="0859BFB6" w14:textId="10D81650" w:rsidR="006E0879" w:rsidRPr="00C31D26" w:rsidRDefault="006E0879" w:rsidP="006E0879">
      <w:pPr>
        <w:rPr>
          <w:rFonts w:cs="Arial"/>
          <w:b/>
          <w:bCs/>
        </w:rPr>
      </w:pPr>
      <w:r w:rsidRPr="00283223">
        <w:rPr>
          <w:rFonts w:cs="Arial"/>
          <w:color w:val="FF0000"/>
        </w:rPr>
        <w:t>ASK ALL</w:t>
      </w:r>
    </w:p>
    <w:p w14:paraId="3A6675E4" w14:textId="72763BDA" w:rsidR="006E0879" w:rsidRPr="00925DF4" w:rsidRDefault="006E0879" w:rsidP="006E0879">
      <w:pPr>
        <w:rPr>
          <w:rFonts w:cs="Arial"/>
          <w:b/>
          <w:bCs/>
        </w:rPr>
      </w:pPr>
      <w:r w:rsidRPr="00925DF4">
        <w:rPr>
          <w:rFonts w:cs="Arial"/>
          <w:b/>
          <w:bCs/>
        </w:rPr>
        <w:t xml:space="preserve">A24. </w:t>
      </w:r>
      <w:r>
        <w:rPr>
          <w:rFonts w:cs="Arial"/>
          <w:b/>
          <w:bCs/>
        </w:rPr>
        <w:t>Since the start of the pandemic (i.e. March 2020),</w:t>
      </w:r>
      <w:r w:rsidRPr="00925DF4">
        <w:rPr>
          <w:rFonts w:cs="Arial"/>
          <w:b/>
          <w:bCs/>
        </w:rPr>
        <w:t xml:space="preserve"> did your business</w:t>
      </w:r>
      <w:r w:rsidRPr="00925DF4" w:rsidDel="001E5A3E">
        <w:rPr>
          <w:rFonts w:cs="Arial"/>
          <w:b/>
          <w:bCs/>
        </w:rPr>
        <w:t xml:space="preserve"> </w:t>
      </w:r>
      <w:r w:rsidRPr="00925DF4">
        <w:rPr>
          <w:rFonts w:cs="Arial"/>
          <w:b/>
          <w:bCs/>
        </w:rPr>
        <w:t>use any of the following Government support for businesses and organisations?</w:t>
      </w:r>
    </w:p>
    <w:p w14:paraId="07C573B0" w14:textId="77777777" w:rsidR="006E0879" w:rsidRPr="00925DF4" w:rsidRDefault="006E0879" w:rsidP="006E0879">
      <w:pPr>
        <w:rPr>
          <w:rFonts w:cs="Arial"/>
          <w:color w:val="F06603" w:themeColor="accent6"/>
        </w:rPr>
      </w:pPr>
      <w:r w:rsidRPr="00925DF4">
        <w:rPr>
          <w:rFonts w:cs="Arial"/>
          <w:color w:val="FF0000"/>
        </w:rPr>
        <w:t xml:space="preserve">ROTATE ORDER 1 TO </w:t>
      </w:r>
      <w:r>
        <w:rPr>
          <w:rFonts w:cs="Arial"/>
          <w:color w:val="FF0000"/>
        </w:rPr>
        <w:t xml:space="preserve">8 </w:t>
      </w:r>
      <w:r w:rsidRPr="00925DF4">
        <w:rPr>
          <w:rFonts w:cs="Arial"/>
          <w:color w:val="FF0000"/>
        </w:rPr>
        <w:t>MULTICODE OK. FOR ONLINE, SHOW AS YES/NO QUESTION</w:t>
      </w:r>
      <w:r w:rsidRPr="00925DF4">
        <w:rPr>
          <w:rFonts w:cs="Arial"/>
          <w:color w:val="F06603" w:themeColor="accent6"/>
        </w:rPr>
        <w:t>.</w:t>
      </w:r>
    </w:p>
    <w:p w14:paraId="732B7960" w14:textId="0B32C923" w:rsidR="006E0879" w:rsidRDefault="006E0879" w:rsidP="006E0879">
      <w:pPr>
        <w:rPr>
          <w:rFonts w:cs="Arial"/>
          <w:color w:val="1D1D1B" w:themeColor="text1"/>
        </w:rPr>
      </w:pPr>
      <w:r w:rsidRPr="00925DF4">
        <w:rPr>
          <w:rFonts w:cs="Arial"/>
          <w:color w:val="F06603" w:themeColor="accent6"/>
        </w:rPr>
        <w:t xml:space="preserve">READ OUT 1 TO </w:t>
      </w:r>
      <w:r>
        <w:rPr>
          <w:rFonts w:cs="Arial"/>
          <w:color w:val="F06603" w:themeColor="accent6"/>
        </w:rPr>
        <w:t>8</w:t>
      </w:r>
      <w:r w:rsidRPr="00925DF4">
        <w:rPr>
          <w:rFonts w:cs="Arial"/>
          <w:color w:val="F06603" w:themeColor="accent6"/>
        </w:rPr>
        <w:t>.</w:t>
      </w:r>
    </w:p>
    <w:p w14:paraId="65DC3F46" w14:textId="77777777" w:rsidR="006E0879" w:rsidRPr="00450576" w:rsidRDefault="006E0879" w:rsidP="006E0879">
      <w:pPr>
        <w:rPr>
          <w:rFonts w:cs="Arial"/>
          <w:color w:val="FF0000"/>
        </w:rPr>
      </w:pPr>
      <w:r>
        <w:rPr>
          <w:rFonts w:cs="Arial"/>
          <w:color w:val="FF0000"/>
        </w:rPr>
        <w:t>IF WEB: Please select all that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5"/>
        <w:gridCol w:w="1059"/>
      </w:tblGrid>
      <w:tr w:rsidR="006E0879" w:rsidRPr="00925DF4" w14:paraId="3D1AE0E0"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4D7453BE" w14:textId="77777777" w:rsidR="006E0879" w:rsidRPr="00925DF4" w:rsidRDefault="006E0879" w:rsidP="00AB3D40">
            <w:pPr>
              <w:pStyle w:val="resptext"/>
              <w:tabs>
                <w:tab w:val="left" w:pos="720"/>
              </w:tabs>
              <w:spacing w:before="60"/>
              <w:ind w:left="0"/>
              <w:rPr>
                <w:bCs/>
                <w:color w:val="1D1D1B" w:themeColor="text1"/>
              </w:rPr>
            </w:pPr>
            <w:bookmarkStart w:id="87" w:name="_Hlk48551151"/>
            <w:r w:rsidRPr="00925DF4">
              <w:rPr>
                <w:bCs/>
                <w:color w:val="1D1D1B" w:themeColor="text1"/>
              </w:rPr>
              <w:t xml:space="preserve">Furloughing staff through the Coronavirus Job Retention Scheme </w:t>
            </w:r>
            <w:bookmarkEnd w:id="87"/>
            <w:r w:rsidRPr="00925DF4">
              <w:rPr>
                <w:bCs/>
                <w:color w:val="FF0000"/>
              </w:rPr>
              <w:t xml:space="preserve">[INTERVIEWER ADD IF REQUIRED / SHOW AS INFO BUTTON FOR ONLINE SURVEY: </w:t>
            </w:r>
            <w:r w:rsidRPr="00925DF4">
              <w:rPr>
                <w:bCs/>
                <w:color w:val="1D1D1B" w:themeColor="text1"/>
              </w:rPr>
              <w:t xml:space="preserve">Under this scheme, the Government </w:t>
            </w:r>
            <w:r>
              <w:rPr>
                <w:bCs/>
                <w:color w:val="1D1D1B" w:themeColor="text1"/>
              </w:rPr>
              <w:t>paid</w:t>
            </w:r>
            <w:r w:rsidRPr="00925DF4">
              <w:rPr>
                <w:bCs/>
                <w:color w:val="1D1D1B" w:themeColor="text1"/>
              </w:rPr>
              <w:t xml:space="preserve"> part of the wages of any workers temporarily asked to stop working and placed on leave due to the impact of </w:t>
            </w:r>
            <w:r w:rsidRPr="00925DF4">
              <w:t xml:space="preserve">Covid-19 </w:t>
            </w:r>
            <w:r w:rsidRPr="00925DF4">
              <w:rPr>
                <w:bCs/>
                <w:color w:val="1D1D1B" w:themeColor="text1"/>
              </w:rPr>
              <w:t xml:space="preserve">on their employer. Furloughed workers </w:t>
            </w:r>
            <w:r>
              <w:rPr>
                <w:bCs/>
                <w:color w:val="1D1D1B" w:themeColor="text1"/>
              </w:rPr>
              <w:t>were</w:t>
            </w:r>
            <w:r w:rsidRPr="00925DF4">
              <w:rPr>
                <w:bCs/>
                <w:color w:val="1D1D1B" w:themeColor="text1"/>
              </w:rPr>
              <w:t xml:space="preserve"> those whose employers </w:t>
            </w:r>
            <w:r>
              <w:rPr>
                <w:bCs/>
                <w:color w:val="1D1D1B" w:themeColor="text1"/>
              </w:rPr>
              <w:t>could not</w:t>
            </w:r>
            <w:r w:rsidRPr="00925DF4">
              <w:rPr>
                <w:bCs/>
                <w:color w:val="1D1D1B" w:themeColor="text1"/>
              </w:rPr>
              <w:t xml:space="preserve"> cover staff costs due to </w:t>
            </w:r>
            <w:r w:rsidRPr="00925DF4">
              <w:t>Covid-19</w:t>
            </w:r>
            <w:r w:rsidRPr="00925DF4">
              <w:rPr>
                <w:bCs/>
                <w:color w:val="1D1D1B" w:themeColor="text1"/>
              </w:rPr>
              <w:t xml:space="preserve">, and as such they </w:t>
            </w:r>
            <w:r>
              <w:rPr>
                <w:bCs/>
                <w:color w:val="1D1D1B" w:themeColor="text1"/>
              </w:rPr>
              <w:t>were</w:t>
            </w:r>
            <w:r w:rsidRPr="00925DF4">
              <w:rPr>
                <w:bCs/>
                <w:color w:val="1D1D1B" w:themeColor="text1"/>
              </w:rPr>
              <w:t xml:space="preserve"> asked to stop working, but </w:t>
            </w:r>
            <w:r>
              <w:rPr>
                <w:bCs/>
                <w:color w:val="1D1D1B" w:themeColor="text1"/>
              </w:rPr>
              <w:t>had</w:t>
            </w:r>
            <w:r w:rsidRPr="00925DF4">
              <w:rPr>
                <w:bCs/>
                <w:color w:val="1D1D1B" w:themeColor="text1"/>
              </w:rPr>
              <w:t xml:space="preserve"> not been made redundant]</w:t>
            </w:r>
          </w:p>
        </w:tc>
        <w:tc>
          <w:tcPr>
            <w:tcW w:w="522" w:type="pct"/>
            <w:tcBorders>
              <w:top w:val="single" w:sz="4" w:space="0" w:color="auto"/>
              <w:left w:val="single" w:sz="4" w:space="0" w:color="auto"/>
              <w:bottom w:val="single" w:sz="4" w:space="0" w:color="auto"/>
              <w:right w:val="single" w:sz="4" w:space="0" w:color="auto"/>
            </w:tcBorders>
            <w:hideMark/>
          </w:tcPr>
          <w:p w14:paraId="02BD8EC6"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1</w:t>
            </w:r>
          </w:p>
        </w:tc>
      </w:tr>
      <w:tr w:rsidR="006E0879" w:rsidRPr="00925DF4" w14:paraId="37E9E75F"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4B31CBE4" w14:textId="77777777" w:rsidR="006E0879" w:rsidRPr="00925DF4" w:rsidRDefault="006E0879" w:rsidP="00AB3D40">
            <w:pPr>
              <w:pStyle w:val="resptext"/>
              <w:tabs>
                <w:tab w:val="left" w:pos="720"/>
              </w:tabs>
              <w:spacing w:before="60"/>
              <w:ind w:left="0"/>
              <w:rPr>
                <w:b/>
                <w:color w:val="1D1D1B" w:themeColor="text1"/>
              </w:rPr>
            </w:pPr>
            <w:r w:rsidRPr="00925DF4">
              <w:rPr>
                <w:bCs/>
                <w:color w:val="1D1D1B" w:themeColor="text1"/>
              </w:rPr>
              <w:t xml:space="preserve">Deferral of VAT payments </w:t>
            </w:r>
          </w:p>
        </w:tc>
        <w:tc>
          <w:tcPr>
            <w:tcW w:w="522" w:type="pct"/>
            <w:tcBorders>
              <w:top w:val="single" w:sz="4" w:space="0" w:color="auto"/>
              <w:left w:val="single" w:sz="4" w:space="0" w:color="auto"/>
              <w:bottom w:val="single" w:sz="4" w:space="0" w:color="auto"/>
              <w:right w:val="single" w:sz="4" w:space="0" w:color="auto"/>
            </w:tcBorders>
            <w:hideMark/>
          </w:tcPr>
          <w:p w14:paraId="5067C47E" w14:textId="77777777" w:rsidR="006E0879" w:rsidRPr="00925DF4" w:rsidRDefault="006E0879" w:rsidP="00AB3D40">
            <w:pPr>
              <w:pStyle w:val="resptext"/>
              <w:tabs>
                <w:tab w:val="left" w:pos="720"/>
              </w:tabs>
              <w:spacing w:before="60"/>
              <w:ind w:left="0"/>
              <w:jc w:val="center"/>
              <w:rPr>
                <w:b/>
                <w:color w:val="1D1D1B" w:themeColor="text1"/>
              </w:rPr>
            </w:pPr>
            <w:r w:rsidRPr="00925DF4">
              <w:rPr>
                <w:bCs/>
                <w:color w:val="1D1D1B" w:themeColor="text1"/>
              </w:rPr>
              <w:t>2</w:t>
            </w:r>
          </w:p>
        </w:tc>
      </w:tr>
      <w:tr w:rsidR="006E0879" w:rsidRPr="00925DF4" w14:paraId="208E1B5D"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235DF9EF" w14:textId="77777777" w:rsidR="006E0879" w:rsidRPr="00925DF4" w:rsidRDefault="006E0879" w:rsidP="00AB3D40">
            <w:pPr>
              <w:pStyle w:val="resptext"/>
              <w:tabs>
                <w:tab w:val="left" w:pos="720"/>
              </w:tabs>
              <w:spacing w:before="60"/>
              <w:ind w:left="0"/>
              <w:rPr>
                <w:b/>
                <w:color w:val="1D1D1B" w:themeColor="text1"/>
              </w:rPr>
            </w:pPr>
            <w:r w:rsidRPr="00925DF4">
              <w:rPr>
                <w:bCs/>
                <w:color w:val="1D1D1B" w:themeColor="text1"/>
              </w:rPr>
              <w:t xml:space="preserve">Deferral of Self-Assessment payments </w:t>
            </w:r>
          </w:p>
        </w:tc>
        <w:tc>
          <w:tcPr>
            <w:tcW w:w="522" w:type="pct"/>
            <w:tcBorders>
              <w:top w:val="single" w:sz="4" w:space="0" w:color="auto"/>
              <w:left w:val="single" w:sz="4" w:space="0" w:color="auto"/>
              <w:bottom w:val="single" w:sz="4" w:space="0" w:color="auto"/>
              <w:right w:val="single" w:sz="4" w:space="0" w:color="auto"/>
            </w:tcBorders>
            <w:hideMark/>
          </w:tcPr>
          <w:p w14:paraId="674A182B" w14:textId="77777777" w:rsidR="006E0879" w:rsidRPr="00925DF4" w:rsidRDefault="006E0879" w:rsidP="00AB3D40">
            <w:pPr>
              <w:pStyle w:val="resptext"/>
              <w:tabs>
                <w:tab w:val="left" w:pos="720"/>
              </w:tabs>
              <w:spacing w:before="60"/>
              <w:ind w:left="0"/>
              <w:jc w:val="center"/>
              <w:rPr>
                <w:b/>
                <w:color w:val="1D1D1B" w:themeColor="text1"/>
              </w:rPr>
            </w:pPr>
            <w:r w:rsidRPr="00925DF4">
              <w:rPr>
                <w:bCs/>
                <w:color w:val="1D1D1B" w:themeColor="text1"/>
              </w:rPr>
              <w:t>3</w:t>
            </w:r>
          </w:p>
        </w:tc>
      </w:tr>
      <w:tr w:rsidR="006E0879" w:rsidRPr="00925DF4" w14:paraId="6A016D96"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06BC8E4A" w14:textId="77777777" w:rsidR="006E0879" w:rsidRPr="00925DF4" w:rsidRDefault="006E0879" w:rsidP="00AB3D40">
            <w:pPr>
              <w:pStyle w:val="resptext"/>
              <w:tabs>
                <w:tab w:val="left" w:pos="720"/>
              </w:tabs>
              <w:spacing w:before="60"/>
              <w:ind w:left="0"/>
              <w:rPr>
                <w:color w:val="1D1D1B" w:themeColor="text1"/>
              </w:rPr>
            </w:pPr>
            <w:r w:rsidRPr="00925DF4">
              <w:rPr>
                <w:bCs/>
                <w:color w:val="1D1D1B" w:themeColor="text1"/>
              </w:rPr>
              <w:t xml:space="preserve">HMRC Time to Pay </w:t>
            </w:r>
            <w:r w:rsidRPr="00925DF4">
              <w:rPr>
                <w:bCs/>
                <w:color w:val="FF0000"/>
              </w:rPr>
              <w:t>[INTERVIEWER ADD IF REQUIRED / SHOW AS INFO BUTTON FOR ONLINE SURVEY</w:t>
            </w:r>
            <w:r w:rsidRPr="00925DF4">
              <w:rPr>
                <w:bCs/>
                <w:color w:val="1D1D1B" w:themeColor="text1"/>
              </w:rPr>
              <w:t xml:space="preserve">: This allows payments for some taxes to be deferred] </w:t>
            </w:r>
          </w:p>
        </w:tc>
        <w:tc>
          <w:tcPr>
            <w:tcW w:w="522" w:type="pct"/>
            <w:tcBorders>
              <w:top w:val="single" w:sz="4" w:space="0" w:color="auto"/>
              <w:left w:val="single" w:sz="4" w:space="0" w:color="auto"/>
              <w:bottom w:val="single" w:sz="4" w:space="0" w:color="auto"/>
              <w:right w:val="single" w:sz="4" w:space="0" w:color="auto"/>
            </w:tcBorders>
            <w:hideMark/>
          </w:tcPr>
          <w:p w14:paraId="0AAB55A6" w14:textId="77777777" w:rsidR="006E0879" w:rsidRPr="00925DF4" w:rsidRDefault="006E0879" w:rsidP="00AB3D40">
            <w:pPr>
              <w:pStyle w:val="resptext"/>
              <w:tabs>
                <w:tab w:val="left" w:pos="720"/>
              </w:tabs>
              <w:spacing w:before="60"/>
              <w:ind w:left="0"/>
              <w:jc w:val="center"/>
              <w:rPr>
                <w:color w:val="1D1D1B" w:themeColor="text1"/>
              </w:rPr>
            </w:pPr>
            <w:r w:rsidRPr="00925DF4">
              <w:rPr>
                <w:color w:val="1D1D1B" w:themeColor="text1"/>
              </w:rPr>
              <w:t>4</w:t>
            </w:r>
          </w:p>
        </w:tc>
      </w:tr>
      <w:tr w:rsidR="006E0879" w:rsidRPr="00925DF4" w14:paraId="6FAAB00A"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53D5FABE" w14:textId="77777777" w:rsidR="006E0879" w:rsidRPr="00925DF4" w:rsidRDefault="006E0879" w:rsidP="00AB3D40">
            <w:pPr>
              <w:pStyle w:val="resptext"/>
              <w:tabs>
                <w:tab w:val="left" w:pos="720"/>
              </w:tabs>
              <w:spacing w:before="60"/>
              <w:ind w:left="0"/>
              <w:rPr>
                <w:color w:val="1D1D1B" w:themeColor="text1"/>
              </w:rPr>
            </w:pPr>
            <w:r w:rsidRPr="00925DF4">
              <w:rPr>
                <w:bCs/>
                <w:color w:val="1D1D1B" w:themeColor="text1"/>
              </w:rPr>
              <w:t xml:space="preserve">Self-employed Income Support Scheme </w:t>
            </w:r>
            <w:r w:rsidRPr="00925DF4">
              <w:rPr>
                <w:bCs/>
                <w:color w:val="FF0000"/>
              </w:rPr>
              <w:t>[INTERVIEWER ADD IF REQUIRED / SHOW AS INFO BUTTON FOR ONLINE SURVEY</w:t>
            </w:r>
            <w:r w:rsidRPr="00925DF4">
              <w:rPr>
                <w:bCs/>
                <w:color w:val="1D1D1B" w:themeColor="text1"/>
              </w:rPr>
              <w:t>:  This support</w:t>
            </w:r>
            <w:r>
              <w:rPr>
                <w:bCs/>
                <w:color w:val="1D1D1B" w:themeColor="text1"/>
              </w:rPr>
              <w:t>ed</w:t>
            </w:r>
            <w:r w:rsidRPr="00925DF4">
              <w:rPr>
                <w:bCs/>
                <w:color w:val="1D1D1B" w:themeColor="text1"/>
              </w:rPr>
              <w:t xml:space="preserve"> those who lose some or all of their income due to </w:t>
            </w:r>
            <w:r w:rsidRPr="00925DF4">
              <w:t>Covid-19</w:t>
            </w:r>
            <w:r w:rsidRPr="00925DF4">
              <w:rPr>
                <w:bCs/>
                <w:color w:val="1D1D1B" w:themeColor="text1"/>
              </w:rPr>
              <w:t>]</w:t>
            </w:r>
          </w:p>
        </w:tc>
        <w:tc>
          <w:tcPr>
            <w:tcW w:w="522" w:type="pct"/>
            <w:tcBorders>
              <w:top w:val="single" w:sz="4" w:space="0" w:color="auto"/>
              <w:left w:val="single" w:sz="4" w:space="0" w:color="auto"/>
              <w:bottom w:val="single" w:sz="4" w:space="0" w:color="auto"/>
              <w:right w:val="single" w:sz="4" w:space="0" w:color="auto"/>
            </w:tcBorders>
            <w:hideMark/>
          </w:tcPr>
          <w:p w14:paraId="53013067" w14:textId="77777777" w:rsidR="006E0879" w:rsidRPr="00925DF4" w:rsidRDefault="006E0879" w:rsidP="00AB3D40">
            <w:pPr>
              <w:pStyle w:val="resptext"/>
              <w:tabs>
                <w:tab w:val="left" w:pos="720"/>
              </w:tabs>
              <w:spacing w:before="60"/>
              <w:ind w:left="0"/>
              <w:jc w:val="center"/>
              <w:rPr>
                <w:color w:val="1D1D1B" w:themeColor="text1"/>
              </w:rPr>
            </w:pPr>
            <w:r w:rsidRPr="00925DF4">
              <w:rPr>
                <w:color w:val="1D1D1B" w:themeColor="text1"/>
              </w:rPr>
              <w:t>5</w:t>
            </w:r>
          </w:p>
        </w:tc>
      </w:tr>
      <w:tr w:rsidR="006E0879" w:rsidRPr="00925DF4" w14:paraId="18FCC0D3"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02305A8F" w14:textId="77777777" w:rsidR="006E0879" w:rsidRPr="00925DF4" w:rsidRDefault="006E0879" w:rsidP="00AB3D40">
            <w:pPr>
              <w:pStyle w:val="resptext"/>
              <w:tabs>
                <w:tab w:val="left" w:pos="720"/>
              </w:tabs>
              <w:spacing w:before="60"/>
              <w:ind w:left="0"/>
              <w:rPr>
                <w:color w:val="1D1D1B" w:themeColor="text1"/>
              </w:rPr>
            </w:pPr>
            <w:r w:rsidRPr="00925DF4">
              <w:rPr>
                <w:bCs/>
                <w:color w:val="1D1D1B" w:themeColor="text1"/>
              </w:rPr>
              <w:t>12-month business rates holiday for hospitality, leisure, retail businesses</w:t>
            </w:r>
          </w:p>
        </w:tc>
        <w:tc>
          <w:tcPr>
            <w:tcW w:w="522" w:type="pct"/>
            <w:tcBorders>
              <w:top w:val="single" w:sz="4" w:space="0" w:color="auto"/>
              <w:left w:val="single" w:sz="4" w:space="0" w:color="auto"/>
              <w:bottom w:val="single" w:sz="4" w:space="0" w:color="auto"/>
              <w:right w:val="single" w:sz="4" w:space="0" w:color="auto"/>
            </w:tcBorders>
            <w:hideMark/>
          </w:tcPr>
          <w:p w14:paraId="140EDB38" w14:textId="77777777" w:rsidR="006E0879" w:rsidRPr="00925DF4" w:rsidRDefault="006E0879" w:rsidP="00AB3D40">
            <w:pPr>
              <w:pStyle w:val="resptext"/>
              <w:tabs>
                <w:tab w:val="left" w:pos="720"/>
              </w:tabs>
              <w:spacing w:before="60"/>
              <w:ind w:left="0"/>
              <w:jc w:val="center"/>
              <w:rPr>
                <w:color w:val="1D1D1B" w:themeColor="text1"/>
              </w:rPr>
            </w:pPr>
            <w:r w:rsidRPr="00925DF4">
              <w:rPr>
                <w:color w:val="1D1D1B" w:themeColor="text1"/>
              </w:rPr>
              <w:t>6</w:t>
            </w:r>
          </w:p>
        </w:tc>
      </w:tr>
      <w:tr w:rsidR="006E0879" w:rsidRPr="00925DF4" w14:paraId="4368407F"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337E2217" w14:textId="77777777" w:rsidR="006E0879" w:rsidRPr="00925DF4" w:rsidRDefault="006E0879" w:rsidP="00AB3D40">
            <w:pPr>
              <w:pStyle w:val="resptext"/>
              <w:tabs>
                <w:tab w:val="left" w:pos="720"/>
              </w:tabs>
              <w:spacing w:before="60"/>
              <w:ind w:left="0"/>
              <w:rPr>
                <w:color w:val="1D1D1B" w:themeColor="text1"/>
              </w:rPr>
            </w:pPr>
            <w:r w:rsidRPr="00925DF4">
              <w:rPr>
                <w:lang w:eastAsia="en-GB"/>
              </w:rPr>
              <w:t>Cash grants related to the Covid-19 pandemic</w:t>
            </w:r>
          </w:p>
        </w:tc>
        <w:tc>
          <w:tcPr>
            <w:tcW w:w="522" w:type="pct"/>
            <w:tcBorders>
              <w:top w:val="single" w:sz="4" w:space="0" w:color="auto"/>
              <w:left w:val="single" w:sz="4" w:space="0" w:color="auto"/>
              <w:bottom w:val="single" w:sz="4" w:space="0" w:color="auto"/>
              <w:right w:val="single" w:sz="4" w:space="0" w:color="auto"/>
            </w:tcBorders>
            <w:hideMark/>
          </w:tcPr>
          <w:p w14:paraId="08EE921E" w14:textId="77777777" w:rsidR="006E0879" w:rsidRPr="00925DF4" w:rsidRDefault="006E0879" w:rsidP="00AB3D40">
            <w:pPr>
              <w:pStyle w:val="resptext"/>
              <w:tabs>
                <w:tab w:val="left" w:pos="720"/>
              </w:tabs>
              <w:spacing w:before="60"/>
              <w:ind w:left="0"/>
              <w:jc w:val="center"/>
              <w:rPr>
                <w:color w:val="1D1D1B" w:themeColor="text1"/>
              </w:rPr>
            </w:pPr>
            <w:r w:rsidRPr="00925DF4">
              <w:rPr>
                <w:color w:val="1D1D1B" w:themeColor="text1"/>
              </w:rPr>
              <w:t>7</w:t>
            </w:r>
          </w:p>
        </w:tc>
      </w:tr>
      <w:tr w:rsidR="006E0879" w:rsidRPr="00925DF4" w14:paraId="0EE6A4A1" w14:textId="77777777" w:rsidTr="00AB3D40">
        <w:tc>
          <w:tcPr>
            <w:tcW w:w="4478" w:type="pct"/>
            <w:tcBorders>
              <w:top w:val="single" w:sz="4" w:space="0" w:color="auto"/>
              <w:left w:val="single" w:sz="4" w:space="0" w:color="auto"/>
              <w:bottom w:val="single" w:sz="4" w:space="0" w:color="auto"/>
              <w:right w:val="single" w:sz="4" w:space="0" w:color="auto"/>
            </w:tcBorders>
          </w:tcPr>
          <w:p w14:paraId="117F1970" w14:textId="77777777" w:rsidR="006E0879" w:rsidRPr="00925DF4" w:rsidRDefault="006E0879" w:rsidP="00AB3D40">
            <w:pPr>
              <w:pStyle w:val="resptext"/>
              <w:tabs>
                <w:tab w:val="left" w:pos="720"/>
              </w:tabs>
              <w:spacing w:before="60"/>
              <w:ind w:left="0"/>
              <w:rPr>
                <w:bCs/>
                <w:color w:val="1D1D1B" w:themeColor="text1"/>
              </w:rPr>
            </w:pPr>
            <w:r w:rsidRPr="00925DF4">
              <w:rPr>
                <w:lang w:eastAsia="en-GB"/>
              </w:rPr>
              <w:t>Cash grants unrelated to the Covid-19 pandemic</w:t>
            </w:r>
          </w:p>
        </w:tc>
        <w:tc>
          <w:tcPr>
            <w:tcW w:w="522" w:type="pct"/>
            <w:tcBorders>
              <w:top w:val="single" w:sz="4" w:space="0" w:color="auto"/>
              <w:left w:val="single" w:sz="4" w:space="0" w:color="auto"/>
              <w:bottom w:val="single" w:sz="4" w:space="0" w:color="auto"/>
              <w:right w:val="single" w:sz="4" w:space="0" w:color="auto"/>
            </w:tcBorders>
          </w:tcPr>
          <w:p w14:paraId="53FF943C" w14:textId="77777777" w:rsidR="006E0879" w:rsidRPr="00925DF4" w:rsidRDefault="006E0879" w:rsidP="00AB3D40">
            <w:pPr>
              <w:pStyle w:val="resptext"/>
              <w:tabs>
                <w:tab w:val="left" w:pos="720"/>
              </w:tabs>
              <w:spacing w:before="60"/>
              <w:ind w:left="0"/>
              <w:jc w:val="center"/>
              <w:rPr>
                <w:color w:val="1D1D1B" w:themeColor="text1"/>
              </w:rPr>
            </w:pPr>
            <w:r w:rsidRPr="00925DF4">
              <w:rPr>
                <w:color w:val="1D1D1B" w:themeColor="text1"/>
              </w:rPr>
              <w:t>8</w:t>
            </w:r>
          </w:p>
        </w:tc>
      </w:tr>
      <w:tr w:rsidR="006E0879" w:rsidRPr="00925DF4" w14:paraId="4164361E"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41467E5E" w14:textId="77777777" w:rsidR="006E0879" w:rsidRPr="00925DF4" w:rsidRDefault="006E0879" w:rsidP="00AB3D40">
            <w:pPr>
              <w:pStyle w:val="resptext"/>
              <w:tabs>
                <w:tab w:val="left" w:pos="720"/>
              </w:tabs>
              <w:spacing w:before="60"/>
              <w:ind w:left="0"/>
              <w:rPr>
                <w:color w:val="1D1D1B" w:themeColor="text1"/>
              </w:rPr>
            </w:pPr>
            <w:r w:rsidRPr="00925DF4">
              <w:rPr>
                <w:bCs/>
                <w:color w:val="1D1D1B" w:themeColor="text1"/>
              </w:rPr>
              <w:t>None of these</w:t>
            </w:r>
          </w:p>
        </w:tc>
        <w:tc>
          <w:tcPr>
            <w:tcW w:w="522" w:type="pct"/>
            <w:tcBorders>
              <w:top w:val="single" w:sz="4" w:space="0" w:color="auto"/>
              <w:left w:val="single" w:sz="4" w:space="0" w:color="auto"/>
              <w:bottom w:val="single" w:sz="4" w:space="0" w:color="auto"/>
              <w:right w:val="single" w:sz="4" w:space="0" w:color="auto"/>
            </w:tcBorders>
            <w:hideMark/>
          </w:tcPr>
          <w:p w14:paraId="486AB9BC" w14:textId="77777777" w:rsidR="006E0879" w:rsidRPr="00925DF4" w:rsidRDefault="006E0879" w:rsidP="00AB3D40">
            <w:pPr>
              <w:pStyle w:val="resptext"/>
              <w:tabs>
                <w:tab w:val="left" w:pos="720"/>
              </w:tabs>
              <w:spacing w:before="60"/>
              <w:ind w:left="0"/>
              <w:jc w:val="center"/>
              <w:rPr>
                <w:color w:val="1D1D1B" w:themeColor="text1"/>
              </w:rPr>
            </w:pPr>
            <w:r w:rsidRPr="00925DF4">
              <w:rPr>
                <w:color w:val="1D1D1B" w:themeColor="text1"/>
              </w:rPr>
              <w:t>97</w:t>
            </w:r>
          </w:p>
        </w:tc>
      </w:tr>
      <w:tr w:rsidR="006E0879" w:rsidRPr="00925DF4" w14:paraId="7035BDB2"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3C7CE80D" w14:textId="77777777" w:rsidR="006E0879" w:rsidRPr="00925DF4" w:rsidRDefault="006E0879" w:rsidP="00AB3D40">
            <w:pPr>
              <w:pStyle w:val="resptext"/>
              <w:tabs>
                <w:tab w:val="left" w:pos="720"/>
              </w:tabs>
              <w:spacing w:before="60"/>
              <w:ind w:left="0"/>
              <w:rPr>
                <w:color w:val="1D1D1B" w:themeColor="text1"/>
              </w:rPr>
            </w:pPr>
            <w:r w:rsidRPr="00925DF4">
              <w:rPr>
                <w:bCs/>
                <w:color w:val="1D1D1B" w:themeColor="text1"/>
              </w:rPr>
              <w:t xml:space="preserve">Don’t know </w:t>
            </w:r>
          </w:p>
        </w:tc>
        <w:tc>
          <w:tcPr>
            <w:tcW w:w="522" w:type="pct"/>
            <w:tcBorders>
              <w:top w:val="single" w:sz="4" w:space="0" w:color="auto"/>
              <w:left w:val="single" w:sz="4" w:space="0" w:color="auto"/>
              <w:bottom w:val="single" w:sz="4" w:space="0" w:color="auto"/>
              <w:right w:val="single" w:sz="4" w:space="0" w:color="auto"/>
            </w:tcBorders>
            <w:hideMark/>
          </w:tcPr>
          <w:p w14:paraId="1EDF1BAF" w14:textId="77777777" w:rsidR="006E0879" w:rsidRPr="00925DF4" w:rsidRDefault="006E0879" w:rsidP="00AB3D40">
            <w:pPr>
              <w:pStyle w:val="resptext"/>
              <w:tabs>
                <w:tab w:val="left" w:pos="720"/>
              </w:tabs>
              <w:spacing w:before="60"/>
              <w:ind w:left="0"/>
              <w:jc w:val="center"/>
              <w:rPr>
                <w:color w:val="1D1D1B" w:themeColor="text1"/>
              </w:rPr>
            </w:pPr>
            <w:r w:rsidRPr="00925DF4">
              <w:rPr>
                <w:bCs/>
                <w:color w:val="1D1D1B" w:themeColor="text1"/>
              </w:rPr>
              <w:t>98</w:t>
            </w:r>
          </w:p>
        </w:tc>
      </w:tr>
      <w:tr w:rsidR="006E0879" w:rsidRPr="00925DF4" w14:paraId="6569F450" w14:textId="77777777" w:rsidTr="00AB3D40">
        <w:tc>
          <w:tcPr>
            <w:tcW w:w="4478" w:type="pct"/>
            <w:tcBorders>
              <w:top w:val="single" w:sz="4" w:space="0" w:color="auto"/>
              <w:left w:val="single" w:sz="4" w:space="0" w:color="auto"/>
              <w:bottom w:val="single" w:sz="4" w:space="0" w:color="auto"/>
              <w:right w:val="single" w:sz="4" w:space="0" w:color="auto"/>
            </w:tcBorders>
            <w:hideMark/>
          </w:tcPr>
          <w:p w14:paraId="58BB4D8C" w14:textId="77777777" w:rsidR="006E0879" w:rsidRPr="00925DF4" w:rsidRDefault="006E0879" w:rsidP="00AB3D40">
            <w:pPr>
              <w:pStyle w:val="resptext"/>
              <w:tabs>
                <w:tab w:val="left" w:pos="720"/>
              </w:tabs>
              <w:spacing w:before="60"/>
              <w:ind w:left="0"/>
              <w:rPr>
                <w:color w:val="1D1D1B" w:themeColor="text1"/>
              </w:rPr>
            </w:pPr>
            <w:r w:rsidRPr="00925DF4">
              <w:rPr>
                <w:bCs/>
                <w:color w:val="1D1D1B" w:themeColor="text1"/>
              </w:rPr>
              <w:t>Refused</w:t>
            </w:r>
          </w:p>
        </w:tc>
        <w:tc>
          <w:tcPr>
            <w:tcW w:w="522" w:type="pct"/>
            <w:tcBorders>
              <w:top w:val="single" w:sz="4" w:space="0" w:color="auto"/>
              <w:left w:val="single" w:sz="4" w:space="0" w:color="auto"/>
              <w:bottom w:val="single" w:sz="4" w:space="0" w:color="auto"/>
              <w:right w:val="single" w:sz="4" w:space="0" w:color="auto"/>
            </w:tcBorders>
            <w:hideMark/>
          </w:tcPr>
          <w:p w14:paraId="249AE5AD" w14:textId="77777777" w:rsidR="006E0879" w:rsidRPr="00925DF4" w:rsidRDefault="006E0879" w:rsidP="00AB3D40">
            <w:pPr>
              <w:pStyle w:val="resptext"/>
              <w:tabs>
                <w:tab w:val="left" w:pos="720"/>
              </w:tabs>
              <w:spacing w:before="60"/>
              <w:ind w:left="0"/>
              <w:jc w:val="center"/>
              <w:rPr>
                <w:color w:val="1D1D1B" w:themeColor="text1"/>
              </w:rPr>
            </w:pPr>
            <w:r w:rsidRPr="00925DF4">
              <w:rPr>
                <w:bCs/>
                <w:color w:val="1D1D1B" w:themeColor="text1"/>
              </w:rPr>
              <w:t>99</w:t>
            </w:r>
          </w:p>
        </w:tc>
      </w:tr>
    </w:tbl>
    <w:p w14:paraId="2CCE926E" w14:textId="77777777" w:rsidR="006E0879" w:rsidRPr="00925DF4" w:rsidRDefault="006E0879" w:rsidP="006E0879">
      <w:pPr>
        <w:rPr>
          <w:rFonts w:cs="Arial"/>
          <w:color w:val="1D1D1B" w:themeColor="text1"/>
        </w:rPr>
      </w:pPr>
    </w:p>
    <w:p w14:paraId="0BD458FC" w14:textId="77777777" w:rsidR="006E0879" w:rsidRPr="00925DF4" w:rsidRDefault="006E0879" w:rsidP="006E0879">
      <w:pPr>
        <w:ind w:left="993" w:hanging="993"/>
        <w:rPr>
          <w:rFonts w:cs="Arial"/>
          <w:color w:val="FF0000"/>
          <w:lang w:eastAsia="en-GB"/>
        </w:rPr>
      </w:pPr>
      <w:r w:rsidRPr="00925DF4">
        <w:rPr>
          <w:rFonts w:cs="Arial"/>
          <w:color w:val="FF0000"/>
          <w:lang w:eastAsia="en-GB"/>
        </w:rPr>
        <w:t>ASK ALL</w:t>
      </w:r>
    </w:p>
    <w:p w14:paraId="6C6678E9" w14:textId="77777777" w:rsidR="006E0879" w:rsidRPr="00925DF4" w:rsidRDefault="006E0879" w:rsidP="006E0879">
      <w:pPr>
        <w:rPr>
          <w:rFonts w:cs="Arial"/>
          <w:color w:val="FF0000"/>
          <w:lang w:eastAsia="en-GB"/>
        </w:rPr>
      </w:pPr>
      <w:r w:rsidRPr="00925DF4">
        <w:rPr>
          <w:rFonts w:cs="Arial"/>
          <w:b/>
          <w:bCs/>
          <w:lang w:eastAsia="en-GB"/>
        </w:rPr>
        <w:t xml:space="preserve">A25. </w:t>
      </w:r>
      <w:r w:rsidRPr="00925DF4">
        <w:rPr>
          <w:rFonts w:cs="Arial"/>
          <w:b/>
          <w:bCs/>
        </w:rPr>
        <w:t xml:space="preserve">Now thinking about the </w:t>
      </w:r>
      <w:r w:rsidRPr="00925DF4">
        <w:rPr>
          <w:rFonts w:cs="Arial"/>
          <w:b/>
          <w:bCs/>
          <w:color w:val="1D1D1B" w:themeColor="text1"/>
        </w:rPr>
        <w:t>business environment</w:t>
      </w:r>
      <w:r w:rsidRPr="00925DF4">
        <w:rPr>
          <w:rFonts w:cs="Arial"/>
          <w:b/>
          <w:bCs/>
        </w:rPr>
        <w:t xml:space="preserve"> more generally. </w:t>
      </w:r>
      <w:r w:rsidRPr="00925DF4">
        <w:rPr>
          <w:rFonts w:cs="Arial"/>
          <w:b/>
          <w:bCs/>
          <w:lang w:eastAsia="en-GB"/>
        </w:rPr>
        <w:t xml:space="preserve">To what extent do you think that each of the following presented an obstacle to the running of your business as usual </w:t>
      </w:r>
      <w:r>
        <w:rPr>
          <w:rFonts w:cs="Arial"/>
          <w:b/>
          <w:bCs/>
          <w:lang w:eastAsia="en-GB"/>
        </w:rPr>
        <w:t>during the pandemic between March 2020 and March 2021</w:t>
      </w:r>
      <w:r w:rsidRPr="00925DF4">
        <w:rPr>
          <w:rFonts w:cs="Arial"/>
          <w:b/>
          <w:bCs/>
          <w:lang w:eastAsia="en-GB"/>
        </w:rPr>
        <w:t xml:space="preserve">? </w:t>
      </w:r>
      <w:r w:rsidRPr="00925DF4">
        <w:rPr>
          <w:rFonts w:cs="Arial"/>
          <w:color w:val="FF0000"/>
          <w:lang w:eastAsia="en-GB"/>
        </w:rPr>
        <w:t>ROTATE ORDER</w:t>
      </w:r>
      <w:r>
        <w:rPr>
          <w:rFonts w:cs="Arial"/>
          <w:color w:val="FF0000"/>
          <w:lang w:eastAsia="en-GB"/>
        </w:rPr>
        <w:t xml:space="preserve"> OF A TO G</w:t>
      </w:r>
      <w:r w:rsidRPr="00925DF4">
        <w:rPr>
          <w:rFonts w:cs="Arial"/>
          <w:color w:val="FF0000"/>
          <w:lang w:eastAsia="en-GB"/>
        </w:rPr>
        <w:t xml:space="preserve">. </w:t>
      </w:r>
    </w:p>
    <w:p w14:paraId="323979C8" w14:textId="77777777" w:rsidR="006E0879" w:rsidRPr="00925DF4" w:rsidRDefault="006E0879" w:rsidP="006E0879">
      <w:pPr>
        <w:rPr>
          <w:rFonts w:cs="Arial"/>
          <w:lang w:eastAsia="en-GB"/>
        </w:rPr>
      </w:pPr>
      <w:r w:rsidRPr="00925DF4">
        <w:rPr>
          <w:rFonts w:cs="Arial"/>
          <w:color w:val="FF0000"/>
          <w:lang w:eastAsia="en-GB"/>
        </w:rPr>
        <w:t xml:space="preserve">ALLOW DON’T KNOW AND REFUSED. </w:t>
      </w:r>
      <w:r w:rsidRPr="00925DF4">
        <w:rPr>
          <w:rFonts w:cs="Arial"/>
          <w:color w:val="F06603" w:themeColor="accent6"/>
          <w:lang w:eastAsia="en-GB"/>
        </w:rPr>
        <w:t>READ OUT A TO G</w:t>
      </w:r>
      <w:r w:rsidRPr="00283223">
        <w:rPr>
          <w:rFonts w:cs="Arial"/>
          <w:color w:val="F06603" w:themeColor="accent6"/>
          <w:lang w:eastAsia="en-GB"/>
        </w:rPr>
        <w:t>. READ OUT SCALE.</w:t>
      </w:r>
    </w:p>
    <w:p w14:paraId="6201C04D" w14:textId="77777777" w:rsidR="006E0879" w:rsidRPr="00925DF4" w:rsidRDefault="006E0879" w:rsidP="006E0879">
      <w:pPr>
        <w:ind w:left="993"/>
        <w:rPr>
          <w:rFonts w:cs="Arial"/>
          <w:color w:val="1D1D1B" w:themeColor="text1"/>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5"/>
        <w:gridCol w:w="1187"/>
        <w:gridCol w:w="1187"/>
        <w:gridCol w:w="1187"/>
        <w:gridCol w:w="1185"/>
        <w:gridCol w:w="1183"/>
      </w:tblGrid>
      <w:tr w:rsidR="006E0879" w:rsidRPr="00925DF4" w14:paraId="67E89A72" w14:textId="77777777" w:rsidTr="00AB3D40">
        <w:tc>
          <w:tcPr>
            <w:tcW w:w="2078" w:type="pct"/>
            <w:tcBorders>
              <w:top w:val="single" w:sz="4" w:space="0" w:color="auto"/>
              <w:left w:val="single" w:sz="4" w:space="0" w:color="auto"/>
              <w:bottom w:val="single" w:sz="4" w:space="0" w:color="auto"/>
              <w:right w:val="single" w:sz="4" w:space="0" w:color="auto"/>
            </w:tcBorders>
          </w:tcPr>
          <w:p w14:paraId="783B3139" w14:textId="77777777" w:rsidR="006E0879" w:rsidRPr="00925DF4" w:rsidRDefault="006E0879" w:rsidP="00AB3D40">
            <w:pPr>
              <w:spacing w:before="60"/>
              <w:rPr>
                <w:rFonts w:cs="Arial"/>
                <w:color w:val="1D1D1B" w:themeColor="text1"/>
                <w:lang w:eastAsia="en-GB"/>
              </w:rPr>
            </w:pPr>
          </w:p>
        </w:tc>
        <w:tc>
          <w:tcPr>
            <w:tcW w:w="585" w:type="pct"/>
            <w:tcBorders>
              <w:top w:val="single" w:sz="4" w:space="0" w:color="auto"/>
              <w:left w:val="single" w:sz="4" w:space="0" w:color="auto"/>
              <w:bottom w:val="single" w:sz="4" w:space="0" w:color="auto"/>
              <w:right w:val="single" w:sz="4" w:space="0" w:color="auto"/>
            </w:tcBorders>
          </w:tcPr>
          <w:p w14:paraId="11DC3D17" w14:textId="77777777" w:rsidR="006E0879" w:rsidRPr="00925DF4" w:rsidRDefault="006E0879" w:rsidP="00AB3D40">
            <w:pPr>
              <w:spacing w:before="60"/>
              <w:jc w:val="center"/>
              <w:rPr>
                <w:rFonts w:cs="Arial"/>
                <w:lang w:eastAsia="en-GB"/>
              </w:rPr>
            </w:pPr>
            <w:r>
              <w:rPr>
                <w:rFonts w:cs="Arial"/>
                <w:lang w:eastAsia="en-GB"/>
              </w:rPr>
              <w:t>Major obstacle</w:t>
            </w:r>
          </w:p>
        </w:tc>
        <w:tc>
          <w:tcPr>
            <w:tcW w:w="585" w:type="pct"/>
            <w:tcBorders>
              <w:top w:val="single" w:sz="4" w:space="0" w:color="auto"/>
              <w:left w:val="single" w:sz="4" w:space="0" w:color="auto"/>
              <w:bottom w:val="single" w:sz="4" w:space="0" w:color="auto"/>
              <w:right w:val="single" w:sz="4" w:space="0" w:color="auto"/>
            </w:tcBorders>
          </w:tcPr>
          <w:p w14:paraId="492045B1" w14:textId="77777777" w:rsidR="006E0879" w:rsidRPr="00925DF4" w:rsidRDefault="006E0879" w:rsidP="00AB3D40">
            <w:pPr>
              <w:spacing w:before="60"/>
              <w:jc w:val="center"/>
              <w:rPr>
                <w:rFonts w:cs="Arial"/>
                <w:lang w:eastAsia="en-GB"/>
              </w:rPr>
            </w:pPr>
            <w:r>
              <w:rPr>
                <w:rFonts w:cs="Arial"/>
                <w:lang w:eastAsia="en-GB"/>
              </w:rPr>
              <w:t>Minor obstacle</w:t>
            </w:r>
          </w:p>
        </w:tc>
        <w:tc>
          <w:tcPr>
            <w:tcW w:w="585" w:type="pct"/>
            <w:tcBorders>
              <w:top w:val="single" w:sz="4" w:space="0" w:color="auto"/>
              <w:left w:val="single" w:sz="4" w:space="0" w:color="auto"/>
              <w:bottom w:val="single" w:sz="4" w:space="0" w:color="auto"/>
              <w:right w:val="single" w:sz="4" w:space="0" w:color="auto"/>
            </w:tcBorders>
          </w:tcPr>
          <w:p w14:paraId="761E62D3" w14:textId="77777777" w:rsidR="006E0879" w:rsidRPr="00925DF4" w:rsidRDefault="006E0879" w:rsidP="00AB3D40">
            <w:pPr>
              <w:spacing w:before="60"/>
              <w:jc w:val="center"/>
              <w:rPr>
                <w:rFonts w:cs="Arial"/>
                <w:lang w:eastAsia="en-GB"/>
              </w:rPr>
            </w:pPr>
            <w:r>
              <w:rPr>
                <w:rFonts w:cs="Arial"/>
                <w:lang w:eastAsia="en-GB"/>
              </w:rPr>
              <w:t>No obstacle at all</w:t>
            </w:r>
          </w:p>
        </w:tc>
        <w:tc>
          <w:tcPr>
            <w:tcW w:w="584" w:type="pct"/>
            <w:tcBorders>
              <w:top w:val="single" w:sz="4" w:space="0" w:color="auto"/>
              <w:left w:val="single" w:sz="4" w:space="0" w:color="auto"/>
              <w:bottom w:val="single" w:sz="4" w:space="0" w:color="auto"/>
              <w:right w:val="single" w:sz="4" w:space="0" w:color="auto"/>
            </w:tcBorders>
          </w:tcPr>
          <w:p w14:paraId="06C23C74" w14:textId="77777777" w:rsidR="006E0879" w:rsidRPr="00925DF4" w:rsidRDefault="006E0879" w:rsidP="00AB3D40">
            <w:pPr>
              <w:spacing w:before="60"/>
              <w:jc w:val="center"/>
              <w:rPr>
                <w:rFonts w:cs="Arial"/>
                <w:lang w:eastAsia="en-GB"/>
              </w:rPr>
            </w:pPr>
            <w:r>
              <w:rPr>
                <w:rFonts w:cs="Arial"/>
                <w:lang w:eastAsia="en-GB"/>
              </w:rPr>
              <w:t>Don’t know</w:t>
            </w:r>
          </w:p>
        </w:tc>
        <w:tc>
          <w:tcPr>
            <w:tcW w:w="583" w:type="pct"/>
            <w:tcBorders>
              <w:top w:val="single" w:sz="4" w:space="0" w:color="auto"/>
              <w:left w:val="single" w:sz="4" w:space="0" w:color="auto"/>
              <w:bottom w:val="single" w:sz="4" w:space="0" w:color="auto"/>
              <w:right w:val="single" w:sz="4" w:space="0" w:color="auto"/>
            </w:tcBorders>
          </w:tcPr>
          <w:p w14:paraId="6495F519" w14:textId="77777777" w:rsidR="006E0879" w:rsidRPr="00925DF4" w:rsidRDefault="006E0879" w:rsidP="00AB3D40">
            <w:pPr>
              <w:spacing w:before="60"/>
              <w:jc w:val="center"/>
              <w:rPr>
                <w:rFonts w:cs="Arial"/>
                <w:lang w:eastAsia="en-GB"/>
              </w:rPr>
            </w:pPr>
            <w:r>
              <w:rPr>
                <w:rFonts w:cs="Arial"/>
                <w:lang w:eastAsia="en-GB"/>
              </w:rPr>
              <w:t>Refused</w:t>
            </w:r>
          </w:p>
        </w:tc>
      </w:tr>
      <w:tr w:rsidR="006E0879" w:rsidRPr="00925DF4" w14:paraId="76F25C39" w14:textId="77777777" w:rsidTr="00AB3D40">
        <w:tc>
          <w:tcPr>
            <w:tcW w:w="2078" w:type="pct"/>
            <w:tcBorders>
              <w:top w:val="single" w:sz="4" w:space="0" w:color="auto"/>
              <w:left w:val="single" w:sz="4" w:space="0" w:color="auto"/>
              <w:bottom w:val="single" w:sz="4" w:space="0" w:color="auto"/>
              <w:right w:val="single" w:sz="4" w:space="0" w:color="auto"/>
            </w:tcBorders>
          </w:tcPr>
          <w:p w14:paraId="6179E380" w14:textId="77777777" w:rsidR="006E0879" w:rsidRPr="00925DF4" w:rsidRDefault="006E0879" w:rsidP="00AB3D40">
            <w:pPr>
              <w:spacing w:before="60"/>
              <w:rPr>
                <w:rFonts w:cs="Arial"/>
                <w:color w:val="FF0000"/>
                <w:lang w:eastAsia="en-GB"/>
              </w:rPr>
            </w:pPr>
            <w:r w:rsidRPr="00925DF4">
              <w:rPr>
                <w:rFonts w:cs="Arial"/>
                <w:color w:val="1D1D1B" w:themeColor="text1"/>
                <w:lang w:eastAsia="en-GB"/>
              </w:rPr>
              <w:t>A Changes in market demand</w:t>
            </w:r>
          </w:p>
        </w:tc>
        <w:tc>
          <w:tcPr>
            <w:tcW w:w="585" w:type="pct"/>
            <w:tcBorders>
              <w:top w:val="single" w:sz="4" w:space="0" w:color="auto"/>
              <w:left w:val="single" w:sz="4" w:space="0" w:color="auto"/>
              <w:bottom w:val="single" w:sz="4" w:space="0" w:color="auto"/>
              <w:right w:val="single" w:sz="4" w:space="0" w:color="auto"/>
            </w:tcBorders>
          </w:tcPr>
          <w:p w14:paraId="1C198868" w14:textId="77777777" w:rsidR="006E0879" w:rsidRPr="00925DF4" w:rsidRDefault="006E0879" w:rsidP="00AB3D40">
            <w:pPr>
              <w:spacing w:before="60"/>
              <w:jc w:val="center"/>
              <w:rPr>
                <w:rFonts w:cs="Arial"/>
                <w:lang w:eastAsia="en-GB"/>
              </w:rPr>
            </w:pPr>
            <w:r>
              <w:rPr>
                <w:rFonts w:cs="Arial"/>
                <w:lang w:eastAsia="en-GB"/>
              </w:rPr>
              <w:t>1</w:t>
            </w:r>
          </w:p>
        </w:tc>
        <w:tc>
          <w:tcPr>
            <w:tcW w:w="585" w:type="pct"/>
            <w:tcBorders>
              <w:top w:val="single" w:sz="4" w:space="0" w:color="auto"/>
              <w:left w:val="single" w:sz="4" w:space="0" w:color="auto"/>
              <w:bottom w:val="single" w:sz="4" w:space="0" w:color="auto"/>
              <w:right w:val="single" w:sz="4" w:space="0" w:color="auto"/>
            </w:tcBorders>
          </w:tcPr>
          <w:p w14:paraId="1A92CEA2" w14:textId="77777777" w:rsidR="006E0879" w:rsidRPr="00925DF4" w:rsidDel="00614ED3" w:rsidRDefault="006E0879" w:rsidP="00AB3D40">
            <w:pPr>
              <w:spacing w:before="60"/>
              <w:jc w:val="center"/>
              <w:rPr>
                <w:rFonts w:cs="Arial"/>
                <w:lang w:eastAsia="en-GB"/>
              </w:rPr>
            </w:pPr>
            <w:r>
              <w:rPr>
                <w:rFonts w:cs="Arial"/>
                <w:lang w:eastAsia="en-GB"/>
              </w:rPr>
              <w:t>2</w:t>
            </w:r>
          </w:p>
        </w:tc>
        <w:tc>
          <w:tcPr>
            <w:tcW w:w="585" w:type="pct"/>
            <w:tcBorders>
              <w:top w:val="single" w:sz="4" w:space="0" w:color="auto"/>
              <w:left w:val="single" w:sz="4" w:space="0" w:color="auto"/>
              <w:bottom w:val="single" w:sz="4" w:space="0" w:color="auto"/>
              <w:right w:val="single" w:sz="4" w:space="0" w:color="auto"/>
            </w:tcBorders>
          </w:tcPr>
          <w:p w14:paraId="0D0DCFF5" w14:textId="77777777" w:rsidR="006E0879" w:rsidRPr="00925DF4" w:rsidDel="00614ED3" w:rsidRDefault="006E0879" w:rsidP="00AB3D40">
            <w:pPr>
              <w:spacing w:before="60"/>
              <w:jc w:val="center"/>
              <w:rPr>
                <w:rFonts w:cs="Arial"/>
                <w:lang w:eastAsia="en-GB"/>
              </w:rPr>
            </w:pPr>
            <w:r>
              <w:rPr>
                <w:rFonts w:cs="Arial"/>
                <w:lang w:eastAsia="en-GB"/>
              </w:rPr>
              <w:t>3</w:t>
            </w:r>
          </w:p>
        </w:tc>
        <w:tc>
          <w:tcPr>
            <w:tcW w:w="584" w:type="pct"/>
            <w:tcBorders>
              <w:top w:val="single" w:sz="4" w:space="0" w:color="auto"/>
              <w:left w:val="single" w:sz="4" w:space="0" w:color="auto"/>
              <w:bottom w:val="single" w:sz="4" w:space="0" w:color="auto"/>
              <w:right w:val="single" w:sz="4" w:space="0" w:color="auto"/>
            </w:tcBorders>
          </w:tcPr>
          <w:p w14:paraId="65EF98D5" w14:textId="77777777" w:rsidR="006E0879" w:rsidRPr="00925DF4" w:rsidDel="00614ED3" w:rsidRDefault="006E0879" w:rsidP="00AB3D40">
            <w:pPr>
              <w:spacing w:before="60"/>
              <w:jc w:val="center"/>
              <w:rPr>
                <w:rFonts w:cs="Arial"/>
                <w:lang w:eastAsia="en-GB"/>
              </w:rPr>
            </w:pPr>
            <w:r>
              <w:rPr>
                <w:rFonts w:cs="Arial"/>
                <w:lang w:eastAsia="en-GB"/>
              </w:rPr>
              <w:t>4</w:t>
            </w:r>
          </w:p>
        </w:tc>
        <w:tc>
          <w:tcPr>
            <w:tcW w:w="583" w:type="pct"/>
            <w:tcBorders>
              <w:top w:val="single" w:sz="4" w:space="0" w:color="auto"/>
              <w:left w:val="single" w:sz="4" w:space="0" w:color="auto"/>
              <w:bottom w:val="single" w:sz="4" w:space="0" w:color="auto"/>
              <w:right w:val="single" w:sz="4" w:space="0" w:color="auto"/>
            </w:tcBorders>
          </w:tcPr>
          <w:p w14:paraId="33C71160" w14:textId="77777777" w:rsidR="006E0879" w:rsidRPr="00925DF4" w:rsidDel="00614ED3" w:rsidRDefault="006E0879" w:rsidP="00AB3D40">
            <w:pPr>
              <w:spacing w:before="60"/>
              <w:jc w:val="center"/>
              <w:rPr>
                <w:rFonts w:cs="Arial"/>
                <w:lang w:eastAsia="en-GB"/>
              </w:rPr>
            </w:pPr>
            <w:r>
              <w:rPr>
                <w:rFonts w:cs="Arial"/>
                <w:lang w:eastAsia="en-GB"/>
              </w:rPr>
              <w:t>5</w:t>
            </w:r>
          </w:p>
        </w:tc>
      </w:tr>
      <w:tr w:rsidR="006E0879" w:rsidRPr="00925DF4" w14:paraId="4CFFABF6" w14:textId="77777777" w:rsidTr="00AB3D40">
        <w:tc>
          <w:tcPr>
            <w:tcW w:w="2078" w:type="pct"/>
            <w:tcBorders>
              <w:top w:val="single" w:sz="4" w:space="0" w:color="auto"/>
              <w:left w:val="single" w:sz="4" w:space="0" w:color="auto"/>
              <w:bottom w:val="single" w:sz="4" w:space="0" w:color="auto"/>
              <w:right w:val="single" w:sz="4" w:space="0" w:color="auto"/>
            </w:tcBorders>
            <w:hideMark/>
          </w:tcPr>
          <w:p w14:paraId="4AC8FA6E" w14:textId="77777777" w:rsidR="006E0879" w:rsidRPr="00925DF4" w:rsidRDefault="006E0879" w:rsidP="00AB3D40">
            <w:pPr>
              <w:spacing w:before="60"/>
              <w:rPr>
                <w:rFonts w:cs="Arial"/>
                <w:strike/>
                <w:color w:val="1D1D1B" w:themeColor="text1"/>
                <w:lang w:eastAsia="en-GB"/>
              </w:rPr>
            </w:pPr>
            <w:r w:rsidRPr="00925DF4">
              <w:rPr>
                <w:rFonts w:cs="Arial"/>
                <w:color w:val="1D1D1B" w:themeColor="text1"/>
                <w:lang w:eastAsia="en-GB"/>
              </w:rPr>
              <w:t>B Supply chain disruptions</w:t>
            </w:r>
          </w:p>
        </w:tc>
        <w:tc>
          <w:tcPr>
            <w:tcW w:w="585" w:type="pct"/>
            <w:tcBorders>
              <w:top w:val="single" w:sz="4" w:space="0" w:color="auto"/>
              <w:left w:val="single" w:sz="4" w:space="0" w:color="auto"/>
              <w:bottom w:val="single" w:sz="4" w:space="0" w:color="auto"/>
              <w:right w:val="single" w:sz="4" w:space="0" w:color="auto"/>
            </w:tcBorders>
          </w:tcPr>
          <w:p w14:paraId="1B3C3464" w14:textId="77777777" w:rsidR="006E0879" w:rsidRPr="00925DF4" w:rsidRDefault="006E0879" w:rsidP="00AB3D40">
            <w:pPr>
              <w:spacing w:before="60"/>
              <w:jc w:val="center"/>
              <w:rPr>
                <w:rFonts w:cs="Arial"/>
                <w:lang w:eastAsia="en-GB"/>
              </w:rPr>
            </w:pPr>
            <w:r>
              <w:rPr>
                <w:rFonts w:cs="Arial"/>
                <w:lang w:eastAsia="en-GB"/>
              </w:rPr>
              <w:t>1</w:t>
            </w:r>
          </w:p>
        </w:tc>
        <w:tc>
          <w:tcPr>
            <w:tcW w:w="585" w:type="pct"/>
            <w:tcBorders>
              <w:top w:val="single" w:sz="4" w:space="0" w:color="auto"/>
              <w:left w:val="single" w:sz="4" w:space="0" w:color="auto"/>
              <w:bottom w:val="single" w:sz="4" w:space="0" w:color="auto"/>
              <w:right w:val="single" w:sz="4" w:space="0" w:color="auto"/>
            </w:tcBorders>
          </w:tcPr>
          <w:p w14:paraId="6FB29F6A" w14:textId="77777777" w:rsidR="006E0879" w:rsidRPr="00925DF4" w:rsidDel="00614ED3" w:rsidRDefault="006E0879" w:rsidP="00AB3D40">
            <w:pPr>
              <w:spacing w:before="60"/>
              <w:jc w:val="center"/>
              <w:rPr>
                <w:rFonts w:cs="Arial"/>
                <w:lang w:eastAsia="en-GB"/>
              </w:rPr>
            </w:pPr>
            <w:r>
              <w:rPr>
                <w:rFonts w:cs="Arial"/>
                <w:lang w:eastAsia="en-GB"/>
              </w:rPr>
              <w:t>2</w:t>
            </w:r>
          </w:p>
        </w:tc>
        <w:tc>
          <w:tcPr>
            <w:tcW w:w="585" w:type="pct"/>
            <w:tcBorders>
              <w:top w:val="single" w:sz="4" w:space="0" w:color="auto"/>
              <w:left w:val="single" w:sz="4" w:space="0" w:color="auto"/>
              <w:bottom w:val="single" w:sz="4" w:space="0" w:color="auto"/>
              <w:right w:val="single" w:sz="4" w:space="0" w:color="auto"/>
            </w:tcBorders>
          </w:tcPr>
          <w:p w14:paraId="329AA377" w14:textId="77777777" w:rsidR="006E0879" w:rsidRPr="00925DF4" w:rsidDel="00614ED3" w:rsidRDefault="006E0879" w:rsidP="00AB3D40">
            <w:pPr>
              <w:spacing w:before="60"/>
              <w:jc w:val="center"/>
              <w:rPr>
                <w:rFonts w:cs="Arial"/>
                <w:lang w:eastAsia="en-GB"/>
              </w:rPr>
            </w:pPr>
            <w:r>
              <w:rPr>
                <w:rFonts w:cs="Arial"/>
                <w:lang w:eastAsia="en-GB"/>
              </w:rPr>
              <w:t>3</w:t>
            </w:r>
          </w:p>
        </w:tc>
        <w:tc>
          <w:tcPr>
            <w:tcW w:w="584" w:type="pct"/>
            <w:tcBorders>
              <w:top w:val="single" w:sz="4" w:space="0" w:color="auto"/>
              <w:left w:val="single" w:sz="4" w:space="0" w:color="auto"/>
              <w:bottom w:val="single" w:sz="4" w:space="0" w:color="auto"/>
              <w:right w:val="single" w:sz="4" w:space="0" w:color="auto"/>
            </w:tcBorders>
          </w:tcPr>
          <w:p w14:paraId="717DCCBE" w14:textId="77777777" w:rsidR="006E0879" w:rsidRPr="00925DF4" w:rsidDel="00614ED3" w:rsidRDefault="006E0879" w:rsidP="00AB3D40">
            <w:pPr>
              <w:spacing w:before="60"/>
              <w:jc w:val="center"/>
              <w:rPr>
                <w:rFonts w:cs="Arial"/>
                <w:lang w:eastAsia="en-GB"/>
              </w:rPr>
            </w:pPr>
            <w:r>
              <w:rPr>
                <w:rFonts w:cs="Arial"/>
                <w:lang w:eastAsia="en-GB"/>
              </w:rPr>
              <w:t>4</w:t>
            </w:r>
          </w:p>
        </w:tc>
        <w:tc>
          <w:tcPr>
            <w:tcW w:w="583" w:type="pct"/>
            <w:tcBorders>
              <w:top w:val="single" w:sz="4" w:space="0" w:color="auto"/>
              <w:left w:val="single" w:sz="4" w:space="0" w:color="auto"/>
              <w:bottom w:val="single" w:sz="4" w:space="0" w:color="auto"/>
              <w:right w:val="single" w:sz="4" w:space="0" w:color="auto"/>
            </w:tcBorders>
          </w:tcPr>
          <w:p w14:paraId="02247DED" w14:textId="77777777" w:rsidR="006E0879" w:rsidRPr="00925DF4" w:rsidDel="00614ED3" w:rsidRDefault="006E0879" w:rsidP="00AB3D40">
            <w:pPr>
              <w:spacing w:before="60"/>
              <w:jc w:val="center"/>
              <w:rPr>
                <w:rFonts w:cs="Arial"/>
                <w:lang w:eastAsia="en-GB"/>
              </w:rPr>
            </w:pPr>
            <w:r>
              <w:rPr>
                <w:rFonts w:cs="Arial"/>
                <w:lang w:eastAsia="en-GB"/>
              </w:rPr>
              <w:t>5</w:t>
            </w:r>
          </w:p>
        </w:tc>
      </w:tr>
      <w:tr w:rsidR="006E0879" w:rsidRPr="00925DF4" w14:paraId="45E69F0E" w14:textId="77777777" w:rsidTr="00AB3D40">
        <w:tc>
          <w:tcPr>
            <w:tcW w:w="2078" w:type="pct"/>
            <w:tcBorders>
              <w:top w:val="single" w:sz="4" w:space="0" w:color="auto"/>
              <w:left w:val="single" w:sz="4" w:space="0" w:color="auto"/>
              <w:bottom w:val="single" w:sz="4" w:space="0" w:color="auto"/>
              <w:right w:val="single" w:sz="4" w:space="0" w:color="auto"/>
            </w:tcBorders>
          </w:tcPr>
          <w:p w14:paraId="0774E56C" w14:textId="77777777" w:rsidR="006E0879" w:rsidRPr="00925DF4" w:rsidRDefault="006E0879" w:rsidP="00AB3D40">
            <w:pPr>
              <w:spacing w:before="60"/>
              <w:rPr>
                <w:rFonts w:cs="Arial"/>
                <w:color w:val="FF0000"/>
                <w:lang w:eastAsia="en-GB"/>
              </w:rPr>
            </w:pPr>
            <w:r w:rsidRPr="00925DF4">
              <w:rPr>
                <w:rFonts w:cs="Arial"/>
                <w:color w:val="1D1D1B" w:themeColor="text1"/>
                <w:lang w:eastAsia="en-GB"/>
              </w:rPr>
              <w:t>C Issues with late payment</w:t>
            </w:r>
          </w:p>
        </w:tc>
        <w:tc>
          <w:tcPr>
            <w:tcW w:w="585" w:type="pct"/>
            <w:tcBorders>
              <w:top w:val="single" w:sz="4" w:space="0" w:color="auto"/>
              <w:left w:val="single" w:sz="4" w:space="0" w:color="auto"/>
              <w:bottom w:val="single" w:sz="4" w:space="0" w:color="auto"/>
              <w:right w:val="single" w:sz="4" w:space="0" w:color="auto"/>
            </w:tcBorders>
          </w:tcPr>
          <w:p w14:paraId="2A921DAD" w14:textId="77777777" w:rsidR="006E0879" w:rsidRPr="00925DF4" w:rsidRDefault="006E0879" w:rsidP="00AB3D40">
            <w:pPr>
              <w:spacing w:before="60"/>
              <w:jc w:val="center"/>
              <w:rPr>
                <w:rFonts w:cs="Arial"/>
                <w:lang w:eastAsia="en-GB"/>
              </w:rPr>
            </w:pPr>
            <w:r>
              <w:rPr>
                <w:rFonts w:cs="Arial"/>
                <w:lang w:eastAsia="en-GB"/>
              </w:rPr>
              <w:t>1</w:t>
            </w:r>
          </w:p>
        </w:tc>
        <w:tc>
          <w:tcPr>
            <w:tcW w:w="585" w:type="pct"/>
            <w:tcBorders>
              <w:top w:val="single" w:sz="4" w:space="0" w:color="auto"/>
              <w:left w:val="single" w:sz="4" w:space="0" w:color="auto"/>
              <w:bottom w:val="single" w:sz="4" w:space="0" w:color="auto"/>
              <w:right w:val="single" w:sz="4" w:space="0" w:color="auto"/>
            </w:tcBorders>
          </w:tcPr>
          <w:p w14:paraId="42894D97" w14:textId="77777777" w:rsidR="006E0879" w:rsidRPr="00925DF4" w:rsidDel="00614ED3" w:rsidRDefault="006E0879" w:rsidP="00AB3D40">
            <w:pPr>
              <w:spacing w:before="60"/>
              <w:jc w:val="center"/>
              <w:rPr>
                <w:rFonts w:cs="Arial"/>
                <w:lang w:eastAsia="en-GB"/>
              </w:rPr>
            </w:pPr>
            <w:r>
              <w:rPr>
                <w:rFonts w:cs="Arial"/>
                <w:lang w:eastAsia="en-GB"/>
              </w:rPr>
              <w:t>2</w:t>
            </w:r>
          </w:p>
        </w:tc>
        <w:tc>
          <w:tcPr>
            <w:tcW w:w="585" w:type="pct"/>
            <w:tcBorders>
              <w:top w:val="single" w:sz="4" w:space="0" w:color="auto"/>
              <w:left w:val="single" w:sz="4" w:space="0" w:color="auto"/>
              <w:bottom w:val="single" w:sz="4" w:space="0" w:color="auto"/>
              <w:right w:val="single" w:sz="4" w:space="0" w:color="auto"/>
            </w:tcBorders>
          </w:tcPr>
          <w:p w14:paraId="2872683B" w14:textId="77777777" w:rsidR="006E0879" w:rsidRPr="00925DF4" w:rsidDel="00614ED3" w:rsidRDefault="006E0879" w:rsidP="00AB3D40">
            <w:pPr>
              <w:spacing w:before="60"/>
              <w:jc w:val="center"/>
              <w:rPr>
                <w:rFonts w:cs="Arial"/>
                <w:lang w:eastAsia="en-GB"/>
              </w:rPr>
            </w:pPr>
            <w:r>
              <w:rPr>
                <w:rFonts w:cs="Arial"/>
                <w:lang w:eastAsia="en-GB"/>
              </w:rPr>
              <w:t>3</w:t>
            </w:r>
          </w:p>
        </w:tc>
        <w:tc>
          <w:tcPr>
            <w:tcW w:w="584" w:type="pct"/>
            <w:tcBorders>
              <w:top w:val="single" w:sz="4" w:space="0" w:color="auto"/>
              <w:left w:val="single" w:sz="4" w:space="0" w:color="auto"/>
              <w:bottom w:val="single" w:sz="4" w:space="0" w:color="auto"/>
              <w:right w:val="single" w:sz="4" w:space="0" w:color="auto"/>
            </w:tcBorders>
          </w:tcPr>
          <w:p w14:paraId="4815791F" w14:textId="77777777" w:rsidR="006E0879" w:rsidRPr="00925DF4" w:rsidDel="00614ED3" w:rsidRDefault="006E0879" w:rsidP="00AB3D40">
            <w:pPr>
              <w:spacing w:before="60"/>
              <w:jc w:val="center"/>
              <w:rPr>
                <w:rFonts w:cs="Arial"/>
                <w:lang w:eastAsia="en-GB"/>
              </w:rPr>
            </w:pPr>
            <w:r>
              <w:rPr>
                <w:rFonts w:cs="Arial"/>
                <w:lang w:eastAsia="en-GB"/>
              </w:rPr>
              <w:t>4</w:t>
            </w:r>
          </w:p>
        </w:tc>
        <w:tc>
          <w:tcPr>
            <w:tcW w:w="583" w:type="pct"/>
            <w:tcBorders>
              <w:top w:val="single" w:sz="4" w:space="0" w:color="auto"/>
              <w:left w:val="single" w:sz="4" w:space="0" w:color="auto"/>
              <w:bottom w:val="single" w:sz="4" w:space="0" w:color="auto"/>
              <w:right w:val="single" w:sz="4" w:space="0" w:color="auto"/>
            </w:tcBorders>
          </w:tcPr>
          <w:p w14:paraId="7AD4845B" w14:textId="77777777" w:rsidR="006E0879" w:rsidRPr="00925DF4" w:rsidDel="00614ED3" w:rsidRDefault="006E0879" w:rsidP="00AB3D40">
            <w:pPr>
              <w:spacing w:before="60"/>
              <w:jc w:val="center"/>
              <w:rPr>
                <w:rFonts w:cs="Arial"/>
                <w:lang w:eastAsia="en-GB"/>
              </w:rPr>
            </w:pPr>
            <w:r>
              <w:rPr>
                <w:rFonts w:cs="Arial"/>
                <w:lang w:eastAsia="en-GB"/>
              </w:rPr>
              <w:t>5</w:t>
            </w:r>
          </w:p>
        </w:tc>
      </w:tr>
      <w:tr w:rsidR="006E0879" w:rsidRPr="00925DF4" w14:paraId="0610DD07" w14:textId="77777777" w:rsidTr="00AB3D40">
        <w:tc>
          <w:tcPr>
            <w:tcW w:w="2078" w:type="pct"/>
            <w:tcBorders>
              <w:top w:val="single" w:sz="4" w:space="0" w:color="auto"/>
              <w:left w:val="single" w:sz="4" w:space="0" w:color="auto"/>
              <w:bottom w:val="single" w:sz="4" w:space="0" w:color="auto"/>
              <w:right w:val="single" w:sz="4" w:space="0" w:color="auto"/>
            </w:tcBorders>
            <w:hideMark/>
          </w:tcPr>
          <w:p w14:paraId="3B70A9A3" w14:textId="77777777" w:rsidR="006E0879" w:rsidRPr="00925DF4" w:rsidRDefault="006E0879" w:rsidP="00AB3D40">
            <w:pPr>
              <w:spacing w:before="60"/>
              <w:rPr>
                <w:rFonts w:cs="Arial"/>
                <w:color w:val="1D1D1B" w:themeColor="text1"/>
                <w:lang w:eastAsia="en-GB"/>
              </w:rPr>
            </w:pPr>
            <w:r w:rsidRPr="00925DF4">
              <w:rPr>
                <w:rFonts w:cs="Arial"/>
                <w:color w:val="1D1D1B" w:themeColor="text1"/>
                <w:lang w:eastAsia="en-GB"/>
              </w:rPr>
              <w:t>D Access to external finance</w:t>
            </w:r>
          </w:p>
        </w:tc>
        <w:tc>
          <w:tcPr>
            <w:tcW w:w="585" w:type="pct"/>
            <w:tcBorders>
              <w:top w:val="single" w:sz="4" w:space="0" w:color="auto"/>
              <w:left w:val="single" w:sz="4" w:space="0" w:color="auto"/>
              <w:bottom w:val="single" w:sz="4" w:space="0" w:color="auto"/>
              <w:right w:val="single" w:sz="4" w:space="0" w:color="auto"/>
            </w:tcBorders>
          </w:tcPr>
          <w:p w14:paraId="6C28ABFA" w14:textId="77777777" w:rsidR="006E0879" w:rsidRPr="00925DF4" w:rsidRDefault="006E0879" w:rsidP="00AB3D40">
            <w:pPr>
              <w:spacing w:before="60"/>
              <w:jc w:val="center"/>
              <w:rPr>
                <w:rFonts w:cs="Arial"/>
                <w:lang w:eastAsia="en-GB"/>
              </w:rPr>
            </w:pPr>
            <w:r>
              <w:rPr>
                <w:rFonts w:cs="Arial"/>
                <w:lang w:eastAsia="en-GB"/>
              </w:rPr>
              <w:t>1</w:t>
            </w:r>
          </w:p>
        </w:tc>
        <w:tc>
          <w:tcPr>
            <w:tcW w:w="585" w:type="pct"/>
            <w:tcBorders>
              <w:top w:val="single" w:sz="4" w:space="0" w:color="auto"/>
              <w:left w:val="single" w:sz="4" w:space="0" w:color="auto"/>
              <w:bottom w:val="single" w:sz="4" w:space="0" w:color="auto"/>
              <w:right w:val="single" w:sz="4" w:space="0" w:color="auto"/>
            </w:tcBorders>
          </w:tcPr>
          <w:p w14:paraId="6F5A86E2" w14:textId="77777777" w:rsidR="006E0879" w:rsidRPr="00925DF4" w:rsidDel="00614ED3" w:rsidRDefault="006E0879" w:rsidP="00AB3D40">
            <w:pPr>
              <w:spacing w:before="60"/>
              <w:jc w:val="center"/>
              <w:rPr>
                <w:rFonts w:cs="Arial"/>
                <w:lang w:eastAsia="en-GB"/>
              </w:rPr>
            </w:pPr>
            <w:r>
              <w:rPr>
                <w:rFonts w:cs="Arial"/>
                <w:lang w:eastAsia="en-GB"/>
              </w:rPr>
              <w:t>2</w:t>
            </w:r>
          </w:p>
        </w:tc>
        <w:tc>
          <w:tcPr>
            <w:tcW w:w="585" w:type="pct"/>
            <w:tcBorders>
              <w:top w:val="single" w:sz="4" w:space="0" w:color="auto"/>
              <w:left w:val="single" w:sz="4" w:space="0" w:color="auto"/>
              <w:bottom w:val="single" w:sz="4" w:space="0" w:color="auto"/>
              <w:right w:val="single" w:sz="4" w:space="0" w:color="auto"/>
            </w:tcBorders>
          </w:tcPr>
          <w:p w14:paraId="7EF5900C" w14:textId="77777777" w:rsidR="006E0879" w:rsidRPr="00925DF4" w:rsidDel="00614ED3" w:rsidRDefault="006E0879" w:rsidP="00AB3D40">
            <w:pPr>
              <w:spacing w:before="60"/>
              <w:jc w:val="center"/>
              <w:rPr>
                <w:rFonts w:cs="Arial"/>
                <w:lang w:eastAsia="en-GB"/>
              </w:rPr>
            </w:pPr>
            <w:r>
              <w:rPr>
                <w:rFonts w:cs="Arial"/>
                <w:lang w:eastAsia="en-GB"/>
              </w:rPr>
              <w:t>3</w:t>
            </w:r>
          </w:p>
        </w:tc>
        <w:tc>
          <w:tcPr>
            <w:tcW w:w="584" w:type="pct"/>
            <w:tcBorders>
              <w:top w:val="single" w:sz="4" w:space="0" w:color="auto"/>
              <w:left w:val="single" w:sz="4" w:space="0" w:color="auto"/>
              <w:bottom w:val="single" w:sz="4" w:space="0" w:color="auto"/>
              <w:right w:val="single" w:sz="4" w:space="0" w:color="auto"/>
            </w:tcBorders>
          </w:tcPr>
          <w:p w14:paraId="2DA4179E" w14:textId="77777777" w:rsidR="006E0879" w:rsidRPr="00925DF4" w:rsidDel="00614ED3" w:rsidRDefault="006E0879" w:rsidP="00AB3D40">
            <w:pPr>
              <w:spacing w:before="60"/>
              <w:jc w:val="center"/>
              <w:rPr>
                <w:rFonts w:cs="Arial"/>
                <w:lang w:eastAsia="en-GB"/>
              </w:rPr>
            </w:pPr>
            <w:r>
              <w:rPr>
                <w:rFonts w:cs="Arial"/>
                <w:lang w:eastAsia="en-GB"/>
              </w:rPr>
              <w:t>4</w:t>
            </w:r>
          </w:p>
        </w:tc>
        <w:tc>
          <w:tcPr>
            <w:tcW w:w="583" w:type="pct"/>
            <w:tcBorders>
              <w:top w:val="single" w:sz="4" w:space="0" w:color="auto"/>
              <w:left w:val="single" w:sz="4" w:space="0" w:color="auto"/>
              <w:bottom w:val="single" w:sz="4" w:space="0" w:color="auto"/>
              <w:right w:val="single" w:sz="4" w:space="0" w:color="auto"/>
            </w:tcBorders>
          </w:tcPr>
          <w:p w14:paraId="0B2ADA99" w14:textId="77777777" w:rsidR="006E0879" w:rsidRPr="00925DF4" w:rsidDel="00614ED3" w:rsidRDefault="006E0879" w:rsidP="00AB3D40">
            <w:pPr>
              <w:spacing w:before="60"/>
              <w:jc w:val="center"/>
              <w:rPr>
                <w:rFonts w:cs="Arial"/>
                <w:lang w:eastAsia="en-GB"/>
              </w:rPr>
            </w:pPr>
            <w:r>
              <w:rPr>
                <w:rFonts w:cs="Arial"/>
                <w:lang w:eastAsia="en-GB"/>
              </w:rPr>
              <w:t>5</w:t>
            </w:r>
          </w:p>
        </w:tc>
      </w:tr>
      <w:tr w:rsidR="006E0879" w:rsidRPr="00925DF4" w14:paraId="7817F568" w14:textId="77777777" w:rsidTr="00AB3D40">
        <w:tc>
          <w:tcPr>
            <w:tcW w:w="2078" w:type="pct"/>
            <w:tcBorders>
              <w:top w:val="single" w:sz="4" w:space="0" w:color="auto"/>
              <w:left w:val="single" w:sz="4" w:space="0" w:color="auto"/>
              <w:bottom w:val="single" w:sz="4" w:space="0" w:color="auto"/>
              <w:right w:val="single" w:sz="4" w:space="0" w:color="auto"/>
            </w:tcBorders>
          </w:tcPr>
          <w:p w14:paraId="4FFC06EC" w14:textId="77777777" w:rsidR="006E0879" w:rsidRPr="00925DF4" w:rsidRDefault="006E0879" w:rsidP="00AB3D40">
            <w:pPr>
              <w:spacing w:before="60"/>
              <w:rPr>
                <w:rFonts w:cs="Arial"/>
                <w:color w:val="1D1D1B" w:themeColor="text1"/>
                <w:lang w:eastAsia="en-GB"/>
              </w:rPr>
            </w:pPr>
            <w:r w:rsidRPr="00925DF4">
              <w:rPr>
                <w:rFonts w:cs="Arial"/>
                <w:color w:val="1D1D1B" w:themeColor="text1"/>
                <w:lang w:eastAsia="en-GB"/>
              </w:rPr>
              <w:t>E Availability of staff</w:t>
            </w:r>
          </w:p>
        </w:tc>
        <w:tc>
          <w:tcPr>
            <w:tcW w:w="585" w:type="pct"/>
            <w:tcBorders>
              <w:top w:val="single" w:sz="4" w:space="0" w:color="auto"/>
              <w:left w:val="single" w:sz="4" w:space="0" w:color="auto"/>
              <w:bottom w:val="single" w:sz="4" w:space="0" w:color="auto"/>
              <w:right w:val="single" w:sz="4" w:space="0" w:color="auto"/>
            </w:tcBorders>
          </w:tcPr>
          <w:p w14:paraId="12A25A1D" w14:textId="77777777" w:rsidR="006E0879" w:rsidRPr="00925DF4" w:rsidRDefault="006E0879" w:rsidP="00AB3D40">
            <w:pPr>
              <w:spacing w:before="60"/>
              <w:jc w:val="center"/>
              <w:rPr>
                <w:rFonts w:cs="Arial"/>
                <w:color w:val="1D1D1B" w:themeColor="text1"/>
                <w:lang w:eastAsia="en-GB"/>
              </w:rPr>
            </w:pPr>
            <w:r>
              <w:rPr>
                <w:rFonts w:cs="Arial"/>
                <w:lang w:eastAsia="en-GB"/>
              </w:rPr>
              <w:t>1</w:t>
            </w:r>
          </w:p>
        </w:tc>
        <w:tc>
          <w:tcPr>
            <w:tcW w:w="585" w:type="pct"/>
            <w:tcBorders>
              <w:top w:val="single" w:sz="4" w:space="0" w:color="auto"/>
              <w:left w:val="single" w:sz="4" w:space="0" w:color="auto"/>
              <w:bottom w:val="single" w:sz="4" w:space="0" w:color="auto"/>
              <w:right w:val="single" w:sz="4" w:space="0" w:color="auto"/>
            </w:tcBorders>
          </w:tcPr>
          <w:p w14:paraId="7967BDDC" w14:textId="77777777" w:rsidR="006E0879" w:rsidRPr="00925DF4" w:rsidDel="00614ED3" w:rsidRDefault="006E0879" w:rsidP="00AB3D40">
            <w:pPr>
              <w:spacing w:before="60"/>
              <w:jc w:val="center"/>
              <w:rPr>
                <w:rFonts w:cs="Arial"/>
                <w:color w:val="1D1D1B" w:themeColor="text1"/>
                <w:lang w:eastAsia="en-GB"/>
              </w:rPr>
            </w:pPr>
            <w:r>
              <w:rPr>
                <w:rFonts w:cs="Arial"/>
                <w:lang w:eastAsia="en-GB"/>
              </w:rPr>
              <w:t>2</w:t>
            </w:r>
          </w:p>
        </w:tc>
        <w:tc>
          <w:tcPr>
            <w:tcW w:w="585" w:type="pct"/>
            <w:tcBorders>
              <w:top w:val="single" w:sz="4" w:space="0" w:color="auto"/>
              <w:left w:val="single" w:sz="4" w:space="0" w:color="auto"/>
              <w:bottom w:val="single" w:sz="4" w:space="0" w:color="auto"/>
              <w:right w:val="single" w:sz="4" w:space="0" w:color="auto"/>
            </w:tcBorders>
          </w:tcPr>
          <w:p w14:paraId="1BEB8B06" w14:textId="77777777" w:rsidR="006E0879" w:rsidRPr="00925DF4" w:rsidDel="00614ED3" w:rsidRDefault="006E0879" w:rsidP="00AB3D40">
            <w:pPr>
              <w:spacing w:before="60"/>
              <w:jc w:val="center"/>
              <w:rPr>
                <w:rFonts w:cs="Arial"/>
                <w:color w:val="1D1D1B" w:themeColor="text1"/>
                <w:lang w:eastAsia="en-GB"/>
              </w:rPr>
            </w:pPr>
            <w:r>
              <w:rPr>
                <w:rFonts w:cs="Arial"/>
                <w:lang w:eastAsia="en-GB"/>
              </w:rPr>
              <w:t>3</w:t>
            </w:r>
          </w:p>
        </w:tc>
        <w:tc>
          <w:tcPr>
            <w:tcW w:w="584" w:type="pct"/>
            <w:tcBorders>
              <w:top w:val="single" w:sz="4" w:space="0" w:color="auto"/>
              <w:left w:val="single" w:sz="4" w:space="0" w:color="auto"/>
              <w:bottom w:val="single" w:sz="4" w:space="0" w:color="auto"/>
              <w:right w:val="single" w:sz="4" w:space="0" w:color="auto"/>
            </w:tcBorders>
          </w:tcPr>
          <w:p w14:paraId="36412073" w14:textId="77777777" w:rsidR="006E0879" w:rsidRPr="00925DF4" w:rsidDel="00614ED3" w:rsidRDefault="006E0879" w:rsidP="00AB3D40">
            <w:pPr>
              <w:spacing w:before="60"/>
              <w:jc w:val="center"/>
              <w:rPr>
                <w:rFonts w:cs="Arial"/>
                <w:color w:val="1D1D1B" w:themeColor="text1"/>
                <w:lang w:eastAsia="en-GB"/>
              </w:rPr>
            </w:pPr>
            <w:r>
              <w:rPr>
                <w:rFonts w:cs="Arial"/>
                <w:lang w:eastAsia="en-GB"/>
              </w:rPr>
              <w:t>4</w:t>
            </w:r>
          </w:p>
        </w:tc>
        <w:tc>
          <w:tcPr>
            <w:tcW w:w="583" w:type="pct"/>
            <w:tcBorders>
              <w:top w:val="single" w:sz="4" w:space="0" w:color="auto"/>
              <w:left w:val="single" w:sz="4" w:space="0" w:color="auto"/>
              <w:bottom w:val="single" w:sz="4" w:space="0" w:color="auto"/>
              <w:right w:val="single" w:sz="4" w:space="0" w:color="auto"/>
            </w:tcBorders>
          </w:tcPr>
          <w:p w14:paraId="7B86A940" w14:textId="77777777" w:rsidR="006E0879" w:rsidRPr="00925DF4" w:rsidDel="00614ED3" w:rsidRDefault="006E0879" w:rsidP="00AB3D40">
            <w:pPr>
              <w:spacing w:before="60"/>
              <w:jc w:val="center"/>
              <w:rPr>
                <w:rFonts w:cs="Arial"/>
                <w:color w:val="1D1D1B" w:themeColor="text1"/>
                <w:lang w:eastAsia="en-GB"/>
              </w:rPr>
            </w:pPr>
            <w:r>
              <w:rPr>
                <w:rFonts w:cs="Arial"/>
                <w:lang w:eastAsia="en-GB"/>
              </w:rPr>
              <w:t>5</w:t>
            </w:r>
          </w:p>
        </w:tc>
      </w:tr>
      <w:tr w:rsidR="006E0879" w:rsidRPr="00925DF4" w14:paraId="1C8EF2F4" w14:textId="77777777" w:rsidTr="00AB3D40">
        <w:tc>
          <w:tcPr>
            <w:tcW w:w="2078" w:type="pct"/>
            <w:tcBorders>
              <w:top w:val="single" w:sz="4" w:space="0" w:color="auto"/>
              <w:left w:val="single" w:sz="4" w:space="0" w:color="auto"/>
              <w:bottom w:val="single" w:sz="4" w:space="0" w:color="auto"/>
              <w:right w:val="single" w:sz="4" w:space="0" w:color="auto"/>
            </w:tcBorders>
          </w:tcPr>
          <w:p w14:paraId="4A2E8C0B" w14:textId="77777777" w:rsidR="006E0879" w:rsidRPr="00925DF4" w:rsidRDefault="006E0879" w:rsidP="00AB3D40">
            <w:pPr>
              <w:spacing w:before="60"/>
              <w:rPr>
                <w:rFonts w:cs="Arial"/>
                <w:color w:val="1D1D1B" w:themeColor="text1"/>
                <w:lang w:eastAsia="en-GB"/>
              </w:rPr>
            </w:pPr>
            <w:r w:rsidRPr="00925DF4">
              <w:rPr>
                <w:rFonts w:cs="Arial"/>
                <w:color w:val="1D1D1B" w:themeColor="text1"/>
                <w:lang w:eastAsia="en-GB"/>
              </w:rPr>
              <w:t>F Changes you [</w:t>
            </w:r>
            <w:r w:rsidRPr="00925DF4">
              <w:rPr>
                <w:rFonts w:cs="Arial"/>
                <w:color w:val="FF0000"/>
                <w:lang w:eastAsia="en-GB"/>
              </w:rPr>
              <w:t xml:space="preserve">IF ONLINE: </w:t>
            </w:r>
            <w:r w:rsidRPr="00925DF4">
              <w:rPr>
                <w:rFonts w:cs="Arial"/>
                <w:color w:val="1D1D1B" w:themeColor="text1"/>
                <w:lang w:eastAsia="en-GB"/>
              </w:rPr>
              <w:t>I]need</w:t>
            </w:r>
            <w:r>
              <w:rPr>
                <w:rFonts w:cs="Arial"/>
                <w:color w:val="1D1D1B" w:themeColor="text1"/>
                <w:lang w:eastAsia="en-GB"/>
              </w:rPr>
              <w:t>ed</w:t>
            </w:r>
            <w:r w:rsidRPr="00925DF4">
              <w:rPr>
                <w:rFonts w:cs="Arial"/>
                <w:color w:val="1D1D1B" w:themeColor="text1"/>
                <w:lang w:eastAsia="en-GB"/>
              </w:rPr>
              <w:t xml:space="preserve"> to make to my business to make it ‘</w:t>
            </w:r>
            <w:r w:rsidRPr="00925DF4">
              <w:rPr>
                <w:rFonts w:cs="Arial"/>
                <w:color w:val="1D1D1B" w:themeColor="text1"/>
              </w:rPr>
              <w:t xml:space="preserve">Covid-19 </w:t>
            </w:r>
            <w:r w:rsidRPr="00925DF4">
              <w:rPr>
                <w:rFonts w:cs="Arial"/>
                <w:color w:val="1D1D1B" w:themeColor="text1"/>
                <w:lang w:eastAsia="en-GB"/>
              </w:rPr>
              <w:t>compliant’  e.g. forced closure or adhering to social distancing/public health restrictions</w:t>
            </w:r>
          </w:p>
        </w:tc>
        <w:tc>
          <w:tcPr>
            <w:tcW w:w="585" w:type="pct"/>
            <w:tcBorders>
              <w:top w:val="single" w:sz="4" w:space="0" w:color="auto"/>
              <w:left w:val="single" w:sz="4" w:space="0" w:color="auto"/>
              <w:bottom w:val="single" w:sz="4" w:space="0" w:color="auto"/>
              <w:right w:val="single" w:sz="4" w:space="0" w:color="auto"/>
            </w:tcBorders>
          </w:tcPr>
          <w:p w14:paraId="76BF662C" w14:textId="77777777" w:rsidR="006E0879" w:rsidRPr="00925DF4" w:rsidRDefault="006E0879" w:rsidP="00AB3D40">
            <w:pPr>
              <w:spacing w:before="60"/>
              <w:jc w:val="center"/>
              <w:rPr>
                <w:rFonts w:cs="Arial"/>
                <w:color w:val="1D1D1B" w:themeColor="text1"/>
                <w:lang w:eastAsia="en-GB"/>
              </w:rPr>
            </w:pPr>
            <w:r>
              <w:rPr>
                <w:rFonts w:cs="Arial"/>
                <w:lang w:eastAsia="en-GB"/>
              </w:rPr>
              <w:t>1</w:t>
            </w:r>
          </w:p>
        </w:tc>
        <w:tc>
          <w:tcPr>
            <w:tcW w:w="585" w:type="pct"/>
            <w:tcBorders>
              <w:top w:val="single" w:sz="4" w:space="0" w:color="auto"/>
              <w:left w:val="single" w:sz="4" w:space="0" w:color="auto"/>
              <w:bottom w:val="single" w:sz="4" w:space="0" w:color="auto"/>
              <w:right w:val="single" w:sz="4" w:space="0" w:color="auto"/>
            </w:tcBorders>
          </w:tcPr>
          <w:p w14:paraId="27BFA092" w14:textId="77777777" w:rsidR="006E0879" w:rsidRPr="00925DF4" w:rsidDel="00614ED3" w:rsidRDefault="006E0879" w:rsidP="00AB3D40">
            <w:pPr>
              <w:spacing w:before="60"/>
              <w:jc w:val="center"/>
              <w:rPr>
                <w:rFonts w:cs="Arial"/>
                <w:color w:val="1D1D1B" w:themeColor="text1"/>
                <w:lang w:eastAsia="en-GB"/>
              </w:rPr>
            </w:pPr>
            <w:r>
              <w:rPr>
                <w:rFonts w:cs="Arial"/>
                <w:lang w:eastAsia="en-GB"/>
              </w:rPr>
              <w:t>2</w:t>
            </w:r>
          </w:p>
        </w:tc>
        <w:tc>
          <w:tcPr>
            <w:tcW w:w="585" w:type="pct"/>
            <w:tcBorders>
              <w:top w:val="single" w:sz="4" w:space="0" w:color="auto"/>
              <w:left w:val="single" w:sz="4" w:space="0" w:color="auto"/>
              <w:bottom w:val="single" w:sz="4" w:space="0" w:color="auto"/>
              <w:right w:val="single" w:sz="4" w:space="0" w:color="auto"/>
            </w:tcBorders>
          </w:tcPr>
          <w:p w14:paraId="7D7FBACE" w14:textId="77777777" w:rsidR="006E0879" w:rsidRPr="00925DF4" w:rsidDel="00614ED3" w:rsidRDefault="006E0879" w:rsidP="00AB3D40">
            <w:pPr>
              <w:spacing w:before="60"/>
              <w:jc w:val="center"/>
              <w:rPr>
                <w:rFonts w:cs="Arial"/>
                <w:color w:val="1D1D1B" w:themeColor="text1"/>
                <w:lang w:eastAsia="en-GB"/>
              </w:rPr>
            </w:pPr>
            <w:r>
              <w:rPr>
                <w:rFonts w:cs="Arial"/>
                <w:lang w:eastAsia="en-GB"/>
              </w:rPr>
              <w:t>3</w:t>
            </w:r>
          </w:p>
        </w:tc>
        <w:tc>
          <w:tcPr>
            <w:tcW w:w="584" w:type="pct"/>
            <w:tcBorders>
              <w:top w:val="single" w:sz="4" w:space="0" w:color="auto"/>
              <w:left w:val="single" w:sz="4" w:space="0" w:color="auto"/>
              <w:bottom w:val="single" w:sz="4" w:space="0" w:color="auto"/>
              <w:right w:val="single" w:sz="4" w:space="0" w:color="auto"/>
            </w:tcBorders>
          </w:tcPr>
          <w:p w14:paraId="282E72C3" w14:textId="77777777" w:rsidR="006E0879" w:rsidRPr="00925DF4" w:rsidDel="00614ED3" w:rsidRDefault="006E0879" w:rsidP="00AB3D40">
            <w:pPr>
              <w:spacing w:before="60"/>
              <w:jc w:val="center"/>
              <w:rPr>
                <w:rFonts w:cs="Arial"/>
                <w:color w:val="1D1D1B" w:themeColor="text1"/>
                <w:lang w:eastAsia="en-GB"/>
              </w:rPr>
            </w:pPr>
            <w:r>
              <w:rPr>
                <w:rFonts w:cs="Arial"/>
                <w:lang w:eastAsia="en-GB"/>
              </w:rPr>
              <w:t>4</w:t>
            </w:r>
          </w:p>
        </w:tc>
        <w:tc>
          <w:tcPr>
            <w:tcW w:w="583" w:type="pct"/>
            <w:tcBorders>
              <w:top w:val="single" w:sz="4" w:space="0" w:color="auto"/>
              <w:left w:val="single" w:sz="4" w:space="0" w:color="auto"/>
              <w:bottom w:val="single" w:sz="4" w:space="0" w:color="auto"/>
              <w:right w:val="single" w:sz="4" w:space="0" w:color="auto"/>
            </w:tcBorders>
          </w:tcPr>
          <w:p w14:paraId="18F57B7C" w14:textId="77777777" w:rsidR="006E0879" w:rsidRPr="00925DF4" w:rsidDel="00614ED3" w:rsidRDefault="006E0879" w:rsidP="00AB3D40">
            <w:pPr>
              <w:spacing w:before="60"/>
              <w:jc w:val="center"/>
              <w:rPr>
                <w:rFonts w:cs="Arial"/>
                <w:color w:val="1D1D1B" w:themeColor="text1"/>
                <w:lang w:eastAsia="en-GB"/>
              </w:rPr>
            </w:pPr>
            <w:r>
              <w:rPr>
                <w:rFonts w:cs="Arial"/>
                <w:lang w:eastAsia="en-GB"/>
              </w:rPr>
              <w:t>5</w:t>
            </w:r>
          </w:p>
        </w:tc>
      </w:tr>
      <w:tr w:rsidR="006E0879" w:rsidRPr="00925DF4" w14:paraId="2650A117" w14:textId="77777777" w:rsidTr="00AB3D40">
        <w:tc>
          <w:tcPr>
            <w:tcW w:w="2078" w:type="pct"/>
            <w:tcBorders>
              <w:top w:val="single" w:sz="4" w:space="0" w:color="auto"/>
              <w:left w:val="single" w:sz="4" w:space="0" w:color="auto"/>
              <w:bottom w:val="single" w:sz="4" w:space="0" w:color="auto"/>
              <w:right w:val="single" w:sz="4" w:space="0" w:color="auto"/>
            </w:tcBorders>
          </w:tcPr>
          <w:p w14:paraId="330B493E" w14:textId="77777777" w:rsidR="006E0879" w:rsidRPr="00925DF4" w:rsidRDefault="006E0879" w:rsidP="00AB3D40">
            <w:pPr>
              <w:spacing w:before="60"/>
              <w:rPr>
                <w:rFonts w:cs="Arial"/>
                <w:color w:val="1D1D1B" w:themeColor="text1"/>
                <w:lang w:eastAsia="en-GB"/>
              </w:rPr>
            </w:pPr>
            <w:r>
              <w:rPr>
                <w:rFonts w:cs="Arial"/>
                <w:color w:val="1D1D1B" w:themeColor="text1"/>
                <w:lang w:eastAsia="en-GB"/>
              </w:rPr>
              <w:t>G Strain on the business caused by increased debt levels</w:t>
            </w:r>
          </w:p>
        </w:tc>
        <w:tc>
          <w:tcPr>
            <w:tcW w:w="585" w:type="pct"/>
            <w:tcBorders>
              <w:top w:val="single" w:sz="4" w:space="0" w:color="auto"/>
              <w:left w:val="single" w:sz="4" w:space="0" w:color="auto"/>
              <w:bottom w:val="single" w:sz="4" w:space="0" w:color="auto"/>
              <w:right w:val="single" w:sz="4" w:space="0" w:color="auto"/>
            </w:tcBorders>
          </w:tcPr>
          <w:p w14:paraId="530597C1" w14:textId="77777777" w:rsidR="006E0879" w:rsidRPr="00925DF4" w:rsidRDefault="006E0879" w:rsidP="00AB3D40">
            <w:pPr>
              <w:spacing w:before="60"/>
              <w:jc w:val="center"/>
              <w:rPr>
                <w:rFonts w:cs="Arial"/>
                <w:color w:val="1D1D1B" w:themeColor="text1"/>
                <w:lang w:eastAsia="en-GB"/>
              </w:rPr>
            </w:pPr>
            <w:r>
              <w:rPr>
                <w:rFonts w:cs="Arial"/>
                <w:lang w:eastAsia="en-GB"/>
              </w:rPr>
              <w:t>1</w:t>
            </w:r>
          </w:p>
        </w:tc>
        <w:tc>
          <w:tcPr>
            <w:tcW w:w="585" w:type="pct"/>
            <w:tcBorders>
              <w:top w:val="single" w:sz="4" w:space="0" w:color="auto"/>
              <w:left w:val="single" w:sz="4" w:space="0" w:color="auto"/>
              <w:bottom w:val="single" w:sz="4" w:space="0" w:color="auto"/>
              <w:right w:val="single" w:sz="4" w:space="0" w:color="auto"/>
            </w:tcBorders>
          </w:tcPr>
          <w:p w14:paraId="189BA4DA" w14:textId="77777777" w:rsidR="006E0879" w:rsidDel="00614ED3" w:rsidRDefault="006E0879" w:rsidP="00AB3D40">
            <w:pPr>
              <w:spacing w:before="60"/>
              <w:jc w:val="center"/>
              <w:rPr>
                <w:rFonts w:cs="Arial"/>
                <w:color w:val="1D1D1B" w:themeColor="text1"/>
                <w:lang w:eastAsia="en-GB"/>
              </w:rPr>
            </w:pPr>
            <w:r>
              <w:rPr>
                <w:rFonts w:cs="Arial"/>
                <w:lang w:eastAsia="en-GB"/>
              </w:rPr>
              <w:t>2</w:t>
            </w:r>
          </w:p>
        </w:tc>
        <w:tc>
          <w:tcPr>
            <w:tcW w:w="585" w:type="pct"/>
            <w:tcBorders>
              <w:top w:val="single" w:sz="4" w:space="0" w:color="auto"/>
              <w:left w:val="single" w:sz="4" w:space="0" w:color="auto"/>
              <w:bottom w:val="single" w:sz="4" w:space="0" w:color="auto"/>
              <w:right w:val="single" w:sz="4" w:space="0" w:color="auto"/>
            </w:tcBorders>
          </w:tcPr>
          <w:p w14:paraId="260FFB97" w14:textId="77777777" w:rsidR="006E0879" w:rsidDel="00614ED3" w:rsidRDefault="006E0879" w:rsidP="00AB3D40">
            <w:pPr>
              <w:spacing w:before="60"/>
              <w:jc w:val="center"/>
              <w:rPr>
                <w:rFonts w:cs="Arial"/>
                <w:color w:val="1D1D1B" w:themeColor="text1"/>
                <w:lang w:eastAsia="en-GB"/>
              </w:rPr>
            </w:pPr>
            <w:r>
              <w:rPr>
                <w:rFonts w:cs="Arial"/>
                <w:lang w:eastAsia="en-GB"/>
              </w:rPr>
              <w:t>3</w:t>
            </w:r>
          </w:p>
        </w:tc>
        <w:tc>
          <w:tcPr>
            <w:tcW w:w="584" w:type="pct"/>
            <w:tcBorders>
              <w:top w:val="single" w:sz="4" w:space="0" w:color="auto"/>
              <w:left w:val="single" w:sz="4" w:space="0" w:color="auto"/>
              <w:bottom w:val="single" w:sz="4" w:space="0" w:color="auto"/>
              <w:right w:val="single" w:sz="4" w:space="0" w:color="auto"/>
            </w:tcBorders>
          </w:tcPr>
          <w:p w14:paraId="4E3392C4" w14:textId="77777777" w:rsidR="006E0879" w:rsidDel="00614ED3" w:rsidRDefault="006E0879" w:rsidP="00AB3D40">
            <w:pPr>
              <w:spacing w:before="60"/>
              <w:jc w:val="center"/>
              <w:rPr>
                <w:rFonts w:cs="Arial"/>
                <w:color w:val="1D1D1B" w:themeColor="text1"/>
                <w:lang w:eastAsia="en-GB"/>
              </w:rPr>
            </w:pPr>
            <w:r>
              <w:rPr>
                <w:rFonts w:cs="Arial"/>
                <w:lang w:eastAsia="en-GB"/>
              </w:rPr>
              <w:t>4</w:t>
            </w:r>
          </w:p>
        </w:tc>
        <w:tc>
          <w:tcPr>
            <w:tcW w:w="583" w:type="pct"/>
            <w:tcBorders>
              <w:top w:val="single" w:sz="4" w:space="0" w:color="auto"/>
              <w:left w:val="single" w:sz="4" w:space="0" w:color="auto"/>
              <w:bottom w:val="single" w:sz="4" w:space="0" w:color="auto"/>
              <w:right w:val="single" w:sz="4" w:space="0" w:color="auto"/>
            </w:tcBorders>
          </w:tcPr>
          <w:p w14:paraId="2B924AE9" w14:textId="77777777" w:rsidR="006E0879" w:rsidDel="00614ED3" w:rsidRDefault="006E0879" w:rsidP="00AB3D40">
            <w:pPr>
              <w:spacing w:before="60"/>
              <w:jc w:val="center"/>
              <w:rPr>
                <w:rFonts w:cs="Arial"/>
                <w:color w:val="1D1D1B" w:themeColor="text1"/>
                <w:lang w:eastAsia="en-GB"/>
              </w:rPr>
            </w:pPr>
            <w:r>
              <w:rPr>
                <w:rFonts w:cs="Arial"/>
                <w:lang w:eastAsia="en-GB"/>
              </w:rPr>
              <w:t>5</w:t>
            </w:r>
          </w:p>
        </w:tc>
      </w:tr>
    </w:tbl>
    <w:p w14:paraId="14C7081C" w14:textId="77777777" w:rsidR="006E0879" w:rsidRPr="00925DF4" w:rsidRDefault="006E0879" w:rsidP="006E0879">
      <w:pPr>
        <w:rPr>
          <w:rFonts w:cs="Arial"/>
          <w:b/>
          <w:color w:val="1D1D1B" w:themeColor="text1"/>
        </w:rPr>
      </w:pPr>
    </w:p>
    <w:p w14:paraId="328ECD80" w14:textId="77777777" w:rsidR="006E0879" w:rsidRPr="00FF2B73" w:rsidRDefault="006E0879" w:rsidP="006E0879">
      <w:pPr>
        <w:spacing w:after="160" w:line="259" w:lineRule="auto"/>
        <w:rPr>
          <w:rFonts w:eastAsia="Calibri" w:cs="Arial"/>
          <w:b/>
          <w:color w:val="1D1D1B" w:themeColor="text1"/>
          <w:lang w:eastAsia="en-GB"/>
        </w:rPr>
      </w:pPr>
      <w:bookmarkStart w:id="88" w:name="_Hlk74183309"/>
      <w:r w:rsidRPr="00925DF4">
        <w:rPr>
          <w:rFonts w:cs="Arial"/>
          <w:color w:val="FF0000"/>
        </w:rPr>
        <w:t>ASK ALL LOAN RECIPIENTS</w:t>
      </w:r>
    </w:p>
    <w:p w14:paraId="4614BE6E" w14:textId="540E5E1C" w:rsidR="006E0879" w:rsidRDefault="006E0879" w:rsidP="006E0879">
      <w:pPr>
        <w:rPr>
          <w:rFonts w:cs="Arial"/>
          <w:b/>
        </w:rPr>
      </w:pPr>
      <w:r w:rsidRPr="00925DF4">
        <w:rPr>
          <w:rFonts w:cs="Arial"/>
          <w:b/>
          <w:bCs/>
          <w:color w:val="1D1D1B" w:themeColor="text1"/>
          <w:lang w:eastAsia="en-GB"/>
        </w:rPr>
        <w:t>B2.</w:t>
      </w:r>
      <w:r w:rsidRPr="00925DF4">
        <w:rPr>
          <w:rFonts w:cs="Arial"/>
          <w:color w:val="1D1D1B" w:themeColor="text1"/>
          <w:lang w:eastAsia="en-GB"/>
        </w:rPr>
        <w:t xml:space="preserve"> </w:t>
      </w:r>
      <w:r w:rsidRPr="00925DF4">
        <w:rPr>
          <w:rFonts w:cs="Arial"/>
          <w:b/>
        </w:rPr>
        <w:t xml:space="preserve"> Prior to applying </w:t>
      </w:r>
      <w:r>
        <w:rPr>
          <w:rFonts w:cs="Arial"/>
          <w:b/>
        </w:rPr>
        <w:t>for finance under the Recovery Loan Scheme, but after April 6</w:t>
      </w:r>
      <w:r w:rsidRPr="00E66935">
        <w:rPr>
          <w:rFonts w:cs="Arial"/>
          <w:b/>
          <w:vertAlign w:val="superscript"/>
        </w:rPr>
        <w:t>th</w:t>
      </w:r>
      <w:r>
        <w:rPr>
          <w:rFonts w:cs="Arial"/>
          <w:b/>
        </w:rPr>
        <w:t xml:space="preserve"> 2021, did you apply for any other external finance and/or use any personal funds for business purposes?</w:t>
      </w:r>
      <w:r w:rsidRPr="00925DF4">
        <w:rPr>
          <w:rFonts w:cs="Arial"/>
          <w:b/>
        </w:rPr>
        <w:t xml:space="preserve"> </w:t>
      </w:r>
    </w:p>
    <w:p w14:paraId="24DA4F70" w14:textId="77777777" w:rsidR="006E0879" w:rsidRPr="00925DF4" w:rsidRDefault="006E0879" w:rsidP="006E0879">
      <w:pPr>
        <w:rPr>
          <w:rFonts w:cs="Arial"/>
        </w:rPr>
      </w:pPr>
      <w:r>
        <w:rPr>
          <w:rFonts w:cs="Arial"/>
          <w:b/>
        </w:rPr>
        <w:t>Note that applications for the Bounce Back Loan Scheme (BBLS), Coronavirus Business Interruption Loan Scheme (CBILS) and the Coronavirus Large Business Interruption Loan Scheme (CLBILS) closed before April 6</w:t>
      </w:r>
      <w:r w:rsidRPr="00283223">
        <w:rPr>
          <w:rFonts w:cs="Arial"/>
          <w:b/>
          <w:vertAlign w:val="superscript"/>
        </w:rPr>
        <w:t>th</w:t>
      </w:r>
      <w:r>
        <w:rPr>
          <w:rFonts w:cs="Arial"/>
          <w:b/>
        </w:rPr>
        <w:t xml:space="preserve"> 2021 so please do not include applications for loans under these schemes. </w:t>
      </w:r>
    </w:p>
    <w:p w14:paraId="66264E7B" w14:textId="77777777" w:rsidR="006E0879" w:rsidRPr="00925DF4" w:rsidRDefault="006E0879" w:rsidP="006E0879">
      <w:pPr>
        <w:rPr>
          <w:rFonts w:cs="Arial"/>
          <w:b/>
        </w:rPr>
      </w:pPr>
    </w:p>
    <w:p w14:paraId="4BF07D26" w14:textId="5F11E73B" w:rsidR="006E0879" w:rsidRPr="00C31D26" w:rsidRDefault="006E0879" w:rsidP="006E0879">
      <w:pPr>
        <w:rPr>
          <w:rFonts w:cs="Arial"/>
        </w:rPr>
      </w:pPr>
      <w:r w:rsidRPr="00925DF4">
        <w:rPr>
          <w:rFonts w:cs="Arial"/>
          <w:color w:val="FF0000"/>
        </w:rPr>
        <w:t>REVERSE SCALE.</w:t>
      </w:r>
      <w:r w:rsidRPr="00925DF4">
        <w:rPr>
          <w:rFonts w:cs="Arial"/>
          <w:b/>
          <w:color w:val="FF0000"/>
        </w:rPr>
        <w:t xml:space="preserve"> </w:t>
      </w:r>
      <w:r w:rsidRPr="00925DF4">
        <w:rPr>
          <w:rFonts w:cs="Arial"/>
          <w:color w:val="FF0000"/>
        </w:rPr>
        <w:t xml:space="preserve">SINGLE CODE </w:t>
      </w:r>
      <w:r w:rsidRPr="00925DF4">
        <w:rPr>
          <w:rFonts w:eastAsia="SimSun" w:cs="Arial"/>
          <w:color w:val="FF0000"/>
        </w:rPr>
        <w:t xml:space="preserve">ONLY. </w:t>
      </w:r>
      <w:r w:rsidRPr="00925DF4">
        <w:rPr>
          <w:rFonts w:cs="Arial"/>
          <w:color w:val="F06603" w:themeColor="accent6"/>
        </w:rPr>
        <w:t>READ OUT SCALE.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19"/>
        <w:gridCol w:w="1225"/>
      </w:tblGrid>
      <w:tr w:rsidR="006E0879" w:rsidRPr="00925DF4" w14:paraId="68DDB5C7"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63FDEC2D" w14:textId="77777777" w:rsidR="006E0879" w:rsidRPr="00925DF4" w:rsidRDefault="006E0879" w:rsidP="00AB3D40">
            <w:pPr>
              <w:pStyle w:val="resptext"/>
              <w:tabs>
                <w:tab w:val="left" w:pos="720"/>
              </w:tabs>
              <w:spacing w:before="60"/>
              <w:ind w:left="0"/>
              <w:rPr>
                <w:bCs/>
                <w:strike/>
                <w:color w:val="1D1D1B" w:themeColor="text1"/>
              </w:rPr>
            </w:pPr>
            <w:r w:rsidRPr="00925DF4">
              <w:rPr>
                <w:bCs/>
                <w:color w:val="1D1D1B" w:themeColor="text1"/>
              </w:rPr>
              <w:t>Yes, I applied for additional external finance from other sources and/or used personal funds</w:t>
            </w:r>
          </w:p>
        </w:tc>
        <w:tc>
          <w:tcPr>
            <w:tcW w:w="604" w:type="pct"/>
            <w:tcBorders>
              <w:top w:val="single" w:sz="4" w:space="0" w:color="auto"/>
              <w:left w:val="single" w:sz="4" w:space="0" w:color="auto"/>
              <w:bottom w:val="single" w:sz="4" w:space="0" w:color="auto"/>
              <w:right w:val="single" w:sz="4" w:space="0" w:color="auto"/>
            </w:tcBorders>
            <w:hideMark/>
          </w:tcPr>
          <w:p w14:paraId="1F5A5E3B"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1</w:t>
            </w:r>
          </w:p>
        </w:tc>
      </w:tr>
      <w:tr w:rsidR="006E0879" w:rsidRPr="00925DF4" w14:paraId="27231555" w14:textId="77777777" w:rsidTr="00AB3D40">
        <w:tc>
          <w:tcPr>
            <w:tcW w:w="4396" w:type="pct"/>
            <w:tcBorders>
              <w:top w:val="single" w:sz="4" w:space="0" w:color="auto"/>
              <w:left w:val="single" w:sz="4" w:space="0" w:color="auto"/>
              <w:bottom w:val="single" w:sz="4" w:space="0" w:color="auto"/>
              <w:right w:val="single" w:sz="4" w:space="0" w:color="auto"/>
            </w:tcBorders>
          </w:tcPr>
          <w:p w14:paraId="1C9383EA" w14:textId="77777777" w:rsidR="006E0879" w:rsidRPr="00925DF4" w:rsidDel="00A836AE" w:rsidRDefault="006E0879" w:rsidP="00AB3D40">
            <w:pPr>
              <w:pStyle w:val="resptext"/>
              <w:tabs>
                <w:tab w:val="left" w:pos="720"/>
              </w:tabs>
              <w:spacing w:before="60"/>
              <w:ind w:left="0"/>
              <w:rPr>
                <w:bCs/>
                <w:color w:val="1D1D1B" w:themeColor="text1"/>
              </w:rPr>
            </w:pPr>
            <w:r w:rsidRPr="00925DF4">
              <w:rPr>
                <w:bCs/>
                <w:color w:val="1D1D1B" w:themeColor="text1"/>
              </w:rPr>
              <w:t>No, I did not apply for additional external finance from other sources or use personal funds</w:t>
            </w:r>
          </w:p>
        </w:tc>
        <w:tc>
          <w:tcPr>
            <w:tcW w:w="604" w:type="pct"/>
            <w:tcBorders>
              <w:top w:val="single" w:sz="4" w:space="0" w:color="auto"/>
              <w:left w:val="single" w:sz="4" w:space="0" w:color="auto"/>
              <w:bottom w:val="single" w:sz="4" w:space="0" w:color="auto"/>
              <w:right w:val="single" w:sz="4" w:space="0" w:color="auto"/>
            </w:tcBorders>
          </w:tcPr>
          <w:p w14:paraId="62385BB5"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2</w:t>
            </w:r>
          </w:p>
        </w:tc>
      </w:tr>
      <w:tr w:rsidR="006E0879" w:rsidRPr="00925DF4" w14:paraId="5E88690A"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07F62AE9"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Don’t know</w:t>
            </w:r>
          </w:p>
        </w:tc>
        <w:tc>
          <w:tcPr>
            <w:tcW w:w="604" w:type="pct"/>
            <w:tcBorders>
              <w:top w:val="single" w:sz="4" w:space="0" w:color="auto"/>
              <w:left w:val="single" w:sz="4" w:space="0" w:color="auto"/>
              <w:bottom w:val="single" w:sz="4" w:space="0" w:color="auto"/>
              <w:right w:val="single" w:sz="4" w:space="0" w:color="auto"/>
            </w:tcBorders>
            <w:hideMark/>
          </w:tcPr>
          <w:p w14:paraId="09D8D5A2"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98</w:t>
            </w:r>
          </w:p>
        </w:tc>
      </w:tr>
      <w:tr w:rsidR="006E0879" w:rsidRPr="00925DF4" w14:paraId="47F9F959"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32327F86"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Refused</w:t>
            </w:r>
          </w:p>
        </w:tc>
        <w:tc>
          <w:tcPr>
            <w:tcW w:w="604" w:type="pct"/>
            <w:tcBorders>
              <w:top w:val="single" w:sz="4" w:space="0" w:color="auto"/>
              <w:left w:val="single" w:sz="4" w:space="0" w:color="auto"/>
              <w:bottom w:val="single" w:sz="4" w:space="0" w:color="auto"/>
              <w:right w:val="single" w:sz="4" w:space="0" w:color="auto"/>
            </w:tcBorders>
            <w:hideMark/>
          </w:tcPr>
          <w:p w14:paraId="5652F7D1"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99</w:t>
            </w:r>
          </w:p>
        </w:tc>
      </w:tr>
    </w:tbl>
    <w:p w14:paraId="5BDF9ECD" w14:textId="77777777" w:rsidR="006E0879" w:rsidRPr="00925DF4" w:rsidRDefault="006E0879" w:rsidP="006E0879">
      <w:pPr>
        <w:pStyle w:val="qtextc"/>
      </w:pPr>
    </w:p>
    <w:bookmarkEnd w:id="88"/>
    <w:p w14:paraId="2CDC05A7" w14:textId="77777777" w:rsidR="006E0879" w:rsidRPr="00925DF4" w:rsidRDefault="006E0879" w:rsidP="006E0879">
      <w:pPr>
        <w:rPr>
          <w:rFonts w:cs="Arial"/>
        </w:rPr>
      </w:pPr>
      <w:r w:rsidRPr="00925DF4">
        <w:rPr>
          <w:rFonts w:cs="Arial"/>
          <w:color w:val="FF0000"/>
        </w:rPr>
        <w:t xml:space="preserve">ASK ALL </w:t>
      </w:r>
      <w:r w:rsidRPr="00925DF4">
        <w:rPr>
          <w:rFonts w:cs="Arial"/>
          <w:bCs/>
          <w:color w:val="FF0000"/>
          <w:lang w:eastAsia="en-GB"/>
        </w:rPr>
        <w:t xml:space="preserve">LOAN RECIPIENTS </w:t>
      </w:r>
    </w:p>
    <w:p w14:paraId="0FD18FB8" w14:textId="77777777" w:rsidR="006E0879" w:rsidRPr="00925DF4" w:rsidRDefault="006E0879" w:rsidP="006E0879">
      <w:pPr>
        <w:rPr>
          <w:rFonts w:cs="Arial"/>
        </w:rPr>
      </w:pPr>
      <w:r w:rsidRPr="00925DF4">
        <w:rPr>
          <w:rFonts w:cs="Arial"/>
          <w:b/>
          <w:bCs/>
          <w:color w:val="1D1D1B" w:themeColor="text1"/>
          <w:lang w:eastAsia="en-GB"/>
        </w:rPr>
        <w:t>B1.</w:t>
      </w:r>
      <w:r w:rsidRPr="00925DF4">
        <w:rPr>
          <w:rFonts w:cs="Arial"/>
          <w:color w:val="1D1D1B" w:themeColor="text1"/>
          <w:lang w:eastAsia="en-GB"/>
        </w:rPr>
        <w:t xml:space="preserve"> </w:t>
      </w:r>
      <w:r w:rsidRPr="00925DF4">
        <w:rPr>
          <w:rFonts w:cs="Arial"/>
          <w:b/>
        </w:rPr>
        <w:t xml:space="preserve"> Were you planning to seek any </w:t>
      </w:r>
      <w:r w:rsidRPr="00925DF4">
        <w:rPr>
          <w:rFonts w:cs="Arial"/>
          <w:bCs/>
        </w:rPr>
        <w:t>[</w:t>
      </w:r>
      <w:r w:rsidRPr="006875A8">
        <w:rPr>
          <w:rFonts w:cs="Arial"/>
          <w:bCs/>
          <w:color w:val="FF0000"/>
        </w:rPr>
        <w:t>ADD IF CODE 1 AT B2</w:t>
      </w:r>
      <w:r w:rsidRPr="00925DF4">
        <w:rPr>
          <w:rFonts w:cs="Arial"/>
          <w:bCs/>
        </w:rPr>
        <w:t xml:space="preserve"> </w:t>
      </w:r>
      <w:r w:rsidRPr="00925DF4">
        <w:rPr>
          <w:rFonts w:cs="Arial"/>
          <w:b/>
        </w:rPr>
        <w:t>other</w:t>
      </w:r>
      <w:r w:rsidRPr="00925DF4">
        <w:rPr>
          <w:rFonts w:cs="Arial"/>
          <w:bCs/>
        </w:rPr>
        <w:t>]</w:t>
      </w:r>
      <w:r w:rsidRPr="00925DF4">
        <w:rPr>
          <w:rFonts w:cs="Arial"/>
          <w:b/>
        </w:rPr>
        <w:t xml:space="preserve"> external finance from alternative sources or use [</w:t>
      </w:r>
      <w:r w:rsidRPr="00925DF4">
        <w:rPr>
          <w:rFonts w:cs="Arial"/>
          <w:bCs/>
        </w:rPr>
        <w:t>[</w:t>
      </w:r>
      <w:r w:rsidRPr="006875A8">
        <w:rPr>
          <w:rFonts w:cs="Arial"/>
          <w:bCs/>
          <w:color w:val="FF0000"/>
        </w:rPr>
        <w:t xml:space="preserve">ADD IF CODE 1 AT B2 </w:t>
      </w:r>
      <w:r w:rsidRPr="00925DF4">
        <w:rPr>
          <w:rFonts w:cs="Arial"/>
          <w:b/>
        </w:rPr>
        <w:t>additional</w:t>
      </w:r>
      <w:r w:rsidRPr="00925DF4">
        <w:rPr>
          <w:rFonts w:cs="Arial"/>
          <w:bCs/>
        </w:rPr>
        <w:t>]</w:t>
      </w:r>
      <w:r w:rsidRPr="00925DF4">
        <w:rPr>
          <w:rFonts w:cs="Arial"/>
          <w:b/>
        </w:rPr>
        <w:t xml:space="preserve">  personal funds if your application for external finance </w:t>
      </w:r>
      <w:r>
        <w:rPr>
          <w:rFonts w:cs="Arial"/>
          <w:b/>
        </w:rPr>
        <w:t>under</w:t>
      </w:r>
      <w:r w:rsidRPr="00925DF4">
        <w:rPr>
          <w:rFonts w:cs="Arial"/>
          <w:b/>
        </w:rPr>
        <w:t xml:space="preserve"> the</w:t>
      </w:r>
      <w:r>
        <w:rPr>
          <w:rFonts w:cs="Arial"/>
          <w:b/>
        </w:rPr>
        <w:t xml:space="preserve"> Recovery Loan Scheme</w:t>
      </w:r>
      <w:r w:rsidRPr="00925DF4">
        <w:rPr>
          <w:rFonts w:cs="Arial"/>
          <w:b/>
        </w:rPr>
        <w:t xml:space="preserve"> was unsuccessful? Please include any external finance (e.g. bank or non-bank finance) or personal funds from owner(s) and/or any director(s) which you were planning to seek or would have used.</w:t>
      </w:r>
    </w:p>
    <w:p w14:paraId="45775941" w14:textId="4F7933D5" w:rsidR="006E0879" w:rsidRPr="00C31D26" w:rsidRDefault="006E0879" w:rsidP="006E0879">
      <w:pPr>
        <w:rPr>
          <w:rFonts w:cs="Arial"/>
        </w:rPr>
      </w:pPr>
      <w:r w:rsidRPr="00925DF4">
        <w:rPr>
          <w:rFonts w:cs="Arial"/>
          <w:color w:val="FF0000"/>
        </w:rPr>
        <w:t>REVERSE SCALE.</w:t>
      </w:r>
      <w:r w:rsidRPr="00925DF4">
        <w:rPr>
          <w:rFonts w:cs="Arial"/>
          <w:b/>
          <w:color w:val="FF0000"/>
        </w:rPr>
        <w:t xml:space="preserve"> </w:t>
      </w:r>
      <w:r w:rsidRPr="00925DF4">
        <w:rPr>
          <w:rFonts w:cs="Arial"/>
          <w:color w:val="FF0000"/>
        </w:rPr>
        <w:t xml:space="preserve">SINGLE CODE </w:t>
      </w:r>
      <w:r w:rsidRPr="00925DF4">
        <w:rPr>
          <w:rFonts w:eastAsia="SimSun" w:cs="Arial"/>
          <w:color w:val="FF0000"/>
        </w:rPr>
        <w:t xml:space="preserve">ONLY. </w:t>
      </w:r>
      <w:r w:rsidRPr="00925DF4">
        <w:rPr>
          <w:rFonts w:cs="Arial"/>
          <w:color w:val="F06603" w:themeColor="accent6"/>
        </w:rPr>
        <w:t>READ OUT SCALE.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19"/>
        <w:gridCol w:w="1225"/>
      </w:tblGrid>
      <w:tr w:rsidR="006E0879" w:rsidRPr="00925DF4" w14:paraId="7999B754" w14:textId="77777777" w:rsidTr="00AB3D40">
        <w:tc>
          <w:tcPr>
            <w:tcW w:w="4396" w:type="pct"/>
            <w:tcBorders>
              <w:top w:val="single" w:sz="4" w:space="0" w:color="auto"/>
              <w:left w:val="single" w:sz="4" w:space="0" w:color="auto"/>
              <w:bottom w:val="single" w:sz="4" w:space="0" w:color="auto"/>
              <w:right w:val="single" w:sz="4" w:space="0" w:color="auto"/>
            </w:tcBorders>
          </w:tcPr>
          <w:p w14:paraId="0EA7F7D8" w14:textId="77777777" w:rsidR="006E0879" w:rsidRPr="00925DF4" w:rsidDel="00A836AE" w:rsidRDefault="006E0879" w:rsidP="00AB3D40">
            <w:pPr>
              <w:pStyle w:val="resptext"/>
              <w:tabs>
                <w:tab w:val="left" w:pos="720"/>
              </w:tabs>
              <w:spacing w:before="60"/>
              <w:ind w:left="0"/>
              <w:rPr>
                <w:bCs/>
                <w:color w:val="1D1D1B" w:themeColor="text1"/>
              </w:rPr>
            </w:pPr>
            <w:r w:rsidRPr="00925DF4">
              <w:rPr>
                <w:bCs/>
                <w:color w:val="1D1D1B" w:themeColor="text1"/>
              </w:rPr>
              <w:t xml:space="preserve">Definitely would have tried to seek external finance from other sources </w:t>
            </w:r>
          </w:p>
        </w:tc>
        <w:tc>
          <w:tcPr>
            <w:tcW w:w="604" w:type="pct"/>
            <w:tcBorders>
              <w:top w:val="single" w:sz="4" w:space="0" w:color="auto"/>
              <w:left w:val="single" w:sz="4" w:space="0" w:color="auto"/>
              <w:bottom w:val="single" w:sz="4" w:space="0" w:color="auto"/>
              <w:right w:val="single" w:sz="4" w:space="0" w:color="auto"/>
            </w:tcBorders>
          </w:tcPr>
          <w:p w14:paraId="5CDBDC27" w14:textId="77777777" w:rsidR="006E0879" w:rsidRPr="00925DF4" w:rsidRDefault="006E0879" w:rsidP="00AB3D40">
            <w:pPr>
              <w:pStyle w:val="resptext"/>
              <w:tabs>
                <w:tab w:val="left" w:pos="720"/>
              </w:tabs>
              <w:spacing w:before="60"/>
              <w:ind w:left="0"/>
              <w:jc w:val="center"/>
              <w:rPr>
                <w:bCs/>
                <w:color w:val="1D1D1B" w:themeColor="text1"/>
              </w:rPr>
            </w:pPr>
            <w:r>
              <w:rPr>
                <w:bCs/>
                <w:color w:val="1D1D1B" w:themeColor="text1"/>
              </w:rPr>
              <w:t>1</w:t>
            </w:r>
          </w:p>
        </w:tc>
      </w:tr>
      <w:tr w:rsidR="006E0879" w:rsidRPr="00925DF4" w14:paraId="6806C62C" w14:textId="77777777" w:rsidTr="00AB3D40">
        <w:trPr>
          <w:trHeight w:val="85"/>
        </w:trPr>
        <w:tc>
          <w:tcPr>
            <w:tcW w:w="4396" w:type="pct"/>
            <w:tcBorders>
              <w:top w:val="single" w:sz="4" w:space="0" w:color="auto"/>
              <w:left w:val="single" w:sz="4" w:space="0" w:color="auto"/>
              <w:bottom w:val="single" w:sz="4" w:space="0" w:color="auto"/>
              <w:right w:val="single" w:sz="4" w:space="0" w:color="auto"/>
            </w:tcBorders>
            <w:hideMark/>
          </w:tcPr>
          <w:p w14:paraId="191B18B0" w14:textId="77777777" w:rsidR="006E0879" w:rsidRPr="00925DF4" w:rsidRDefault="006E0879" w:rsidP="00AB3D40">
            <w:pPr>
              <w:pStyle w:val="resptext"/>
              <w:tabs>
                <w:tab w:val="left" w:pos="720"/>
              </w:tabs>
              <w:spacing w:before="60"/>
              <w:ind w:left="0"/>
              <w:rPr>
                <w:bCs/>
                <w:strike/>
                <w:color w:val="1D1D1B" w:themeColor="text1"/>
              </w:rPr>
            </w:pPr>
            <w:r w:rsidRPr="00925DF4">
              <w:rPr>
                <w:bCs/>
                <w:color w:val="1D1D1B" w:themeColor="text1"/>
              </w:rPr>
              <w:t>Probably would have tried to seek external finance from other sources</w:t>
            </w:r>
          </w:p>
        </w:tc>
        <w:tc>
          <w:tcPr>
            <w:tcW w:w="604" w:type="pct"/>
            <w:tcBorders>
              <w:top w:val="single" w:sz="4" w:space="0" w:color="auto"/>
              <w:left w:val="single" w:sz="4" w:space="0" w:color="auto"/>
              <w:bottom w:val="single" w:sz="4" w:space="0" w:color="auto"/>
              <w:right w:val="single" w:sz="4" w:space="0" w:color="auto"/>
            </w:tcBorders>
            <w:hideMark/>
          </w:tcPr>
          <w:p w14:paraId="3F8EE57D" w14:textId="77777777" w:rsidR="006E0879" w:rsidRPr="00925DF4" w:rsidRDefault="006E0879" w:rsidP="00AB3D40">
            <w:pPr>
              <w:pStyle w:val="resptext"/>
              <w:tabs>
                <w:tab w:val="left" w:pos="720"/>
              </w:tabs>
              <w:spacing w:before="60"/>
              <w:ind w:left="0"/>
              <w:jc w:val="center"/>
              <w:rPr>
                <w:bCs/>
                <w:color w:val="1D1D1B" w:themeColor="text1"/>
              </w:rPr>
            </w:pPr>
            <w:r>
              <w:rPr>
                <w:bCs/>
                <w:color w:val="1D1D1B" w:themeColor="text1"/>
              </w:rPr>
              <w:t>2</w:t>
            </w:r>
          </w:p>
        </w:tc>
      </w:tr>
      <w:tr w:rsidR="006E0879" w:rsidRPr="00925DF4" w14:paraId="0CA4CAA7"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66ED770D" w14:textId="77777777" w:rsidR="006E0879" w:rsidRPr="00925DF4" w:rsidRDefault="006E0879" w:rsidP="00AB3D40">
            <w:pPr>
              <w:pStyle w:val="resptext"/>
              <w:tabs>
                <w:tab w:val="left" w:pos="720"/>
              </w:tabs>
              <w:spacing w:before="60"/>
              <w:ind w:left="0"/>
              <w:rPr>
                <w:bCs/>
                <w:strike/>
                <w:color w:val="1D1D1B" w:themeColor="text1"/>
              </w:rPr>
            </w:pPr>
            <w:r w:rsidRPr="00925DF4">
              <w:rPr>
                <w:bCs/>
                <w:color w:val="1D1D1B" w:themeColor="text1"/>
              </w:rPr>
              <w:t>Probably would not have tried to seek external finance from other sources</w:t>
            </w:r>
          </w:p>
        </w:tc>
        <w:tc>
          <w:tcPr>
            <w:tcW w:w="604" w:type="pct"/>
            <w:tcBorders>
              <w:top w:val="single" w:sz="4" w:space="0" w:color="auto"/>
              <w:left w:val="single" w:sz="4" w:space="0" w:color="auto"/>
              <w:bottom w:val="single" w:sz="4" w:space="0" w:color="auto"/>
              <w:right w:val="single" w:sz="4" w:space="0" w:color="auto"/>
            </w:tcBorders>
            <w:hideMark/>
          </w:tcPr>
          <w:p w14:paraId="3EFD0B3C" w14:textId="77777777" w:rsidR="006E0879" w:rsidRPr="00925DF4" w:rsidRDefault="006E0879" w:rsidP="00AB3D40">
            <w:pPr>
              <w:pStyle w:val="resptext"/>
              <w:tabs>
                <w:tab w:val="left" w:pos="720"/>
              </w:tabs>
              <w:spacing w:before="60"/>
              <w:ind w:left="0"/>
              <w:jc w:val="center"/>
              <w:rPr>
                <w:bCs/>
                <w:color w:val="1D1D1B" w:themeColor="text1"/>
              </w:rPr>
            </w:pPr>
            <w:r>
              <w:rPr>
                <w:bCs/>
                <w:color w:val="1D1D1B" w:themeColor="text1"/>
              </w:rPr>
              <w:t>3</w:t>
            </w:r>
          </w:p>
        </w:tc>
      </w:tr>
      <w:tr w:rsidR="006E0879" w:rsidRPr="00925DF4" w14:paraId="59BBA457"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28FF1195"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Definitely would not have tried to seek external finance from other sources</w:t>
            </w:r>
          </w:p>
        </w:tc>
        <w:tc>
          <w:tcPr>
            <w:tcW w:w="604" w:type="pct"/>
            <w:tcBorders>
              <w:top w:val="single" w:sz="4" w:space="0" w:color="auto"/>
              <w:left w:val="single" w:sz="4" w:space="0" w:color="auto"/>
              <w:bottom w:val="single" w:sz="4" w:space="0" w:color="auto"/>
              <w:right w:val="single" w:sz="4" w:space="0" w:color="auto"/>
            </w:tcBorders>
            <w:hideMark/>
          </w:tcPr>
          <w:p w14:paraId="5C523B59"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4</w:t>
            </w:r>
          </w:p>
        </w:tc>
      </w:tr>
      <w:tr w:rsidR="006E0879" w:rsidRPr="00925DF4" w14:paraId="50075573"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0E9C83BC"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Don’t know</w:t>
            </w:r>
          </w:p>
        </w:tc>
        <w:tc>
          <w:tcPr>
            <w:tcW w:w="604" w:type="pct"/>
            <w:tcBorders>
              <w:top w:val="single" w:sz="4" w:space="0" w:color="auto"/>
              <w:left w:val="single" w:sz="4" w:space="0" w:color="auto"/>
              <w:bottom w:val="single" w:sz="4" w:space="0" w:color="auto"/>
              <w:right w:val="single" w:sz="4" w:space="0" w:color="auto"/>
            </w:tcBorders>
            <w:hideMark/>
          </w:tcPr>
          <w:p w14:paraId="25768CE1" w14:textId="77777777" w:rsidR="006E0879" w:rsidRPr="00925DF4" w:rsidRDefault="006E0879" w:rsidP="00AB3D40">
            <w:pPr>
              <w:pStyle w:val="resptext"/>
              <w:tabs>
                <w:tab w:val="left" w:pos="720"/>
              </w:tabs>
              <w:spacing w:before="60"/>
              <w:ind w:left="0"/>
              <w:jc w:val="center"/>
              <w:rPr>
                <w:bCs/>
                <w:color w:val="1D1D1B" w:themeColor="text1"/>
              </w:rPr>
            </w:pPr>
            <w:r>
              <w:rPr>
                <w:bCs/>
                <w:color w:val="1D1D1B" w:themeColor="text1"/>
              </w:rPr>
              <w:t>5</w:t>
            </w:r>
          </w:p>
        </w:tc>
      </w:tr>
      <w:tr w:rsidR="006E0879" w:rsidRPr="00925DF4" w14:paraId="4EED1E33"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44660215"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Refused</w:t>
            </w:r>
          </w:p>
        </w:tc>
        <w:tc>
          <w:tcPr>
            <w:tcW w:w="604" w:type="pct"/>
            <w:tcBorders>
              <w:top w:val="single" w:sz="4" w:space="0" w:color="auto"/>
              <w:left w:val="single" w:sz="4" w:space="0" w:color="auto"/>
              <w:bottom w:val="single" w:sz="4" w:space="0" w:color="auto"/>
              <w:right w:val="single" w:sz="4" w:space="0" w:color="auto"/>
            </w:tcBorders>
            <w:hideMark/>
          </w:tcPr>
          <w:p w14:paraId="186AA949" w14:textId="77777777" w:rsidR="006E0879" w:rsidRPr="00925DF4" w:rsidRDefault="006E0879" w:rsidP="00AB3D40">
            <w:pPr>
              <w:pStyle w:val="resptext"/>
              <w:tabs>
                <w:tab w:val="left" w:pos="720"/>
              </w:tabs>
              <w:spacing w:before="60"/>
              <w:ind w:left="0"/>
              <w:jc w:val="center"/>
              <w:rPr>
                <w:bCs/>
                <w:color w:val="1D1D1B" w:themeColor="text1"/>
              </w:rPr>
            </w:pPr>
            <w:r>
              <w:rPr>
                <w:bCs/>
                <w:color w:val="1D1D1B" w:themeColor="text1"/>
              </w:rPr>
              <w:t>6</w:t>
            </w:r>
          </w:p>
        </w:tc>
      </w:tr>
    </w:tbl>
    <w:p w14:paraId="79AC6BB5" w14:textId="77777777" w:rsidR="006E0879" w:rsidRPr="00925DF4" w:rsidRDefault="006E0879" w:rsidP="006E0879">
      <w:pPr>
        <w:pStyle w:val="04ABodyText"/>
        <w:spacing w:before="0" w:after="0" w:line="240" w:lineRule="auto"/>
        <w:rPr>
          <w:rFonts w:ascii="Arial" w:hAnsi="Arial"/>
          <w:color w:val="auto"/>
        </w:rPr>
      </w:pPr>
    </w:p>
    <w:p w14:paraId="49A5554F" w14:textId="77777777" w:rsidR="006E0879" w:rsidRPr="00925DF4" w:rsidRDefault="006E0879" w:rsidP="006E0879">
      <w:pPr>
        <w:rPr>
          <w:rFonts w:cs="Arial"/>
          <w:color w:val="FF0000"/>
        </w:rPr>
      </w:pPr>
      <w:r w:rsidRPr="00925DF4">
        <w:rPr>
          <w:rFonts w:cs="Arial"/>
          <w:color w:val="FF0000"/>
        </w:rPr>
        <w:t xml:space="preserve">ASK IF PLANNING TO SEEK  EXTERNAL FINANCE FROM OTHER SOURCES (CODE </w:t>
      </w:r>
      <w:r>
        <w:rPr>
          <w:rFonts w:cs="Arial"/>
          <w:color w:val="FF0000"/>
        </w:rPr>
        <w:t>1</w:t>
      </w:r>
      <w:r w:rsidRPr="00925DF4">
        <w:rPr>
          <w:rFonts w:cs="Arial"/>
          <w:color w:val="FF0000"/>
        </w:rPr>
        <w:t xml:space="preserve"> TO </w:t>
      </w:r>
      <w:r>
        <w:rPr>
          <w:rFonts w:cs="Arial"/>
          <w:color w:val="FF0000"/>
        </w:rPr>
        <w:t>2</w:t>
      </w:r>
      <w:r w:rsidRPr="00925DF4">
        <w:rPr>
          <w:rFonts w:cs="Arial"/>
          <w:color w:val="FF0000"/>
        </w:rPr>
        <w:t xml:space="preserve">) AT B1 AND/OR APPLIED FOR FINANCE FROM OTHER SOURCES PRIOR TO APPLYING TO </w:t>
      </w:r>
      <w:r>
        <w:rPr>
          <w:rFonts w:cs="Arial"/>
          <w:color w:val="FF0000"/>
        </w:rPr>
        <w:t>RLS</w:t>
      </w:r>
      <w:r w:rsidRPr="00925DF4">
        <w:rPr>
          <w:rFonts w:cs="Arial"/>
          <w:color w:val="FF0000"/>
        </w:rPr>
        <w:t xml:space="preserve"> (CODE 1) AT B2</w:t>
      </w:r>
    </w:p>
    <w:p w14:paraId="68B384DB" w14:textId="2C652B8F" w:rsidR="006E0879" w:rsidRPr="00925DF4" w:rsidRDefault="006E0879" w:rsidP="006E0879">
      <w:pPr>
        <w:rPr>
          <w:rFonts w:cs="Arial"/>
        </w:rPr>
      </w:pPr>
      <w:r w:rsidRPr="00925DF4">
        <w:rPr>
          <w:rFonts w:cs="Arial"/>
          <w:b/>
          <w:color w:val="1D1D1B" w:themeColor="text1"/>
          <w:lang w:eastAsia="en-GB"/>
        </w:rPr>
        <w:t xml:space="preserve">B4. Other than </w:t>
      </w:r>
      <w:r w:rsidRPr="00925DF4">
        <w:rPr>
          <w:rFonts w:cs="Arial"/>
          <w:b/>
          <w:bCs/>
        </w:rPr>
        <w:t xml:space="preserve">the external finance you </w:t>
      </w:r>
      <w:r w:rsidRPr="00925DF4">
        <w:rPr>
          <w:rFonts w:cs="Arial"/>
          <w:b/>
          <w:color w:val="1D1D1B" w:themeColor="text1"/>
        </w:rPr>
        <w:t xml:space="preserve">obtained </w:t>
      </w:r>
      <w:r w:rsidRPr="00925DF4">
        <w:rPr>
          <w:rFonts w:cs="Arial"/>
          <w:b/>
          <w:bCs/>
        </w:rPr>
        <w:t>through the</w:t>
      </w:r>
      <w:r>
        <w:rPr>
          <w:rFonts w:cs="Arial"/>
          <w:b/>
          <w:bCs/>
        </w:rPr>
        <w:t xml:space="preserve"> Recovery Loan Scheme</w:t>
      </w:r>
      <w:r w:rsidRPr="00925DF4">
        <w:rPr>
          <w:rFonts w:cs="Arial"/>
          <w:b/>
        </w:rPr>
        <w:t>, what types of external finance from other sources would you have sought [</w:t>
      </w:r>
      <w:r w:rsidRPr="00925DF4">
        <w:rPr>
          <w:rFonts w:cs="Arial"/>
          <w:b/>
          <w:color w:val="FF0000"/>
        </w:rPr>
        <w:t xml:space="preserve">IF 1 AT B2: </w:t>
      </w:r>
      <w:r w:rsidRPr="00925DF4">
        <w:rPr>
          <w:rFonts w:cs="Arial"/>
          <w:b/>
        </w:rPr>
        <w:t>have you applied for</w:t>
      </w:r>
      <w:r>
        <w:rPr>
          <w:rFonts w:cs="Arial"/>
          <w:b/>
        </w:rPr>
        <w:t xml:space="preserve"> or used</w:t>
      </w:r>
      <w:r w:rsidRPr="00925DF4">
        <w:rPr>
          <w:rFonts w:cs="Arial"/>
          <w:b/>
        </w:rPr>
        <w:t>]?</w:t>
      </w:r>
      <w:r w:rsidRPr="00925DF4">
        <w:rPr>
          <w:rFonts w:cs="Arial"/>
        </w:rPr>
        <w:t xml:space="preserve"> </w:t>
      </w:r>
      <w:r w:rsidRPr="00925DF4">
        <w:rPr>
          <w:rFonts w:cs="Arial"/>
          <w:b/>
        </w:rPr>
        <w:t>Please include personal funds from owner(s) and/or any director(s).</w:t>
      </w:r>
    </w:p>
    <w:p w14:paraId="010D9D96" w14:textId="3FED8BBD" w:rsidR="006E0879" w:rsidRDefault="006E0879" w:rsidP="006E0879">
      <w:pPr>
        <w:rPr>
          <w:rFonts w:cs="Arial"/>
          <w:color w:val="F06603" w:themeColor="accent6"/>
        </w:rPr>
      </w:pPr>
      <w:r w:rsidRPr="00925DF4">
        <w:rPr>
          <w:rFonts w:cs="Arial"/>
          <w:color w:val="FF0000"/>
        </w:rPr>
        <w:t xml:space="preserve">ROTATE ORDER OF 1 TO </w:t>
      </w:r>
      <w:r>
        <w:rPr>
          <w:rFonts w:cs="Arial"/>
          <w:color w:val="FF0000"/>
        </w:rPr>
        <w:t>8</w:t>
      </w:r>
      <w:r w:rsidRPr="00925DF4">
        <w:rPr>
          <w:rFonts w:cs="Arial"/>
          <w:color w:val="FF0000"/>
        </w:rPr>
        <w:t xml:space="preserve">. MULTICODE OK. </w:t>
      </w:r>
      <w:r>
        <w:rPr>
          <w:rFonts w:cs="Arial"/>
          <w:b/>
        </w:rPr>
        <w:t>SET UP AS YES/NO QUESTION FOR BOTH CATI AND ONLINE.</w:t>
      </w:r>
      <w:r w:rsidRPr="00925DF4">
        <w:rPr>
          <w:rFonts w:cs="Arial"/>
          <w:b/>
        </w:rPr>
        <w:t xml:space="preserve">  </w:t>
      </w:r>
      <w:r w:rsidRPr="00925DF4">
        <w:rPr>
          <w:rFonts w:cs="Arial"/>
          <w:color w:val="F06603" w:themeColor="accent6"/>
        </w:rPr>
        <w:t xml:space="preserve">READ OUT 1 TO </w:t>
      </w:r>
      <w:r>
        <w:rPr>
          <w:rFonts w:cs="Arial"/>
          <w:color w:val="F06603" w:themeColor="accent6"/>
        </w:rPr>
        <w:t>9</w:t>
      </w:r>
      <w:r w:rsidRPr="00925DF4">
        <w:rPr>
          <w:rFonts w:cs="Arial"/>
          <w:color w:val="F06603" w:themeColor="accent6"/>
        </w:rPr>
        <w:t>.</w:t>
      </w:r>
    </w:p>
    <w:p w14:paraId="31916D2B" w14:textId="636F39C4" w:rsidR="006E0879" w:rsidRPr="00C31D26" w:rsidRDefault="006E0879" w:rsidP="006E0879">
      <w:pPr>
        <w:rPr>
          <w:rFonts w:cs="Arial"/>
          <w:color w:val="FF0000"/>
        </w:rPr>
      </w:pPr>
      <w:r>
        <w:rPr>
          <w:rFonts w:cs="Arial"/>
          <w:color w:val="FF0000"/>
        </w:rPr>
        <w:t>IF WEB: Please select all that apply.</w:t>
      </w:r>
    </w:p>
    <w:p w14:paraId="3315CD7E" w14:textId="77777777" w:rsidR="006E0879" w:rsidRDefault="006E0879" w:rsidP="006E0879">
      <w:pPr>
        <w:rPr>
          <w:rFonts w:cs="Arial"/>
        </w:rPr>
      </w:pPr>
      <w:r w:rsidRPr="00925DF4" w:rsidDel="0087123E">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9"/>
        <w:gridCol w:w="8346"/>
        <w:gridCol w:w="1059"/>
      </w:tblGrid>
      <w:tr w:rsidR="006E0879" w:rsidRPr="00925DF4" w14:paraId="19C7D441" w14:textId="77777777" w:rsidTr="00AB3D40">
        <w:tc>
          <w:tcPr>
            <w:tcW w:w="364" w:type="pct"/>
            <w:tcBorders>
              <w:top w:val="single" w:sz="4" w:space="0" w:color="auto"/>
              <w:left w:val="single" w:sz="4" w:space="0" w:color="auto"/>
              <w:bottom w:val="single" w:sz="4" w:space="0" w:color="auto"/>
              <w:right w:val="single" w:sz="4" w:space="0" w:color="auto"/>
            </w:tcBorders>
          </w:tcPr>
          <w:p w14:paraId="6679352C" w14:textId="77777777" w:rsidR="006E0879" w:rsidRPr="00925DF4" w:rsidRDefault="006E0879" w:rsidP="00AB3D40">
            <w:pPr>
              <w:pStyle w:val="tabside"/>
              <w:spacing w:before="40"/>
              <w:rPr>
                <w:color w:val="1D1D1B" w:themeColor="text1"/>
              </w:rPr>
            </w:pPr>
            <w:r w:rsidRPr="00925DF4">
              <w:rPr>
                <w:color w:val="1D1D1B" w:themeColor="text1"/>
              </w:rPr>
              <w:t>A</w:t>
            </w:r>
          </w:p>
        </w:tc>
        <w:tc>
          <w:tcPr>
            <w:tcW w:w="4114" w:type="pct"/>
            <w:tcBorders>
              <w:top w:val="single" w:sz="4" w:space="0" w:color="auto"/>
              <w:left w:val="single" w:sz="4" w:space="0" w:color="auto"/>
              <w:bottom w:val="single" w:sz="4" w:space="0" w:color="auto"/>
              <w:right w:val="single" w:sz="4" w:space="0" w:color="auto"/>
            </w:tcBorders>
          </w:tcPr>
          <w:p w14:paraId="52F9CBBC" w14:textId="77777777" w:rsidR="006E0879" w:rsidRPr="00925DF4" w:rsidRDefault="006E0879" w:rsidP="00AB3D40">
            <w:pPr>
              <w:pStyle w:val="tabside"/>
              <w:spacing w:before="40"/>
              <w:rPr>
                <w:color w:val="1D1D1B" w:themeColor="text1"/>
              </w:rPr>
            </w:pPr>
            <w:r w:rsidRPr="00925DF4">
              <w:rPr>
                <w:color w:val="1D1D1B" w:themeColor="text1"/>
              </w:rPr>
              <w:t>Personal funds from owner(s) and/or any director(s) that do not need to be paid back</w:t>
            </w:r>
          </w:p>
        </w:tc>
        <w:tc>
          <w:tcPr>
            <w:tcW w:w="522" w:type="pct"/>
            <w:tcBorders>
              <w:top w:val="single" w:sz="4" w:space="0" w:color="auto"/>
              <w:left w:val="single" w:sz="4" w:space="0" w:color="auto"/>
              <w:bottom w:val="single" w:sz="4" w:space="0" w:color="auto"/>
              <w:right w:val="single" w:sz="4" w:space="0" w:color="auto"/>
            </w:tcBorders>
          </w:tcPr>
          <w:p w14:paraId="5409DF49" w14:textId="77777777" w:rsidR="006E0879" w:rsidRPr="00925DF4" w:rsidRDefault="006E0879" w:rsidP="00AB3D40">
            <w:pPr>
              <w:pStyle w:val="tabbody"/>
              <w:spacing w:before="40"/>
              <w:rPr>
                <w:color w:val="1D1D1B" w:themeColor="text1"/>
              </w:rPr>
            </w:pPr>
            <w:r>
              <w:rPr>
                <w:color w:val="1D1D1B" w:themeColor="text1"/>
              </w:rPr>
              <w:t>1</w:t>
            </w:r>
          </w:p>
        </w:tc>
      </w:tr>
      <w:tr w:rsidR="006E0879" w:rsidRPr="00925DF4" w14:paraId="6B6060C1" w14:textId="77777777" w:rsidTr="00AB3D40">
        <w:tc>
          <w:tcPr>
            <w:tcW w:w="364" w:type="pct"/>
            <w:tcBorders>
              <w:top w:val="single" w:sz="4" w:space="0" w:color="auto"/>
              <w:left w:val="single" w:sz="4" w:space="0" w:color="auto"/>
              <w:bottom w:val="single" w:sz="4" w:space="0" w:color="auto"/>
              <w:right w:val="single" w:sz="4" w:space="0" w:color="auto"/>
            </w:tcBorders>
            <w:hideMark/>
          </w:tcPr>
          <w:p w14:paraId="22268833" w14:textId="77777777" w:rsidR="006E0879" w:rsidRPr="00925DF4" w:rsidRDefault="006E0879" w:rsidP="00AB3D40">
            <w:pPr>
              <w:pStyle w:val="tabside"/>
              <w:spacing w:before="40"/>
              <w:rPr>
                <w:color w:val="1D1D1B" w:themeColor="text1"/>
              </w:rPr>
            </w:pPr>
            <w:r w:rsidRPr="00925DF4">
              <w:rPr>
                <w:color w:val="1D1D1B" w:themeColor="text1"/>
              </w:rPr>
              <w:t>B</w:t>
            </w:r>
          </w:p>
        </w:tc>
        <w:tc>
          <w:tcPr>
            <w:tcW w:w="4114" w:type="pct"/>
            <w:tcBorders>
              <w:top w:val="single" w:sz="4" w:space="0" w:color="auto"/>
              <w:left w:val="single" w:sz="4" w:space="0" w:color="auto"/>
              <w:bottom w:val="single" w:sz="4" w:space="0" w:color="auto"/>
              <w:right w:val="single" w:sz="4" w:space="0" w:color="auto"/>
            </w:tcBorders>
            <w:hideMark/>
          </w:tcPr>
          <w:p w14:paraId="3B43C40D" w14:textId="77777777" w:rsidR="006E0879" w:rsidRPr="00925DF4" w:rsidRDefault="006E0879" w:rsidP="00AB3D40">
            <w:pPr>
              <w:pStyle w:val="tabside"/>
              <w:spacing w:before="40"/>
              <w:rPr>
                <w:color w:val="1D1D1B" w:themeColor="text1"/>
              </w:rPr>
            </w:pPr>
            <w:r w:rsidRPr="00925DF4">
              <w:rPr>
                <w:color w:val="1D1D1B" w:themeColor="text1"/>
              </w:rPr>
              <w:t xml:space="preserve">Revolving credit facility or bank overdraft </w:t>
            </w:r>
          </w:p>
        </w:tc>
        <w:tc>
          <w:tcPr>
            <w:tcW w:w="522" w:type="pct"/>
            <w:tcBorders>
              <w:top w:val="single" w:sz="4" w:space="0" w:color="auto"/>
              <w:left w:val="single" w:sz="4" w:space="0" w:color="auto"/>
              <w:bottom w:val="single" w:sz="4" w:space="0" w:color="auto"/>
              <w:right w:val="single" w:sz="4" w:space="0" w:color="auto"/>
            </w:tcBorders>
            <w:hideMark/>
          </w:tcPr>
          <w:p w14:paraId="31C4F10D" w14:textId="77777777" w:rsidR="006E0879" w:rsidRPr="00925DF4" w:rsidRDefault="006E0879" w:rsidP="00AB3D40">
            <w:pPr>
              <w:pStyle w:val="tabbody"/>
              <w:spacing w:before="40"/>
              <w:rPr>
                <w:color w:val="1D1D1B" w:themeColor="text1"/>
              </w:rPr>
            </w:pPr>
            <w:r>
              <w:rPr>
                <w:color w:val="1D1D1B" w:themeColor="text1"/>
              </w:rPr>
              <w:t>2</w:t>
            </w:r>
          </w:p>
        </w:tc>
      </w:tr>
      <w:tr w:rsidR="006E0879" w:rsidRPr="00925DF4" w14:paraId="126CC0A2" w14:textId="77777777" w:rsidTr="00AB3D40">
        <w:tc>
          <w:tcPr>
            <w:tcW w:w="364" w:type="pct"/>
            <w:tcBorders>
              <w:top w:val="single" w:sz="4" w:space="0" w:color="auto"/>
              <w:left w:val="single" w:sz="4" w:space="0" w:color="auto"/>
              <w:bottom w:val="single" w:sz="4" w:space="0" w:color="auto"/>
              <w:right w:val="single" w:sz="4" w:space="0" w:color="auto"/>
            </w:tcBorders>
            <w:hideMark/>
          </w:tcPr>
          <w:p w14:paraId="6B6CAE91" w14:textId="77777777" w:rsidR="006E0879" w:rsidRPr="00925DF4" w:rsidRDefault="006E0879" w:rsidP="00AB3D40">
            <w:pPr>
              <w:pStyle w:val="tabside"/>
              <w:spacing w:before="40"/>
              <w:rPr>
                <w:color w:val="1D1D1B" w:themeColor="text1"/>
              </w:rPr>
            </w:pPr>
            <w:r w:rsidRPr="00925DF4">
              <w:rPr>
                <w:color w:val="1D1D1B" w:themeColor="text1"/>
              </w:rPr>
              <w:t>C</w:t>
            </w:r>
          </w:p>
        </w:tc>
        <w:tc>
          <w:tcPr>
            <w:tcW w:w="4114" w:type="pct"/>
            <w:tcBorders>
              <w:top w:val="single" w:sz="4" w:space="0" w:color="auto"/>
              <w:left w:val="single" w:sz="4" w:space="0" w:color="auto"/>
              <w:bottom w:val="single" w:sz="4" w:space="0" w:color="auto"/>
              <w:right w:val="single" w:sz="4" w:space="0" w:color="auto"/>
            </w:tcBorders>
            <w:hideMark/>
          </w:tcPr>
          <w:p w14:paraId="4371E497" w14:textId="77777777" w:rsidR="006E0879" w:rsidRPr="00925DF4" w:rsidRDefault="006E0879" w:rsidP="00AB3D40">
            <w:pPr>
              <w:pStyle w:val="tabside"/>
              <w:spacing w:before="40"/>
              <w:rPr>
                <w:bCs/>
                <w:iCs/>
              </w:rPr>
            </w:pPr>
            <w:r>
              <w:rPr>
                <w:color w:val="1D1D1B" w:themeColor="text1"/>
              </w:rPr>
              <w:t>Loan from a bank or other organization (other than under the Bounce Back Loan Scheme (BBLS), Coronavirus Business Interruption Loan Scheme (CBILS) or the Coronavirus Large Business Interruption Loan Scheme (CLBILS))</w:t>
            </w:r>
          </w:p>
          <w:p w14:paraId="035B4EB3" w14:textId="77777777" w:rsidR="006E0879" w:rsidRPr="00925DF4" w:rsidRDefault="006E0879" w:rsidP="00AB3D40">
            <w:pPr>
              <w:pStyle w:val="tabside"/>
              <w:spacing w:before="40"/>
            </w:pPr>
          </w:p>
        </w:tc>
        <w:tc>
          <w:tcPr>
            <w:tcW w:w="522" w:type="pct"/>
            <w:tcBorders>
              <w:top w:val="single" w:sz="4" w:space="0" w:color="auto"/>
              <w:left w:val="single" w:sz="4" w:space="0" w:color="auto"/>
              <w:bottom w:val="single" w:sz="4" w:space="0" w:color="auto"/>
              <w:right w:val="single" w:sz="4" w:space="0" w:color="auto"/>
            </w:tcBorders>
            <w:hideMark/>
          </w:tcPr>
          <w:p w14:paraId="60E6D456" w14:textId="77777777" w:rsidR="006E0879" w:rsidRPr="00925DF4" w:rsidRDefault="006E0879" w:rsidP="00AB3D40">
            <w:pPr>
              <w:pStyle w:val="tabbody"/>
              <w:spacing w:before="40"/>
              <w:rPr>
                <w:color w:val="1D1D1B" w:themeColor="text1"/>
              </w:rPr>
            </w:pPr>
            <w:r>
              <w:rPr>
                <w:color w:val="1D1D1B" w:themeColor="text1"/>
              </w:rPr>
              <w:t>3</w:t>
            </w:r>
          </w:p>
        </w:tc>
      </w:tr>
      <w:tr w:rsidR="006E0879" w:rsidRPr="00925DF4" w14:paraId="6A2B3792" w14:textId="77777777" w:rsidTr="00AB3D40">
        <w:tc>
          <w:tcPr>
            <w:tcW w:w="364" w:type="pct"/>
            <w:tcBorders>
              <w:top w:val="single" w:sz="4" w:space="0" w:color="auto"/>
              <w:left w:val="single" w:sz="4" w:space="0" w:color="auto"/>
              <w:bottom w:val="single" w:sz="4" w:space="0" w:color="auto"/>
              <w:right w:val="single" w:sz="4" w:space="0" w:color="auto"/>
            </w:tcBorders>
            <w:hideMark/>
          </w:tcPr>
          <w:p w14:paraId="7126D513" w14:textId="77777777" w:rsidR="006E0879" w:rsidRPr="00925DF4" w:rsidRDefault="006E0879" w:rsidP="00AB3D40">
            <w:pPr>
              <w:pStyle w:val="tabside"/>
              <w:spacing w:before="40"/>
              <w:rPr>
                <w:color w:val="1D1D1B" w:themeColor="text1"/>
              </w:rPr>
            </w:pPr>
            <w:r>
              <w:rPr>
                <w:color w:val="1D1D1B" w:themeColor="text1"/>
              </w:rPr>
              <w:t>D</w:t>
            </w:r>
          </w:p>
        </w:tc>
        <w:tc>
          <w:tcPr>
            <w:tcW w:w="4114" w:type="pct"/>
            <w:tcBorders>
              <w:top w:val="single" w:sz="4" w:space="0" w:color="auto"/>
              <w:left w:val="single" w:sz="4" w:space="0" w:color="auto"/>
              <w:bottom w:val="single" w:sz="4" w:space="0" w:color="auto"/>
              <w:right w:val="single" w:sz="4" w:space="0" w:color="auto"/>
            </w:tcBorders>
            <w:hideMark/>
          </w:tcPr>
          <w:p w14:paraId="79C92C04" w14:textId="77777777" w:rsidR="006E0879" w:rsidRPr="00925DF4" w:rsidRDefault="006E0879" w:rsidP="00AB3D40">
            <w:pPr>
              <w:pStyle w:val="tabside"/>
              <w:spacing w:before="40"/>
              <w:rPr>
                <w:color w:val="1D1D1B" w:themeColor="text1"/>
              </w:rPr>
            </w:pPr>
            <w:r w:rsidRPr="00925DF4">
              <w:rPr>
                <w:color w:val="1D1D1B" w:themeColor="text1"/>
              </w:rPr>
              <w:t>Loans from directors</w:t>
            </w:r>
            <w:r>
              <w:rPr>
                <w:color w:val="1D1D1B" w:themeColor="text1"/>
              </w:rPr>
              <w:t xml:space="preserve"> or </w:t>
            </w:r>
            <w:r w:rsidRPr="00925DF4">
              <w:rPr>
                <w:color w:val="1D1D1B" w:themeColor="text1"/>
              </w:rPr>
              <w:t xml:space="preserve">other individuals </w:t>
            </w:r>
            <w:r w:rsidRPr="00925DF4">
              <w:rPr>
                <w:strike/>
                <w:color w:val="FF0000"/>
              </w:rPr>
              <w:t>[</w:t>
            </w:r>
            <w:r w:rsidRPr="00925DF4">
              <w:rPr>
                <w:color w:val="FF0000"/>
              </w:rPr>
              <w:t xml:space="preserve">ADD IF NECESSARY / SHOW AS INFO BUTTON FOR ONLINE SURVEY: </w:t>
            </w:r>
            <w:r w:rsidRPr="00925DF4">
              <w:rPr>
                <w:color w:val="1D1D1B" w:themeColor="text1"/>
              </w:rPr>
              <w:t>This could include loans from family or friends that need to be repaid]</w:t>
            </w:r>
          </w:p>
        </w:tc>
        <w:tc>
          <w:tcPr>
            <w:tcW w:w="522" w:type="pct"/>
            <w:tcBorders>
              <w:top w:val="single" w:sz="4" w:space="0" w:color="auto"/>
              <w:left w:val="single" w:sz="4" w:space="0" w:color="auto"/>
              <w:bottom w:val="single" w:sz="4" w:space="0" w:color="auto"/>
              <w:right w:val="single" w:sz="4" w:space="0" w:color="auto"/>
            </w:tcBorders>
            <w:hideMark/>
          </w:tcPr>
          <w:p w14:paraId="35AA87DF" w14:textId="77777777" w:rsidR="006E0879" w:rsidRPr="00925DF4" w:rsidRDefault="006E0879" w:rsidP="00AB3D40">
            <w:pPr>
              <w:pStyle w:val="tabbody"/>
              <w:spacing w:before="40"/>
              <w:rPr>
                <w:color w:val="1D1D1B" w:themeColor="text1"/>
              </w:rPr>
            </w:pPr>
            <w:r>
              <w:rPr>
                <w:color w:val="1D1D1B" w:themeColor="text1"/>
              </w:rPr>
              <w:t>4</w:t>
            </w:r>
          </w:p>
        </w:tc>
      </w:tr>
      <w:tr w:rsidR="006E0879" w:rsidRPr="00925DF4" w14:paraId="2F80A21F" w14:textId="77777777" w:rsidTr="00AB3D40">
        <w:tc>
          <w:tcPr>
            <w:tcW w:w="364" w:type="pct"/>
            <w:tcBorders>
              <w:top w:val="single" w:sz="4" w:space="0" w:color="auto"/>
              <w:left w:val="single" w:sz="4" w:space="0" w:color="auto"/>
              <w:bottom w:val="single" w:sz="4" w:space="0" w:color="auto"/>
              <w:right w:val="single" w:sz="4" w:space="0" w:color="auto"/>
            </w:tcBorders>
            <w:hideMark/>
          </w:tcPr>
          <w:p w14:paraId="16FFD9C6" w14:textId="77777777" w:rsidR="006E0879" w:rsidRPr="00925DF4" w:rsidRDefault="006E0879" w:rsidP="00AB3D40">
            <w:pPr>
              <w:pStyle w:val="tabside"/>
              <w:spacing w:before="40"/>
              <w:rPr>
                <w:color w:val="1D1D1B" w:themeColor="text1"/>
              </w:rPr>
            </w:pPr>
            <w:r>
              <w:rPr>
                <w:color w:val="1D1D1B" w:themeColor="text1"/>
              </w:rPr>
              <w:t>E</w:t>
            </w:r>
          </w:p>
        </w:tc>
        <w:tc>
          <w:tcPr>
            <w:tcW w:w="4114" w:type="pct"/>
            <w:tcBorders>
              <w:top w:val="single" w:sz="4" w:space="0" w:color="auto"/>
              <w:left w:val="single" w:sz="4" w:space="0" w:color="auto"/>
              <w:bottom w:val="single" w:sz="4" w:space="0" w:color="auto"/>
              <w:right w:val="single" w:sz="4" w:space="0" w:color="auto"/>
            </w:tcBorders>
            <w:hideMark/>
          </w:tcPr>
          <w:p w14:paraId="70522C76" w14:textId="77777777" w:rsidR="006E0879" w:rsidRPr="00925DF4" w:rsidRDefault="006E0879" w:rsidP="00AB3D40">
            <w:pPr>
              <w:pStyle w:val="tabside"/>
              <w:spacing w:before="40"/>
              <w:rPr>
                <w:color w:val="1D1D1B" w:themeColor="text1"/>
              </w:rPr>
            </w:pPr>
            <w:r w:rsidRPr="00925DF4">
              <w:rPr>
                <w:color w:val="1D1D1B" w:themeColor="text1"/>
              </w:rPr>
              <w:t xml:space="preserve">Leasing or hire purchase (asset-finance) </w:t>
            </w:r>
          </w:p>
        </w:tc>
        <w:tc>
          <w:tcPr>
            <w:tcW w:w="522" w:type="pct"/>
            <w:tcBorders>
              <w:top w:val="single" w:sz="4" w:space="0" w:color="auto"/>
              <w:left w:val="single" w:sz="4" w:space="0" w:color="auto"/>
              <w:bottom w:val="single" w:sz="4" w:space="0" w:color="auto"/>
              <w:right w:val="single" w:sz="4" w:space="0" w:color="auto"/>
            </w:tcBorders>
            <w:hideMark/>
          </w:tcPr>
          <w:p w14:paraId="1B80992A" w14:textId="77777777" w:rsidR="006E0879" w:rsidRPr="00925DF4" w:rsidRDefault="006E0879" w:rsidP="00AB3D40">
            <w:pPr>
              <w:pStyle w:val="tabbody"/>
              <w:spacing w:before="40"/>
              <w:rPr>
                <w:color w:val="1D1D1B" w:themeColor="text1"/>
              </w:rPr>
            </w:pPr>
            <w:r>
              <w:rPr>
                <w:color w:val="1D1D1B" w:themeColor="text1"/>
              </w:rPr>
              <w:t>5</w:t>
            </w:r>
          </w:p>
        </w:tc>
      </w:tr>
      <w:tr w:rsidR="006E0879" w:rsidRPr="00925DF4" w14:paraId="11E1F5E7" w14:textId="77777777" w:rsidTr="00AB3D40">
        <w:tc>
          <w:tcPr>
            <w:tcW w:w="364" w:type="pct"/>
            <w:tcBorders>
              <w:top w:val="single" w:sz="4" w:space="0" w:color="auto"/>
              <w:left w:val="single" w:sz="4" w:space="0" w:color="auto"/>
              <w:bottom w:val="single" w:sz="4" w:space="0" w:color="auto"/>
              <w:right w:val="single" w:sz="4" w:space="0" w:color="auto"/>
            </w:tcBorders>
          </w:tcPr>
          <w:p w14:paraId="74D84C23" w14:textId="77777777" w:rsidR="006E0879" w:rsidRPr="00925DF4" w:rsidRDefault="006E0879" w:rsidP="00AB3D40">
            <w:pPr>
              <w:pStyle w:val="tabside"/>
              <w:spacing w:before="40"/>
              <w:rPr>
                <w:color w:val="1D1D1B" w:themeColor="text1"/>
              </w:rPr>
            </w:pPr>
            <w:r>
              <w:rPr>
                <w:color w:val="1D1D1B" w:themeColor="text1"/>
              </w:rPr>
              <w:t>F</w:t>
            </w:r>
          </w:p>
        </w:tc>
        <w:tc>
          <w:tcPr>
            <w:tcW w:w="4114" w:type="pct"/>
            <w:tcBorders>
              <w:top w:val="single" w:sz="4" w:space="0" w:color="auto"/>
              <w:left w:val="single" w:sz="4" w:space="0" w:color="auto"/>
              <w:bottom w:val="single" w:sz="4" w:space="0" w:color="auto"/>
              <w:right w:val="single" w:sz="4" w:space="0" w:color="auto"/>
            </w:tcBorders>
          </w:tcPr>
          <w:p w14:paraId="28EDC27E" w14:textId="77777777" w:rsidR="006E0879" w:rsidRPr="00925DF4" w:rsidRDefault="006E0879" w:rsidP="00AB3D40">
            <w:pPr>
              <w:pStyle w:val="tabside"/>
              <w:spacing w:before="40"/>
              <w:rPr>
                <w:color w:val="1D1D1B" w:themeColor="text1"/>
              </w:rPr>
            </w:pPr>
            <w:r w:rsidRPr="00925DF4">
              <w:rPr>
                <w:color w:val="1D1D1B" w:themeColor="text1"/>
              </w:rPr>
              <w:t xml:space="preserve">Equity finance </w:t>
            </w:r>
            <w:r w:rsidRPr="00925DF4">
              <w:rPr>
                <w:color w:val="FF0000"/>
              </w:rPr>
              <w:t xml:space="preserve">ADD IF NECESSARY / SHOW AS INFO BUTTON FOR ONLINE SURVEY: </w:t>
            </w:r>
            <w:r w:rsidRPr="00925DF4">
              <w:rPr>
                <w:color w:val="1D1D1B" w:themeColor="text1"/>
              </w:rPr>
              <w:t>This could include equity from directors, individuals, friends, family, crowd funding platforms, or other organisations</w:t>
            </w:r>
          </w:p>
        </w:tc>
        <w:tc>
          <w:tcPr>
            <w:tcW w:w="522" w:type="pct"/>
            <w:tcBorders>
              <w:top w:val="single" w:sz="4" w:space="0" w:color="auto"/>
              <w:left w:val="single" w:sz="4" w:space="0" w:color="auto"/>
              <w:bottom w:val="single" w:sz="4" w:space="0" w:color="auto"/>
              <w:right w:val="single" w:sz="4" w:space="0" w:color="auto"/>
            </w:tcBorders>
          </w:tcPr>
          <w:p w14:paraId="444B2547" w14:textId="77777777" w:rsidR="006E0879" w:rsidRPr="00925DF4" w:rsidRDefault="006E0879" w:rsidP="00AB3D40">
            <w:pPr>
              <w:jc w:val="center"/>
              <w:rPr>
                <w:rFonts w:cs="Arial"/>
              </w:rPr>
            </w:pPr>
            <w:r>
              <w:rPr>
                <w:rFonts w:cs="Arial"/>
              </w:rPr>
              <w:t>6</w:t>
            </w:r>
          </w:p>
        </w:tc>
      </w:tr>
      <w:tr w:rsidR="006E0879" w:rsidRPr="00925DF4" w14:paraId="78FCE9BF" w14:textId="77777777" w:rsidTr="00AB3D40">
        <w:tc>
          <w:tcPr>
            <w:tcW w:w="364" w:type="pct"/>
            <w:tcBorders>
              <w:top w:val="single" w:sz="4" w:space="0" w:color="auto"/>
              <w:left w:val="single" w:sz="4" w:space="0" w:color="auto"/>
              <w:bottom w:val="single" w:sz="4" w:space="0" w:color="auto"/>
              <w:right w:val="single" w:sz="4" w:space="0" w:color="auto"/>
            </w:tcBorders>
            <w:hideMark/>
          </w:tcPr>
          <w:p w14:paraId="24A361FB" w14:textId="77777777" w:rsidR="006E0879" w:rsidRPr="00925DF4" w:rsidRDefault="006E0879" w:rsidP="00AB3D40">
            <w:pPr>
              <w:pStyle w:val="tabside"/>
              <w:spacing w:before="40"/>
              <w:rPr>
                <w:color w:val="1D1D1B" w:themeColor="text1"/>
              </w:rPr>
            </w:pPr>
            <w:r>
              <w:rPr>
                <w:color w:val="1D1D1B" w:themeColor="text1"/>
              </w:rPr>
              <w:t>G</w:t>
            </w:r>
          </w:p>
        </w:tc>
        <w:tc>
          <w:tcPr>
            <w:tcW w:w="4114" w:type="pct"/>
            <w:tcBorders>
              <w:top w:val="single" w:sz="4" w:space="0" w:color="auto"/>
              <w:left w:val="single" w:sz="4" w:space="0" w:color="auto"/>
              <w:bottom w:val="single" w:sz="4" w:space="0" w:color="auto"/>
              <w:right w:val="single" w:sz="4" w:space="0" w:color="auto"/>
            </w:tcBorders>
            <w:hideMark/>
          </w:tcPr>
          <w:p w14:paraId="2AF2A377" w14:textId="77777777" w:rsidR="006E0879" w:rsidRPr="00925DF4" w:rsidRDefault="006E0879" w:rsidP="00AB3D40">
            <w:pPr>
              <w:pStyle w:val="tabside"/>
              <w:spacing w:before="40"/>
              <w:rPr>
                <w:color w:val="1D1D1B" w:themeColor="text1"/>
              </w:rPr>
            </w:pPr>
            <w:r w:rsidRPr="00925DF4">
              <w:rPr>
                <w:color w:val="1D1D1B" w:themeColor="text1"/>
              </w:rPr>
              <w:t>Credit cards</w:t>
            </w:r>
          </w:p>
        </w:tc>
        <w:tc>
          <w:tcPr>
            <w:tcW w:w="522" w:type="pct"/>
            <w:tcBorders>
              <w:top w:val="single" w:sz="4" w:space="0" w:color="auto"/>
              <w:left w:val="single" w:sz="4" w:space="0" w:color="auto"/>
              <w:bottom w:val="single" w:sz="4" w:space="0" w:color="auto"/>
              <w:right w:val="single" w:sz="4" w:space="0" w:color="auto"/>
            </w:tcBorders>
            <w:hideMark/>
          </w:tcPr>
          <w:p w14:paraId="3975D86F" w14:textId="77777777" w:rsidR="006E0879" w:rsidRPr="00925DF4" w:rsidRDefault="006E0879" w:rsidP="00AB3D40">
            <w:pPr>
              <w:pStyle w:val="tabbody"/>
              <w:spacing w:before="40"/>
              <w:rPr>
                <w:color w:val="1D1D1B" w:themeColor="text1"/>
              </w:rPr>
            </w:pPr>
            <w:r>
              <w:rPr>
                <w:color w:val="1D1D1B" w:themeColor="text1"/>
              </w:rPr>
              <w:t>7</w:t>
            </w:r>
          </w:p>
        </w:tc>
      </w:tr>
      <w:tr w:rsidR="006E0879" w:rsidRPr="00925DF4" w14:paraId="0C460497" w14:textId="77777777" w:rsidTr="00AB3D40">
        <w:tc>
          <w:tcPr>
            <w:tcW w:w="364" w:type="pct"/>
            <w:tcBorders>
              <w:top w:val="single" w:sz="4" w:space="0" w:color="auto"/>
              <w:left w:val="single" w:sz="4" w:space="0" w:color="auto"/>
              <w:bottom w:val="single" w:sz="4" w:space="0" w:color="auto"/>
              <w:right w:val="single" w:sz="4" w:space="0" w:color="auto"/>
            </w:tcBorders>
          </w:tcPr>
          <w:p w14:paraId="19A032E9" w14:textId="77777777" w:rsidR="006E0879" w:rsidRPr="00925DF4" w:rsidRDefault="006E0879" w:rsidP="00AB3D40">
            <w:pPr>
              <w:rPr>
                <w:rFonts w:cs="Arial"/>
                <w:color w:val="1D1D1B" w:themeColor="text1"/>
              </w:rPr>
            </w:pPr>
            <w:r>
              <w:rPr>
                <w:rFonts w:cs="Arial"/>
                <w:color w:val="1D1D1B" w:themeColor="text1"/>
              </w:rPr>
              <w:t>H</w:t>
            </w:r>
          </w:p>
        </w:tc>
        <w:tc>
          <w:tcPr>
            <w:tcW w:w="4114" w:type="pct"/>
            <w:tcBorders>
              <w:top w:val="single" w:sz="4" w:space="0" w:color="auto"/>
              <w:left w:val="single" w:sz="4" w:space="0" w:color="auto"/>
              <w:bottom w:val="single" w:sz="4" w:space="0" w:color="auto"/>
              <w:right w:val="single" w:sz="4" w:space="0" w:color="auto"/>
            </w:tcBorders>
            <w:vAlign w:val="center"/>
          </w:tcPr>
          <w:p w14:paraId="31CDC520" w14:textId="77777777" w:rsidR="006E0879" w:rsidRPr="00925DF4" w:rsidRDefault="006E0879" w:rsidP="00AB3D40">
            <w:pPr>
              <w:rPr>
                <w:rFonts w:cs="Arial"/>
                <w:color w:val="1D1D1B" w:themeColor="text1"/>
              </w:rPr>
            </w:pPr>
            <w:r w:rsidRPr="00925DF4">
              <w:rPr>
                <w:rFonts w:cs="Arial"/>
                <w:color w:val="1D1D1B" w:themeColor="text1"/>
              </w:rPr>
              <w:t xml:space="preserve">Government or local government grants, i.e. government funding that is not paid back </w:t>
            </w:r>
          </w:p>
        </w:tc>
        <w:tc>
          <w:tcPr>
            <w:tcW w:w="522" w:type="pct"/>
            <w:tcBorders>
              <w:top w:val="single" w:sz="4" w:space="0" w:color="auto"/>
              <w:left w:val="single" w:sz="4" w:space="0" w:color="auto"/>
              <w:bottom w:val="single" w:sz="4" w:space="0" w:color="auto"/>
              <w:right w:val="single" w:sz="4" w:space="0" w:color="auto"/>
            </w:tcBorders>
          </w:tcPr>
          <w:p w14:paraId="3E10241B" w14:textId="77777777" w:rsidR="006E0879" w:rsidRPr="00925DF4" w:rsidRDefault="006E0879" w:rsidP="00AB3D40">
            <w:pPr>
              <w:pStyle w:val="tabbody"/>
              <w:spacing w:before="40"/>
              <w:rPr>
                <w:color w:val="1D1D1B" w:themeColor="text1"/>
              </w:rPr>
            </w:pPr>
            <w:r>
              <w:rPr>
                <w:color w:val="1D1D1B" w:themeColor="text1"/>
              </w:rPr>
              <w:t>8</w:t>
            </w:r>
          </w:p>
        </w:tc>
      </w:tr>
      <w:tr w:rsidR="006E0879" w:rsidRPr="00925DF4" w14:paraId="2C649CF8" w14:textId="77777777" w:rsidTr="00AB3D40">
        <w:tc>
          <w:tcPr>
            <w:tcW w:w="364" w:type="pct"/>
            <w:tcBorders>
              <w:top w:val="single" w:sz="4" w:space="0" w:color="auto"/>
              <w:left w:val="single" w:sz="4" w:space="0" w:color="auto"/>
              <w:bottom w:val="single" w:sz="4" w:space="0" w:color="auto"/>
              <w:right w:val="single" w:sz="4" w:space="0" w:color="auto"/>
            </w:tcBorders>
          </w:tcPr>
          <w:p w14:paraId="752AD418" w14:textId="77777777" w:rsidR="006E0879" w:rsidRPr="00925DF4" w:rsidRDefault="006E0879" w:rsidP="00AB3D40">
            <w:pPr>
              <w:rPr>
                <w:rFonts w:cs="Arial"/>
                <w:color w:val="1D1D1B" w:themeColor="text1"/>
              </w:rPr>
            </w:pPr>
            <w:r>
              <w:rPr>
                <w:rFonts w:cs="Arial"/>
                <w:color w:val="1D1D1B" w:themeColor="text1"/>
              </w:rPr>
              <w:t>I</w:t>
            </w:r>
          </w:p>
        </w:tc>
        <w:tc>
          <w:tcPr>
            <w:tcW w:w="4114" w:type="pct"/>
            <w:tcBorders>
              <w:top w:val="single" w:sz="4" w:space="0" w:color="auto"/>
              <w:left w:val="single" w:sz="4" w:space="0" w:color="auto"/>
              <w:bottom w:val="single" w:sz="4" w:space="0" w:color="auto"/>
              <w:right w:val="single" w:sz="4" w:space="0" w:color="auto"/>
            </w:tcBorders>
            <w:vAlign w:val="center"/>
          </w:tcPr>
          <w:p w14:paraId="07178240" w14:textId="77777777" w:rsidR="006E0879" w:rsidRPr="00925DF4" w:rsidRDefault="006E0879" w:rsidP="00AB3D40">
            <w:pPr>
              <w:rPr>
                <w:rFonts w:cs="Arial"/>
                <w:color w:val="1D1D1B" w:themeColor="text1"/>
              </w:rPr>
            </w:pPr>
            <w:r w:rsidRPr="00925DF4">
              <w:rPr>
                <w:rFonts w:cs="Arial"/>
                <w:color w:val="1D1D1B" w:themeColor="text1"/>
              </w:rPr>
              <w:t xml:space="preserve">Any other external finance </w:t>
            </w:r>
            <w:r w:rsidRPr="00925DF4">
              <w:rPr>
                <w:rFonts w:cs="Arial"/>
                <w:color w:val="F06603" w:themeColor="accent6"/>
              </w:rPr>
              <w:t>(PLEASE TYPE IN)</w:t>
            </w:r>
          </w:p>
        </w:tc>
        <w:tc>
          <w:tcPr>
            <w:tcW w:w="522" w:type="pct"/>
            <w:tcBorders>
              <w:top w:val="single" w:sz="4" w:space="0" w:color="auto"/>
              <w:left w:val="single" w:sz="4" w:space="0" w:color="auto"/>
              <w:bottom w:val="single" w:sz="4" w:space="0" w:color="auto"/>
              <w:right w:val="single" w:sz="4" w:space="0" w:color="auto"/>
            </w:tcBorders>
          </w:tcPr>
          <w:p w14:paraId="2BEC8986" w14:textId="77777777" w:rsidR="006E0879" w:rsidRPr="00925DF4" w:rsidRDefault="006E0879" w:rsidP="00AB3D40">
            <w:pPr>
              <w:pStyle w:val="tabbody"/>
              <w:spacing w:before="40"/>
              <w:rPr>
                <w:color w:val="1D1D1B" w:themeColor="text1"/>
              </w:rPr>
            </w:pPr>
            <w:r>
              <w:rPr>
                <w:color w:val="1D1D1B" w:themeColor="text1"/>
              </w:rPr>
              <w:t>9</w:t>
            </w:r>
          </w:p>
        </w:tc>
      </w:tr>
      <w:tr w:rsidR="006E0879" w:rsidRPr="00925DF4" w14:paraId="42C82736" w14:textId="77777777" w:rsidTr="00AB3D40">
        <w:tc>
          <w:tcPr>
            <w:tcW w:w="364" w:type="pct"/>
            <w:tcBorders>
              <w:top w:val="single" w:sz="4" w:space="0" w:color="auto"/>
              <w:left w:val="single" w:sz="4" w:space="0" w:color="auto"/>
              <w:bottom w:val="single" w:sz="4" w:space="0" w:color="auto"/>
              <w:right w:val="single" w:sz="4" w:space="0" w:color="auto"/>
            </w:tcBorders>
          </w:tcPr>
          <w:p w14:paraId="2AE68DEB" w14:textId="77777777" w:rsidR="006E0879" w:rsidRPr="00925DF4" w:rsidRDefault="006E0879" w:rsidP="00AB3D40">
            <w:pPr>
              <w:pStyle w:val="tabside"/>
              <w:spacing w:before="40"/>
              <w:rPr>
                <w:color w:val="1D1D1B" w:themeColor="text1"/>
              </w:rPr>
            </w:pPr>
          </w:p>
        </w:tc>
        <w:tc>
          <w:tcPr>
            <w:tcW w:w="4114" w:type="pct"/>
            <w:tcBorders>
              <w:top w:val="single" w:sz="4" w:space="0" w:color="auto"/>
              <w:left w:val="single" w:sz="4" w:space="0" w:color="auto"/>
              <w:bottom w:val="single" w:sz="4" w:space="0" w:color="auto"/>
              <w:right w:val="single" w:sz="4" w:space="0" w:color="auto"/>
            </w:tcBorders>
            <w:hideMark/>
          </w:tcPr>
          <w:p w14:paraId="69DF3035" w14:textId="77777777" w:rsidR="006E0879" w:rsidRPr="00925DF4" w:rsidRDefault="006E0879" w:rsidP="00AB3D40">
            <w:pPr>
              <w:pStyle w:val="tabside"/>
              <w:spacing w:before="40"/>
              <w:rPr>
                <w:color w:val="1D1D1B" w:themeColor="text1"/>
              </w:rPr>
            </w:pPr>
            <w:r w:rsidRPr="00925DF4">
              <w:rPr>
                <w:color w:val="1D1D1B" w:themeColor="text1"/>
              </w:rPr>
              <w:t xml:space="preserve">None of these </w:t>
            </w:r>
          </w:p>
        </w:tc>
        <w:tc>
          <w:tcPr>
            <w:tcW w:w="522" w:type="pct"/>
            <w:tcBorders>
              <w:top w:val="single" w:sz="4" w:space="0" w:color="auto"/>
              <w:left w:val="single" w:sz="4" w:space="0" w:color="auto"/>
              <w:bottom w:val="single" w:sz="4" w:space="0" w:color="auto"/>
              <w:right w:val="single" w:sz="4" w:space="0" w:color="auto"/>
            </w:tcBorders>
            <w:hideMark/>
          </w:tcPr>
          <w:p w14:paraId="3249582B" w14:textId="77777777" w:rsidR="006E0879" w:rsidRPr="00925DF4" w:rsidRDefault="006E0879" w:rsidP="00AB3D40">
            <w:pPr>
              <w:pStyle w:val="tabbody"/>
              <w:spacing w:before="40"/>
              <w:rPr>
                <w:color w:val="1D1D1B" w:themeColor="text1"/>
              </w:rPr>
            </w:pPr>
            <w:r w:rsidRPr="00925DF4">
              <w:rPr>
                <w:color w:val="1D1D1B" w:themeColor="text1"/>
              </w:rPr>
              <w:t>97</w:t>
            </w:r>
          </w:p>
        </w:tc>
      </w:tr>
      <w:tr w:rsidR="006E0879" w:rsidRPr="00925DF4" w14:paraId="2FDAB1EC" w14:textId="77777777" w:rsidTr="00AB3D40">
        <w:tc>
          <w:tcPr>
            <w:tcW w:w="364" w:type="pct"/>
            <w:tcBorders>
              <w:top w:val="single" w:sz="4" w:space="0" w:color="auto"/>
              <w:left w:val="single" w:sz="4" w:space="0" w:color="auto"/>
              <w:bottom w:val="single" w:sz="4" w:space="0" w:color="auto"/>
              <w:right w:val="single" w:sz="4" w:space="0" w:color="auto"/>
            </w:tcBorders>
          </w:tcPr>
          <w:p w14:paraId="1395284C" w14:textId="77777777" w:rsidR="006E0879" w:rsidRPr="00925DF4" w:rsidRDefault="006E0879" w:rsidP="00AB3D40">
            <w:pPr>
              <w:pStyle w:val="tabside"/>
              <w:spacing w:before="40"/>
              <w:rPr>
                <w:color w:val="1D1D1B" w:themeColor="text1"/>
              </w:rPr>
            </w:pPr>
          </w:p>
        </w:tc>
        <w:tc>
          <w:tcPr>
            <w:tcW w:w="4114" w:type="pct"/>
            <w:tcBorders>
              <w:top w:val="single" w:sz="4" w:space="0" w:color="auto"/>
              <w:left w:val="single" w:sz="4" w:space="0" w:color="auto"/>
              <w:bottom w:val="single" w:sz="4" w:space="0" w:color="auto"/>
              <w:right w:val="single" w:sz="4" w:space="0" w:color="auto"/>
            </w:tcBorders>
            <w:hideMark/>
          </w:tcPr>
          <w:p w14:paraId="5C37B1BE" w14:textId="77777777" w:rsidR="006E0879" w:rsidRPr="00925DF4" w:rsidRDefault="006E0879" w:rsidP="00AB3D40">
            <w:pPr>
              <w:pStyle w:val="tabside"/>
              <w:spacing w:before="40"/>
              <w:rPr>
                <w:color w:val="1D1D1B" w:themeColor="text1"/>
              </w:rPr>
            </w:pPr>
            <w:r w:rsidRPr="00925DF4">
              <w:rPr>
                <w:color w:val="1D1D1B" w:themeColor="text1"/>
              </w:rPr>
              <w:t>Don’t know</w:t>
            </w:r>
          </w:p>
        </w:tc>
        <w:tc>
          <w:tcPr>
            <w:tcW w:w="522" w:type="pct"/>
            <w:tcBorders>
              <w:top w:val="single" w:sz="4" w:space="0" w:color="auto"/>
              <w:left w:val="single" w:sz="4" w:space="0" w:color="auto"/>
              <w:bottom w:val="single" w:sz="4" w:space="0" w:color="auto"/>
              <w:right w:val="single" w:sz="4" w:space="0" w:color="auto"/>
            </w:tcBorders>
            <w:hideMark/>
          </w:tcPr>
          <w:p w14:paraId="5FAAA076" w14:textId="77777777" w:rsidR="006E0879" w:rsidRPr="00925DF4" w:rsidRDefault="006E0879" w:rsidP="00AB3D40">
            <w:pPr>
              <w:pStyle w:val="tabbody"/>
              <w:spacing w:before="40"/>
              <w:rPr>
                <w:color w:val="1D1D1B" w:themeColor="text1"/>
              </w:rPr>
            </w:pPr>
            <w:r w:rsidRPr="00925DF4">
              <w:rPr>
                <w:color w:val="1D1D1B" w:themeColor="text1"/>
              </w:rPr>
              <w:t>98</w:t>
            </w:r>
          </w:p>
        </w:tc>
      </w:tr>
      <w:tr w:rsidR="006E0879" w:rsidRPr="00925DF4" w14:paraId="442057DB" w14:textId="77777777" w:rsidTr="00AB3D40">
        <w:tc>
          <w:tcPr>
            <w:tcW w:w="364" w:type="pct"/>
            <w:tcBorders>
              <w:top w:val="single" w:sz="4" w:space="0" w:color="auto"/>
              <w:left w:val="single" w:sz="4" w:space="0" w:color="auto"/>
              <w:bottom w:val="single" w:sz="4" w:space="0" w:color="auto"/>
              <w:right w:val="single" w:sz="4" w:space="0" w:color="auto"/>
            </w:tcBorders>
          </w:tcPr>
          <w:p w14:paraId="73E88984" w14:textId="77777777" w:rsidR="006E0879" w:rsidRPr="00925DF4" w:rsidRDefault="006E0879" w:rsidP="00AB3D40">
            <w:pPr>
              <w:pStyle w:val="tabside"/>
              <w:spacing w:before="40"/>
              <w:rPr>
                <w:color w:val="1D1D1B" w:themeColor="text1"/>
              </w:rPr>
            </w:pPr>
          </w:p>
        </w:tc>
        <w:tc>
          <w:tcPr>
            <w:tcW w:w="4114" w:type="pct"/>
            <w:tcBorders>
              <w:top w:val="single" w:sz="4" w:space="0" w:color="auto"/>
              <w:left w:val="single" w:sz="4" w:space="0" w:color="auto"/>
              <w:bottom w:val="single" w:sz="4" w:space="0" w:color="auto"/>
              <w:right w:val="single" w:sz="4" w:space="0" w:color="auto"/>
            </w:tcBorders>
            <w:hideMark/>
          </w:tcPr>
          <w:p w14:paraId="3AF0848A" w14:textId="77777777" w:rsidR="006E0879" w:rsidRPr="00925DF4" w:rsidRDefault="006E0879" w:rsidP="00AB3D40">
            <w:pPr>
              <w:pStyle w:val="tabside"/>
              <w:spacing w:before="40"/>
              <w:rPr>
                <w:color w:val="1D1D1B" w:themeColor="text1"/>
              </w:rPr>
            </w:pPr>
            <w:r w:rsidRPr="00925DF4">
              <w:rPr>
                <w:color w:val="1D1D1B" w:themeColor="text1"/>
              </w:rPr>
              <w:t>Refused</w:t>
            </w:r>
          </w:p>
        </w:tc>
        <w:tc>
          <w:tcPr>
            <w:tcW w:w="522" w:type="pct"/>
            <w:tcBorders>
              <w:top w:val="single" w:sz="4" w:space="0" w:color="auto"/>
              <w:left w:val="single" w:sz="4" w:space="0" w:color="auto"/>
              <w:bottom w:val="single" w:sz="4" w:space="0" w:color="auto"/>
              <w:right w:val="single" w:sz="4" w:space="0" w:color="auto"/>
            </w:tcBorders>
            <w:hideMark/>
          </w:tcPr>
          <w:p w14:paraId="38197814" w14:textId="77777777" w:rsidR="006E0879" w:rsidRPr="00925DF4" w:rsidRDefault="006E0879" w:rsidP="00AB3D40">
            <w:pPr>
              <w:pStyle w:val="tabbody"/>
              <w:spacing w:before="40"/>
              <w:rPr>
                <w:color w:val="1D1D1B" w:themeColor="text1"/>
              </w:rPr>
            </w:pPr>
            <w:r w:rsidRPr="00925DF4">
              <w:rPr>
                <w:color w:val="1D1D1B" w:themeColor="text1"/>
              </w:rPr>
              <w:t>99</w:t>
            </w:r>
          </w:p>
        </w:tc>
      </w:tr>
    </w:tbl>
    <w:p w14:paraId="27D73611" w14:textId="77777777" w:rsidR="006E0879" w:rsidRDefault="006E0879" w:rsidP="006E0879">
      <w:pPr>
        <w:rPr>
          <w:rFonts w:cs="Arial"/>
          <w:color w:val="FF0000"/>
        </w:rPr>
      </w:pPr>
    </w:p>
    <w:p w14:paraId="0641E4EC" w14:textId="77777777" w:rsidR="006E0879" w:rsidRDefault="006E0879" w:rsidP="006E0879">
      <w:pPr>
        <w:rPr>
          <w:rFonts w:cs="Arial"/>
          <w:color w:val="FF0000"/>
        </w:rPr>
      </w:pPr>
      <w:r>
        <w:rPr>
          <w:rFonts w:cs="Arial"/>
          <w:color w:val="FF0000"/>
        </w:rPr>
        <w:t>SHOW ALL FINANCE TYPES SELECTED AT B4.</w:t>
      </w:r>
    </w:p>
    <w:p w14:paraId="28F7F4CC" w14:textId="77777777" w:rsidR="006E0879" w:rsidRPr="00925DF4" w:rsidRDefault="006E0879" w:rsidP="006E0879">
      <w:pPr>
        <w:pStyle w:val="04ABodyText"/>
        <w:spacing w:before="0" w:after="0" w:line="240" w:lineRule="auto"/>
        <w:rPr>
          <w:rFonts w:ascii="Arial" w:hAnsi="Arial"/>
          <w:color w:val="FF0000"/>
        </w:rPr>
      </w:pPr>
      <w:r w:rsidRPr="00925DF4">
        <w:rPr>
          <w:rFonts w:ascii="Arial" w:hAnsi="Arial"/>
          <w:color w:val="FF0000"/>
        </w:rPr>
        <w:t xml:space="preserve">ASK IF A FINANCE SOURCE WAS IDENTIFIED AT B4 (CODE 1 TO </w:t>
      </w:r>
      <w:r>
        <w:rPr>
          <w:rFonts w:ascii="Arial" w:hAnsi="Arial"/>
          <w:color w:val="FF0000"/>
        </w:rPr>
        <w:t>9</w:t>
      </w:r>
      <w:r w:rsidRPr="00925DF4">
        <w:rPr>
          <w:rFonts w:ascii="Arial" w:hAnsi="Arial"/>
          <w:color w:val="FF0000"/>
        </w:rPr>
        <w:t>)</w:t>
      </w:r>
    </w:p>
    <w:p w14:paraId="4B76FF64" w14:textId="77777777" w:rsidR="006E0879" w:rsidRDefault="006E0879" w:rsidP="006E0879">
      <w:pPr>
        <w:pStyle w:val="04ABodyText"/>
        <w:spacing w:before="0" w:after="0" w:line="240" w:lineRule="auto"/>
        <w:rPr>
          <w:rFonts w:ascii="Arial" w:hAnsi="Arial"/>
          <w:b/>
        </w:rPr>
      </w:pPr>
      <w:r w:rsidRPr="00925DF4">
        <w:rPr>
          <w:rFonts w:ascii="Arial" w:hAnsi="Arial"/>
          <w:b/>
          <w:bCs/>
        </w:rPr>
        <w:t>B6</w:t>
      </w:r>
      <w:r w:rsidRPr="00925DF4">
        <w:rPr>
          <w:rFonts w:ascii="Arial" w:hAnsi="Arial"/>
          <w:b/>
          <w:color w:val="FF0000"/>
        </w:rPr>
        <w:t xml:space="preserve">: </w:t>
      </w:r>
      <w:r w:rsidRPr="00925DF4">
        <w:rPr>
          <w:rFonts w:ascii="Arial" w:hAnsi="Arial"/>
          <w:b/>
        </w:rPr>
        <w:t>Thinking about</w:t>
      </w:r>
      <w:r>
        <w:rPr>
          <w:rFonts w:ascii="Arial" w:hAnsi="Arial"/>
          <w:b/>
        </w:rPr>
        <w:t xml:space="preserve"> all of the external finance that you obtained or could have obtained from other </w:t>
      </w:r>
      <w:r w:rsidRPr="00E66935">
        <w:rPr>
          <w:rFonts w:ascii="Arial" w:hAnsi="Arial"/>
          <w:b/>
          <w:color w:val="auto"/>
        </w:rPr>
        <w:t xml:space="preserve">sources if your application </w:t>
      </w:r>
      <w:r>
        <w:rPr>
          <w:rFonts w:ascii="Arial" w:hAnsi="Arial"/>
          <w:b/>
          <w:color w:val="auto"/>
        </w:rPr>
        <w:t>for finance under</w:t>
      </w:r>
      <w:r w:rsidRPr="00E66935">
        <w:rPr>
          <w:rFonts w:ascii="Arial" w:hAnsi="Arial"/>
          <w:b/>
          <w:color w:val="auto"/>
        </w:rPr>
        <w:t xml:space="preserve"> the Recovery Loan Scheme had been unsuccessful</w:t>
      </w:r>
      <w:r w:rsidRPr="00E919D0">
        <w:rPr>
          <w:rFonts w:ascii="Arial" w:hAnsi="Arial"/>
          <w:b/>
        </w:rPr>
        <w:t>, would this total amount have been sufficient to cover your cash flow needs?</w:t>
      </w:r>
    </w:p>
    <w:p w14:paraId="2F306B88" w14:textId="77777777" w:rsidR="006E0879" w:rsidRPr="00925DF4" w:rsidRDefault="006E0879" w:rsidP="006E0879">
      <w:pPr>
        <w:pStyle w:val="04ABodyText"/>
        <w:spacing w:before="0" w:after="0" w:line="240" w:lineRule="auto"/>
        <w:rPr>
          <w:rFonts w:ascii="Arial" w:hAnsi="Arial"/>
          <w:b/>
        </w:rPr>
      </w:pPr>
      <w:r>
        <w:rPr>
          <w:rFonts w:ascii="Arial" w:hAnsi="Arial"/>
          <w:b/>
        </w:rPr>
        <w:t xml:space="preserve">This includes cash needed to make investments in response to the pandemic. </w:t>
      </w:r>
    </w:p>
    <w:p w14:paraId="6F9A0FD4" w14:textId="77777777" w:rsidR="006E0879" w:rsidRDefault="006E0879" w:rsidP="006E0879">
      <w:pPr>
        <w:pStyle w:val="04ABodyText"/>
        <w:spacing w:before="0" w:after="0" w:line="240" w:lineRule="auto"/>
        <w:rPr>
          <w:rFonts w:ascii="Arial" w:hAnsi="Arial"/>
          <w:b/>
        </w:rPr>
      </w:pPr>
    </w:p>
    <w:p w14:paraId="045E268A" w14:textId="77777777" w:rsidR="006E0879" w:rsidRPr="00925DF4" w:rsidRDefault="006E0879" w:rsidP="006E0879">
      <w:pPr>
        <w:pStyle w:val="04ABodyText"/>
        <w:spacing w:before="0" w:after="0" w:line="240" w:lineRule="auto"/>
        <w:rPr>
          <w:rFonts w:ascii="Arial" w:hAnsi="Arial"/>
          <w:b/>
        </w:rPr>
      </w:pPr>
      <w:r>
        <w:rPr>
          <w:rFonts w:ascii="Arial" w:hAnsi="Arial"/>
          <w:b/>
        </w:rPr>
        <w:t>IF 1 AT B2: This includes any personal funds you have used for business purposes and/or external finance you have successfully applied for prior to applying for external finance from the Recovery Loan Scheme, but after April 6</w:t>
      </w:r>
      <w:r w:rsidRPr="00E66935">
        <w:rPr>
          <w:rFonts w:ascii="Arial" w:hAnsi="Arial"/>
          <w:b/>
          <w:vertAlign w:val="superscript"/>
        </w:rPr>
        <w:t>th</w:t>
      </w:r>
      <w:r>
        <w:rPr>
          <w:rFonts w:ascii="Arial" w:hAnsi="Arial"/>
          <w:b/>
        </w:rPr>
        <w:t xml:space="preserve"> 2021.</w:t>
      </w:r>
    </w:p>
    <w:p w14:paraId="2AF92C9D" w14:textId="77777777" w:rsidR="006E0879" w:rsidRPr="00925DF4" w:rsidRDefault="006E0879" w:rsidP="006E0879">
      <w:pPr>
        <w:pStyle w:val="04ABodyText"/>
        <w:spacing w:before="0" w:after="0" w:line="240" w:lineRule="auto"/>
        <w:rPr>
          <w:rFonts w:ascii="Arial" w:hAnsi="Arial"/>
          <w:b/>
        </w:rPr>
      </w:pPr>
    </w:p>
    <w:p w14:paraId="34314A85" w14:textId="77777777" w:rsidR="006E0879" w:rsidRPr="00925DF4" w:rsidRDefault="006E0879" w:rsidP="006E0879">
      <w:pPr>
        <w:pStyle w:val="04ABodyText"/>
        <w:spacing w:before="0" w:after="0" w:line="240" w:lineRule="auto"/>
        <w:rPr>
          <w:rFonts w:ascii="Arial" w:hAnsi="Arial"/>
          <w:b/>
        </w:rPr>
      </w:pPr>
      <w:r w:rsidRPr="00925DF4">
        <w:rPr>
          <w:rFonts w:ascii="Arial" w:hAnsi="Arial"/>
          <w:b/>
        </w:rPr>
        <w:t xml:space="preserve">Please include any external finance (e.g. bank or non-bank finance) or personal funds from owner(s) and/or any director(s) you could have obtained or used. </w:t>
      </w:r>
    </w:p>
    <w:p w14:paraId="63E48189" w14:textId="76311134" w:rsidR="006E0879" w:rsidRPr="00C31D26" w:rsidRDefault="000824F2" w:rsidP="006E0879">
      <w:pPr>
        <w:rPr>
          <w:rFonts w:cs="Arial"/>
        </w:rPr>
      </w:pPr>
      <w:r>
        <w:rPr>
          <w:rFonts w:cs="Arial"/>
          <w:color w:val="FF0000"/>
        </w:rPr>
        <w:t>R</w:t>
      </w:r>
      <w:r w:rsidR="006E0879" w:rsidRPr="00925DF4">
        <w:rPr>
          <w:rFonts w:cs="Arial"/>
          <w:color w:val="FF0000"/>
        </w:rPr>
        <w:t>EVERSE SCALE.</w:t>
      </w:r>
      <w:r w:rsidR="006E0879" w:rsidRPr="00925DF4">
        <w:rPr>
          <w:rFonts w:cs="Arial"/>
          <w:b/>
          <w:color w:val="FF0000"/>
        </w:rPr>
        <w:t xml:space="preserve"> </w:t>
      </w:r>
      <w:r w:rsidR="006E0879" w:rsidRPr="00925DF4">
        <w:rPr>
          <w:rFonts w:cs="Arial"/>
          <w:color w:val="FF0000"/>
        </w:rPr>
        <w:t xml:space="preserve">SINGLE CODE </w:t>
      </w:r>
      <w:r w:rsidR="006E0879" w:rsidRPr="00925DF4">
        <w:rPr>
          <w:rFonts w:eastAsia="SimSun" w:cs="Arial"/>
          <w:color w:val="FF0000"/>
        </w:rPr>
        <w:t xml:space="preserve">ONLY. </w:t>
      </w:r>
      <w:r w:rsidR="006E0879" w:rsidRPr="00925DF4">
        <w:rPr>
          <w:rFonts w:cs="Arial"/>
          <w:color w:val="F06603" w:themeColor="accent6"/>
        </w:rPr>
        <w:t>READ OUT SCALE.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19"/>
        <w:gridCol w:w="1225"/>
      </w:tblGrid>
      <w:tr w:rsidR="006E0879" w:rsidRPr="00925DF4" w14:paraId="25A5684E"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504A4A4C" w14:textId="77777777" w:rsidR="006E0879" w:rsidRPr="00925DF4" w:rsidRDefault="006E0879" w:rsidP="00AB3D40">
            <w:pPr>
              <w:pStyle w:val="resptext"/>
              <w:tabs>
                <w:tab w:val="left" w:pos="720"/>
              </w:tabs>
              <w:spacing w:before="60"/>
              <w:ind w:left="0"/>
              <w:rPr>
                <w:bCs/>
                <w:strike/>
                <w:color w:val="1D1D1B" w:themeColor="text1"/>
              </w:rPr>
            </w:pPr>
            <w:r w:rsidRPr="00925DF4">
              <w:rPr>
                <w:bCs/>
                <w:color w:val="1D1D1B" w:themeColor="text1"/>
              </w:rPr>
              <w:t xml:space="preserve">Definitely would have covered our cash flow needs </w:t>
            </w:r>
          </w:p>
        </w:tc>
        <w:tc>
          <w:tcPr>
            <w:tcW w:w="604" w:type="pct"/>
            <w:tcBorders>
              <w:top w:val="single" w:sz="4" w:space="0" w:color="auto"/>
              <w:left w:val="single" w:sz="4" w:space="0" w:color="auto"/>
              <w:bottom w:val="single" w:sz="4" w:space="0" w:color="auto"/>
              <w:right w:val="single" w:sz="4" w:space="0" w:color="auto"/>
            </w:tcBorders>
            <w:hideMark/>
          </w:tcPr>
          <w:p w14:paraId="4D11242B"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1</w:t>
            </w:r>
          </w:p>
        </w:tc>
      </w:tr>
      <w:tr w:rsidR="006E0879" w:rsidRPr="00925DF4" w14:paraId="006B40D6" w14:textId="77777777" w:rsidTr="00AB3D40">
        <w:tc>
          <w:tcPr>
            <w:tcW w:w="4396" w:type="pct"/>
            <w:tcBorders>
              <w:top w:val="single" w:sz="4" w:space="0" w:color="auto"/>
              <w:left w:val="single" w:sz="4" w:space="0" w:color="auto"/>
              <w:bottom w:val="single" w:sz="4" w:space="0" w:color="auto"/>
              <w:right w:val="single" w:sz="4" w:space="0" w:color="auto"/>
            </w:tcBorders>
          </w:tcPr>
          <w:p w14:paraId="559F3447" w14:textId="77777777" w:rsidR="006E0879" w:rsidRPr="00925DF4" w:rsidDel="00A836AE" w:rsidRDefault="006E0879" w:rsidP="00AB3D40">
            <w:pPr>
              <w:pStyle w:val="resptext"/>
              <w:tabs>
                <w:tab w:val="left" w:pos="720"/>
              </w:tabs>
              <w:spacing w:before="60"/>
              <w:ind w:left="0"/>
              <w:rPr>
                <w:bCs/>
                <w:color w:val="1D1D1B" w:themeColor="text1"/>
              </w:rPr>
            </w:pPr>
            <w:r w:rsidRPr="00925DF4">
              <w:rPr>
                <w:bCs/>
                <w:color w:val="1D1D1B" w:themeColor="text1"/>
              </w:rPr>
              <w:t xml:space="preserve">Probably would have covered our cash flow needs </w:t>
            </w:r>
          </w:p>
        </w:tc>
        <w:tc>
          <w:tcPr>
            <w:tcW w:w="604" w:type="pct"/>
            <w:tcBorders>
              <w:top w:val="single" w:sz="4" w:space="0" w:color="auto"/>
              <w:left w:val="single" w:sz="4" w:space="0" w:color="auto"/>
              <w:bottom w:val="single" w:sz="4" w:space="0" w:color="auto"/>
              <w:right w:val="single" w:sz="4" w:space="0" w:color="auto"/>
            </w:tcBorders>
          </w:tcPr>
          <w:p w14:paraId="57A56D9F"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2</w:t>
            </w:r>
          </w:p>
        </w:tc>
      </w:tr>
      <w:tr w:rsidR="006E0879" w:rsidRPr="00925DF4" w14:paraId="1267D880" w14:textId="77777777" w:rsidTr="00AB3D40">
        <w:trPr>
          <w:trHeight w:val="85"/>
        </w:trPr>
        <w:tc>
          <w:tcPr>
            <w:tcW w:w="4396" w:type="pct"/>
            <w:tcBorders>
              <w:top w:val="single" w:sz="4" w:space="0" w:color="auto"/>
              <w:left w:val="single" w:sz="4" w:space="0" w:color="auto"/>
              <w:bottom w:val="single" w:sz="4" w:space="0" w:color="auto"/>
              <w:right w:val="single" w:sz="4" w:space="0" w:color="auto"/>
            </w:tcBorders>
          </w:tcPr>
          <w:p w14:paraId="2DA2FD94" w14:textId="77777777" w:rsidR="006E0879" w:rsidRPr="00925DF4" w:rsidRDefault="006E0879" w:rsidP="00AB3D40">
            <w:pPr>
              <w:pStyle w:val="resptext"/>
              <w:tabs>
                <w:tab w:val="left" w:pos="720"/>
              </w:tabs>
              <w:spacing w:before="60"/>
              <w:ind w:left="0"/>
              <w:rPr>
                <w:bCs/>
                <w:strike/>
                <w:color w:val="1D1D1B" w:themeColor="text1"/>
              </w:rPr>
            </w:pPr>
            <w:r w:rsidRPr="00925DF4">
              <w:rPr>
                <w:bCs/>
                <w:color w:val="1D1D1B" w:themeColor="text1"/>
              </w:rPr>
              <w:t xml:space="preserve">Probably would not have covered our cash flow needs </w:t>
            </w:r>
          </w:p>
        </w:tc>
        <w:tc>
          <w:tcPr>
            <w:tcW w:w="604" w:type="pct"/>
            <w:tcBorders>
              <w:top w:val="single" w:sz="4" w:space="0" w:color="auto"/>
              <w:left w:val="single" w:sz="4" w:space="0" w:color="auto"/>
              <w:bottom w:val="single" w:sz="4" w:space="0" w:color="auto"/>
              <w:right w:val="single" w:sz="4" w:space="0" w:color="auto"/>
            </w:tcBorders>
            <w:hideMark/>
          </w:tcPr>
          <w:p w14:paraId="60E6D435"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3</w:t>
            </w:r>
          </w:p>
        </w:tc>
      </w:tr>
      <w:tr w:rsidR="006E0879" w:rsidRPr="00925DF4" w14:paraId="31D38D76" w14:textId="77777777" w:rsidTr="00AB3D40">
        <w:tc>
          <w:tcPr>
            <w:tcW w:w="4396" w:type="pct"/>
            <w:tcBorders>
              <w:top w:val="single" w:sz="4" w:space="0" w:color="auto"/>
              <w:left w:val="single" w:sz="4" w:space="0" w:color="auto"/>
              <w:bottom w:val="single" w:sz="4" w:space="0" w:color="auto"/>
              <w:right w:val="single" w:sz="4" w:space="0" w:color="auto"/>
            </w:tcBorders>
          </w:tcPr>
          <w:p w14:paraId="34E95D33" w14:textId="77777777" w:rsidR="006E0879" w:rsidRPr="00925DF4" w:rsidRDefault="006E0879" w:rsidP="00AB3D40">
            <w:pPr>
              <w:pStyle w:val="resptext"/>
              <w:tabs>
                <w:tab w:val="left" w:pos="720"/>
              </w:tabs>
              <w:spacing w:before="60"/>
              <w:ind w:left="0"/>
              <w:rPr>
                <w:bCs/>
                <w:strike/>
                <w:color w:val="1D1D1B" w:themeColor="text1"/>
              </w:rPr>
            </w:pPr>
            <w:r w:rsidRPr="00925DF4">
              <w:rPr>
                <w:bCs/>
                <w:color w:val="1D1D1B" w:themeColor="text1"/>
              </w:rPr>
              <w:t xml:space="preserve">Definitely would not have covered our cash flow needs </w:t>
            </w:r>
          </w:p>
        </w:tc>
        <w:tc>
          <w:tcPr>
            <w:tcW w:w="604" w:type="pct"/>
            <w:tcBorders>
              <w:top w:val="single" w:sz="4" w:space="0" w:color="auto"/>
              <w:left w:val="single" w:sz="4" w:space="0" w:color="auto"/>
              <w:bottom w:val="single" w:sz="4" w:space="0" w:color="auto"/>
              <w:right w:val="single" w:sz="4" w:space="0" w:color="auto"/>
            </w:tcBorders>
            <w:hideMark/>
          </w:tcPr>
          <w:p w14:paraId="77A937EE"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4</w:t>
            </w:r>
          </w:p>
        </w:tc>
      </w:tr>
      <w:tr w:rsidR="006E0879" w:rsidRPr="00925DF4" w14:paraId="0291166E"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1BE6C634"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Don’t know</w:t>
            </w:r>
          </w:p>
        </w:tc>
        <w:tc>
          <w:tcPr>
            <w:tcW w:w="604" w:type="pct"/>
            <w:tcBorders>
              <w:top w:val="single" w:sz="4" w:space="0" w:color="auto"/>
              <w:left w:val="single" w:sz="4" w:space="0" w:color="auto"/>
              <w:bottom w:val="single" w:sz="4" w:space="0" w:color="auto"/>
              <w:right w:val="single" w:sz="4" w:space="0" w:color="auto"/>
            </w:tcBorders>
            <w:hideMark/>
          </w:tcPr>
          <w:p w14:paraId="7F4E86AA"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98</w:t>
            </w:r>
          </w:p>
        </w:tc>
      </w:tr>
      <w:tr w:rsidR="006E0879" w:rsidRPr="00925DF4" w14:paraId="2C8264DA" w14:textId="77777777" w:rsidTr="00AB3D40">
        <w:tc>
          <w:tcPr>
            <w:tcW w:w="4396" w:type="pct"/>
            <w:tcBorders>
              <w:top w:val="single" w:sz="4" w:space="0" w:color="auto"/>
              <w:left w:val="single" w:sz="4" w:space="0" w:color="auto"/>
              <w:bottom w:val="single" w:sz="4" w:space="0" w:color="auto"/>
              <w:right w:val="single" w:sz="4" w:space="0" w:color="auto"/>
            </w:tcBorders>
            <w:hideMark/>
          </w:tcPr>
          <w:p w14:paraId="13163861"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Refused</w:t>
            </w:r>
          </w:p>
        </w:tc>
        <w:tc>
          <w:tcPr>
            <w:tcW w:w="604" w:type="pct"/>
            <w:tcBorders>
              <w:top w:val="single" w:sz="4" w:space="0" w:color="auto"/>
              <w:left w:val="single" w:sz="4" w:space="0" w:color="auto"/>
              <w:bottom w:val="single" w:sz="4" w:space="0" w:color="auto"/>
              <w:right w:val="single" w:sz="4" w:space="0" w:color="auto"/>
            </w:tcBorders>
            <w:hideMark/>
          </w:tcPr>
          <w:p w14:paraId="567DA07B"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99</w:t>
            </w:r>
          </w:p>
        </w:tc>
      </w:tr>
    </w:tbl>
    <w:p w14:paraId="2163D4B1" w14:textId="77777777" w:rsidR="006E0879" w:rsidRDefault="006E0879" w:rsidP="006E0879">
      <w:pPr>
        <w:rPr>
          <w:rFonts w:cs="Arial"/>
          <w:color w:val="FF0000"/>
        </w:rPr>
      </w:pPr>
    </w:p>
    <w:p w14:paraId="63389C48" w14:textId="77777777" w:rsidR="006E0879" w:rsidRPr="00925DF4" w:rsidRDefault="006E0879" w:rsidP="006E0879">
      <w:pPr>
        <w:rPr>
          <w:rFonts w:cs="Arial"/>
          <w:color w:val="FF0000"/>
        </w:rPr>
      </w:pPr>
      <w:r w:rsidRPr="00925DF4">
        <w:rPr>
          <w:rFonts w:cs="Arial"/>
          <w:color w:val="FF0000"/>
        </w:rPr>
        <w:t xml:space="preserve">ASK IF A FINANCE SOURCE WAS IDENTIFIED AT B4 (CODE 1 TO </w:t>
      </w:r>
      <w:r>
        <w:rPr>
          <w:rFonts w:cs="Arial"/>
          <w:color w:val="FF0000"/>
        </w:rPr>
        <w:t>9</w:t>
      </w:r>
      <w:r w:rsidRPr="00925DF4">
        <w:rPr>
          <w:rFonts w:cs="Arial"/>
          <w:color w:val="FF0000"/>
        </w:rPr>
        <w:t>)</w:t>
      </w:r>
    </w:p>
    <w:p w14:paraId="0DD05505" w14:textId="77777777" w:rsidR="006E0879" w:rsidRPr="00925DF4" w:rsidRDefault="006E0879" w:rsidP="006E0879">
      <w:pPr>
        <w:rPr>
          <w:rFonts w:cs="Arial"/>
          <w:color w:val="FF0000"/>
        </w:rPr>
      </w:pPr>
      <w:r w:rsidRPr="00925DF4">
        <w:rPr>
          <w:rFonts w:cs="Arial"/>
          <w:color w:val="FF0000"/>
        </w:rPr>
        <w:t>ASK B5</w:t>
      </w:r>
      <w:r>
        <w:rPr>
          <w:rFonts w:cs="Arial"/>
          <w:color w:val="FF0000"/>
        </w:rPr>
        <w:t>, B7</w:t>
      </w:r>
      <w:r w:rsidRPr="00925DF4">
        <w:rPr>
          <w:rFonts w:cs="Arial"/>
          <w:color w:val="FF0000"/>
        </w:rPr>
        <w:t>-B</w:t>
      </w:r>
      <w:r>
        <w:rPr>
          <w:rFonts w:cs="Arial"/>
          <w:color w:val="FF0000"/>
        </w:rPr>
        <w:t>9B</w:t>
      </w:r>
      <w:r w:rsidRPr="00925DF4">
        <w:rPr>
          <w:rFonts w:cs="Arial"/>
          <w:color w:val="FF0000"/>
        </w:rPr>
        <w:t xml:space="preserve"> FOR ONE FINANCE TYPE SELECTED AT B4 ONLY, USE ‘LEAST FILLED’ TO ALLOCATE FINANCE TYPES</w:t>
      </w:r>
    </w:p>
    <w:p w14:paraId="0C5A52A6" w14:textId="77777777" w:rsidR="006E0879" w:rsidRPr="00925DF4" w:rsidRDefault="006E0879" w:rsidP="006E0879">
      <w:pPr>
        <w:pStyle w:val="CommentText"/>
        <w:rPr>
          <w:rFonts w:cs="Arial"/>
        </w:rPr>
      </w:pPr>
      <w:r w:rsidRPr="00925DF4">
        <w:rPr>
          <w:rFonts w:cs="Arial"/>
          <w:b/>
        </w:rPr>
        <w:t xml:space="preserve">B5 </w:t>
      </w:r>
      <w:r w:rsidRPr="00925DF4">
        <w:rPr>
          <w:rFonts w:cs="Arial"/>
          <w:b/>
          <w:bCs/>
        </w:rPr>
        <w:t xml:space="preserve">I now want to ask you about </w:t>
      </w:r>
      <w:r>
        <w:rPr>
          <w:rFonts w:cs="Arial"/>
          <w:b/>
          <w:bCs/>
        </w:rPr>
        <w:t>IF MULTIPLE SELECTEDAT B4 ‘one of the types’, IF ONE CODE SELECTED AT B4 ‘the type’</w:t>
      </w:r>
      <w:r w:rsidRPr="00925DF4">
        <w:rPr>
          <w:rFonts w:cs="Arial"/>
          <w:b/>
          <w:bCs/>
        </w:rPr>
        <w:t xml:space="preserve"> of external finance you </w:t>
      </w:r>
      <w:r>
        <w:rPr>
          <w:rFonts w:cs="Arial"/>
          <w:b/>
          <w:bCs/>
        </w:rPr>
        <w:t>IF CODE 1 OR 2 AT B1 AND NOT 1 AT B1 ‘</w:t>
      </w:r>
      <w:r w:rsidRPr="00925DF4">
        <w:rPr>
          <w:rFonts w:cs="Arial"/>
          <w:b/>
          <w:bCs/>
        </w:rPr>
        <w:t>would</w:t>
      </w:r>
      <w:r>
        <w:rPr>
          <w:rFonts w:cs="Arial"/>
          <w:b/>
          <w:bCs/>
        </w:rPr>
        <w:t>’</w:t>
      </w:r>
      <w:r w:rsidRPr="00925DF4">
        <w:rPr>
          <w:rFonts w:cs="Arial"/>
          <w:b/>
          <w:bCs/>
        </w:rPr>
        <w:t xml:space="preserve"> have sought. </w:t>
      </w:r>
      <w:r>
        <w:rPr>
          <w:rFonts w:cs="Arial"/>
          <w:b/>
          <w:bCs/>
        </w:rPr>
        <w:t>Thinking about</w:t>
      </w:r>
      <w:r w:rsidRPr="00925DF4">
        <w:rPr>
          <w:rFonts w:cs="Arial"/>
        </w:rPr>
        <w:t xml:space="preserve"> [</w:t>
      </w:r>
      <w:r w:rsidRPr="00925DF4">
        <w:rPr>
          <w:rFonts w:cs="Arial"/>
          <w:color w:val="FF0000"/>
        </w:rPr>
        <w:t>INSERT FINANCE TYPE FROM B4</w:t>
      </w:r>
      <w:r w:rsidRPr="00925DF4">
        <w:rPr>
          <w:rFonts w:cs="Arial"/>
        </w:rPr>
        <w:t>]</w:t>
      </w:r>
    </w:p>
    <w:p w14:paraId="002155C4" w14:textId="77777777" w:rsidR="006E0879" w:rsidRPr="00925DF4" w:rsidRDefault="006E0879" w:rsidP="006E0879">
      <w:pPr>
        <w:pStyle w:val="04ABodyText"/>
        <w:spacing w:before="0" w:after="0" w:line="240" w:lineRule="auto"/>
        <w:rPr>
          <w:rFonts w:ascii="Arial" w:hAnsi="Arial"/>
          <w:b/>
        </w:rPr>
      </w:pPr>
    </w:p>
    <w:p w14:paraId="19E4012B" w14:textId="77777777" w:rsidR="006E0879" w:rsidRPr="00925DF4" w:rsidRDefault="006E0879" w:rsidP="006E0879">
      <w:pPr>
        <w:pStyle w:val="04ABodyText"/>
        <w:spacing w:before="0" w:after="0" w:line="240" w:lineRule="auto"/>
        <w:rPr>
          <w:rFonts w:ascii="Arial" w:hAnsi="Arial"/>
        </w:rPr>
      </w:pPr>
      <w:r w:rsidRPr="00925DF4">
        <w:rPr>
          <w:rFonts w:ascii="Arial" w:hAnsi="Arial"/>
          <w:bCs/>
          <w:color w:val="FF0000"/>
        </w:rPr>
        <w:t xml:space="preserve">IF </w:t>
      </w:r>
      <w:r>
        <w:rPr>
          <w:rFonts w:ascii="Arial" w:hAnsi="Arial"/>
          <w:bCs/>
          <w:color w:val="FF0000"/>
        </w:rPr>
        <w:t>1</w:t>
      </w:r>
      <w:r w:rsidRPr="00925DF4">
        <w:rPr>
          <w:rFonts w:ascii="Arial" w:hAnsi="Arial"/>
          <w:bCs/>
          <w:color w:val="FF0000"/>
        </w:rPr>
        <w:t xml:space="preserve"> OR </w:t>
      </w:r>
      <w:r>
        <w:rPr>
          <w:rFonts w:ascii="Arial" w:hAnsi="Arial"/>
          <w:bCs/>
          <w:color w:val="FF0000"/>
        </w:rPr>
        <w:t>2</w:t>
      </w:r>
      <w:r w:rsidRPr="00925DF4">
        <w:rPr>
          <w:rFonts w:ascii="Arial" w:hAnsi="Arial"/>
          <w:bCs/>
          <w:color w:val="FF0000"/>
        </w:rPr>
        <w:t xml:space="preserve"> AT B1</w:t>
      </w:r>
      <w:r w:rsidRPr="00925DF4">
        <w:rPr>
          <w:rFonts w:ascii="Arial" w:hAnsi="Arial"/>
          <w:bCs/>
        </w:rPr>
        <w:t>:</w:t>
      </w:r>
      <w:r w:rsidRPr="00925DF4">
        <w:rPr>
          <w:rFonts w:ascii="Arial" w:hAnsi="Arial"/>
          <w:b/>
          <w:bCs/>
        </w:rPr>
        <w:t>To what extent do you think you would have been successful in obtaining this external finance from elsewhere?</w:t>
      </w:r>
      <w:r w:rsidRPr="00925DF4">
        <w:rPr>
          <w:rFonts w:ascii="Arial" w:hAnsi="Arial"/>
        </w:rPr>
        <w:t xml:space="preserve"> </w:t>
      </w:r>
      <w:r>
        <w:rPr>
          <w:rFonts w:ascii="Arial" w:hAnsi="Arial"/>
        </w:rPr>
        <w:t>SHOW CODES 1 TO 4</w:t>
      </w:r>
    </w:p>
    <w:p w14:paraId="5B0D949B" w14:textId="77777777" w:rsidR="006E0879" w:rsidRPr="00925DF4" w:rsidRDefault="006E0879" w:rsidP="006E0879">
      <w:pPr>
        <w:pStyle w:val="04ABodyText"/>
        <w:spacing w:before="0" w:after="0" w:line="240" w:lineRule="auto"/>
        <w:rPr>
          <w:rFonts w:ascii="Arial" w:hAnsi="Arial"/>
          <w:color w:val="FF0000"/>
        </w:rPr>
      </w:pPr>
      <w:r w:rsidRPr="00925DF4">
        <w:rPr>
          <w:rFonts w:ascii="Arial" w:hAnsi="Arial"/>
          <w:color w:val="FF0000"/>
        </w:rPr>
        <w:t>IF BOTH B1 AND B2 APPLY, USE WORDING FOR B2</w:t>
      </w:r>
    </w:p>
    <w:p w14:paraId="330AD92E" w14:textId="77777777" w:rsidR="006E0879" w:rsidRPr="00925DF4" w:rsidRDefault="006E0879" w:rsidP="006E0879">
      <w:pPr>
        <w:pStyle w:val="04ABodyText"/>
        <w:spacing w:before="0" w:after="0" w:line="240" w:lineRule="auto"/>
        <w:rPr>
          <w:rFonts w:ascii="Arial" w:hAnsi="Arial"/>
        </w:rPr>
      </w:pPr>
      <w:r w:rsidRPr="00925DF4">
        <w:rPr>
          <w:rFonts w:ascii="Arial" w:hAnsi="Arial"/>
          <w:color w:val="FF0000"/>
        </w:rPr>
        <w:t xml:space="preserve">IF 1 AT B2: </w:t>
      </w:r>
      <w:r w:rsidRPr="00925DF4">
        <w:rPr>
          <w:rFonts w:ascii="Arial" w:hAnsi="Arial"/>
          <w:b/>
          <w:bCs/>
        </w:rPr>
        <w:t>Were you successful in obtaining this external finance from elsewhere?</w:t>
      </w:r>
      <w:r>
        <w:rPr>
          <w:rFonts w:ascii="Arial" w:hAnsi="Arial"/>
          <w:b/>
          <w:bCs/>
        </w:rPr>
        <w:t xml:space="preserve"> </w:t>
      </w:r>
      <w:r w:rsidRPr="009E11F8">
        <w:rPr>
          <w:rFonts w:ascii="Arial" w:hAnsi="Arial"/>
        </w:rPr>
        <w:t>SHOW CODES 1 AND 4 ONLY</w:t>
      </w:r>
    </w:p>
    <w:p w14:paraId="423A81B8" w14:textId="77777777" w:rsidR="006E0879" w:rsidRPr="00925DF4" w:rsidRDefault="006E0879" w:rsidP="006E0879">
      <w:pPr>
        <w:pStyle w:val="04ABodyText"/>
        <w:spacing w:before="0" w:after="0" w:line="240" w:lineRule="auto"/>
        <w:rPr>
          <w:rFonts w:ascii="Arial" w:hAnsi="Arial"/>
        </w:rPr>
      </w:pPr>
    </w:p>
    <w:p w14:paraId="598F38AC" w14:textId="77777777" w:rsidR="006E0879" w:rsidRPr="00925DF4" w:rsidRDefault="006E0879" w:rsidP="006E0879">
      <w:pPr>
        <w:pStyle w:val="04ABodyText"/>
        <w:spacing w:before="0" w:after="0" w:line="240" w:lineRule="auto"/>
        <w:rPr>
          <w:rFonts w:ascii="Arial" w:hAnsi="Arial"/>
        </w:rPr>
      </w:pPr>
      <w:r w:rsidRPr="00925DF4">
        <w:rPr>
          <w:rFonts w:ascii="Arial" w:hAnsi="Arial"/>
          <w:color w:val="FF0000"/>
        </w:rPr>
        <w:t xml:space="preserve">REVERSE SCALE. SINGLE CODE </w:t>
      </w:r>
      <w:r w:rsidRPr="00925DF4">
        <w:rPr>
          <w:rFonts w:ascii="Arial" w:eastAsia="SimSun" w:hAnsi="Arial"/>
          <w:color w:val="FF0000"/>
        </w:rPr>
        <w:t xml:space="preserve">ONLY. </w:t>
      </w:r>
      <w:r w:rsidRPr="00925DF4">
        <w:rPr>
          <w:rFonts w:ascii="Arial" w:hAnsi="Arial"/>
          <w:color w:val="F06603" w:themeColor="accent6"/>
        </w:rPr>
        <w:t>READ OUT SCALE.</w:t>
      </w:r>
    </w:p>
    <w:p w14:paraId="667E0D9A" w14:textId="77777777" w:rsidR="006E0879" w:rsidRPr="00925DF4" w:rsidRDefault="006E0879" w:rsidP="006E0879">
      <w:pPr>
        <w:pStyle w:val="04ABodyText"/>
        <w:spacing w:before="0" w:after="0" w:line="240" w:lineRule="auto"/>
        <w:rPr>
          <w:rFonts w:ascii="Arial" w:hAnsi="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1"/>
        <w:gridCol w:w="1223"/>
      </w:tblGrid>
      <w:tr w:rsidR="006E0879" w:rsidRPr="00925DF4" w14:paraId="79B5E6CE" w14:textId="77777777" w:rsidTr="00AB3D40">
        <w:tc>
          <w:tcPr>
            <w:tcW w:w="4397" w:type="pct"/>
            <w:tcBorders>
              <w:top w:val="single" w:sz="4" w:space="0" w:color="auto"/>
              <w:left w:val="single" w:sz="4" w:space="0" w:color="auto"/>
              <w:bottom w:val="single" w:sz="4" w:space="0" w:color="auto"/>
              <w:right w:val="single" w:sz="4" w:space="0" w:color="auto"/>
            </w:tcBorders>
            <w:hideMark/>
          </w:tcPr>
          <w:p w14:paraId="0CDCB519" w14:textId="77777777" w:rsidR="006E0879" w:rsidRPr="00925DF4" w:rsidRDefault="006E0879" w:rsidP="00AB3D40">
            <w:pPr>
              <w:pStyle w:val="resptext"/>
              <w:tabs>
                <w:tab w:val="left" w:pos="720"/>
              </w:tabs>
              <w:spacing w:before="60"/>
              <w:ind w:left="0"/>
              <w:rPr>
                <w:bCs/>
                <w:strike/>
                <w:color w:val="1D1D1B" w:themeColor="text1"/>
              </w:rPr>
            </w:pPr>
            <w:r w:rsidRPr="00925DF4">
              <w:rPr>
                <w:bCs/>
                <w:color w:val="1D1D1B" w:themeColor="text1"/>
              </w:rPr>
              <w:t xml:space="preserve">Definitely would have </w:t>
            </w:r>
            <w:r w:rsidRPr="00925DF4">
              <w:t xml:space="preserve">been successful in raising external </w:t>
            </w:r>
            <w:r w:rsidRPr="00925DF4">
              <w:rPr>
                <w:bCs/>
                <w:color w:val="1D1D1B" w:themeColor="text1"/>
              </w:rPr>
              <w:t xml:space="preserve">finance from </w:t>
            </w:r>
            <w:r>
              <w:rPr>
                <w:bCs/>
                <w:color w:val="1D1D1B" w:themeColor="text1"/>
              </w:rPr>
              <w:t>this source</w:t>
            </w:r>
            <w:r w:rsidRPr="00925DF4">
              <w:rPr>
                <w:bCs/>
                <w:color w:val="1D1D1B" w:themeColor="text1"/>
              </w:rPr>
              <w:t xml:space="preserve"> [</w:t>
            </w:r>
            <w:r w:rsidRPr="00925DF4">
              <w:rPr>
                <w:bCs/>
                <w:color w:val="FF0000"/>
              </w:rPr>
              <w:t xml:space="preserve">IF 1 AT B2: </w:t>
            </w:r>
            <w:r w:rsidRPr="00925DF4">
              <w:rPr>
                <w:bCs/>
                <w:color w:val="1D1D1B" w:themeColor="text1"/>
              </w:rPr>
              <w:t xml:space="preserve">I was successful </w:t>
            </w:r>
            <w:r w:rsidRPr="00925DF4">
              <w:t xml:space="preserve">in raising external </w:t>
            </w:r>
            <w:r w:rsidRPr="00925DF4">
              <w:rPr>
                <w:bCs/>
                <w:color w:val="1D1D1B" w:themeColor="text1"/>
              </w:rPr>
              <w:t xml:space="preserve">finance from </w:t>
            </w:r>
            <w:r>
              <w:rPr>
                <w:bCs/>
                <w:color w:val="1D1D1B" w:themeColor="text1"/>
              </w:rPr>
              <w:t>this source</w:t>
            </w:r>
            <w:r w:rsidRPr="00925DF4">
              <w:rPr>
                <w:bCs/>
                <w:color w:val="1D1D1B" w:themeColor="text1"/>
              </w:rPr>
              <w:t>]</w:t>
            </w:r>
          </w:p>
        </w:tc>
        <w:tc>
          <w:tcPr>
            <w:tcW w:w="603" w:type="pct"/>
            <w:tcBorders>
              <w:top w:val="single" w:sz="4" w:space="0" w:color="auto"/>
              <w:left w:val="single" w:sz="4" w:space="0" w:color="auto"/>
              <w:bottom w:val="single" w:sz="4" w:space="0" w:color="auto"/>
              <w:right w:val="single" w:sz="4" w:space="0" w:color="auto"/>
            </w:tcBorders>
            <w:hideMark/>
          </w:tcPr>
          <w:p w14:paraId="0A1C45FE"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1</w:t>
            </w:r>
          </w:p>
        </w:tc>
      </w:tr>
      <w:tr w:rsidR="006E0879" w:rsidRPr="00925DF4" w14:paraId="3A0AC417" w14:textId="77777777" w:rsidTr="00AB3D40">
        <w:trPr>
          <w:trHeight w:val="85"/>
        </w:trPr>
        <w:tc>
          <w:tcPr>
            <w:tcW w:w="4397" w:type="pct"/>
            <w:tcBorders>
              <w:top w:val="single" w:sz="4" w:space="0" w:color="auto"/>
              <w:left w:val="single" w:sz="4" w:space="0" w:color="auto"/>
              <w:bottom w:val="single" w:sz="4" w:space="0" w:color="auto"/>
              <w:right w:val="single" w:sz="4" w:space="0" w:color="auto"/>
            </w:tcBorders>
            <w:hideMark/>
          </w:tcPr>
          <w:p w14:paraId="52645C41" w14:textId="77777777" w:rsidR="006E0879" w:rsidRPr="00925DF4" w:rsidRDefault="006E0879" w:rsidP="00AB3D40">
            <w:pPr>
              <w:pStyle w:val="resptext"/>
              <w:tabs>
                <w:tab w:val="left" w:pos="720"/>
              </w:tabs>
              <w:spacing w:before="60"/>
              <w:ind w:left="0"/>
              <w:rPr>
                <w:bCs/>
                <w:strike/>
                <w:color w:val="1D1D1B" w:themeColor="text1"/>
              </w:rPr>
            </w:pPr>
            <w:r w:rsidRPr="00925DF4">
              <w:rPr>
                <w:bCs/>
                <w:color w:val="1D1D1B" w:themeColor="text1"/>
              </w:rPr>
              <w:t xml:space="preserve">Probably would have </w:t>
            </w:r>
            <w:r w:rsidRPr="00925DF4">
              <w:t>been successful in raising external</w:t>
            </w:r>
            <w:r w:rsidRPr="00925DF4">
              <w:rPr>
                <w:bCs/>
                <w:color w:val="1D1D1B" w:themeColor="text1"/>
              </w:rPr>
              <w:t xml:space="preserve"> finance from </w:t>
            </w:r>
            <w:r>
              <w:rPr>
                <w:bCs/>
                <w:color w:val="1D1D1B" w:themeColor="text1"/>
              </w:rPr>
              <w:t>this source</w:t>
            </w:r>
          </w:p>
        </w:tc>
        <w:tc>
          <w:tcPr>
            <w:tcW w:w="603" w:type="pct"/>
            <w:tcBorders>
              <w:top w:val="single" w:sz="4" w:space="0" w:color="auto"/>
              <w:left w:val="single" w:sz="4" w:space="0" w:color="auto"/>
              <w:bottom w:val="single" w:sz="4" w:space="0" w:color="auto"/>
              <w:right w:val="single" w:sz="4" w:space="0" w:color="auto"/>
            </w:tcBorders>
            <w:hideMark/>
          </w:tcPr>
          <w:p w14:paraId="6F340759"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2</w:t>
            </w:r>
          </w:p>
        </w:tc>
      </w:tr>
      <w:tr w:rsidR="006E0879" w:rsidRPr="00925DF4" w14:paraId="14E75F5F" w14:textId="77777777" w:rsidTr="00AB3D40">
        <w:tc>
          <w:tcPr>
            <w:tcW w:w="4397" w:type="pct"/>
            <w:tcBorders>
              <w:top w:val="single" w:sz="4" w:space="0" w:color="auto"/>
              <w:left w:val="single" w:sz="4" w:space="0" w:color="auto"/>
              <w:bottom w:val="single" w:sz="4" w:space="0" w:color="auto"/>
              <w:right w:val="single" w:sz="4" w:space="0" w:color="auto"/>
            </w:tcBorders>
            <w:hideMark/>
          </w:tcPr>
          <w:p w14:paraId="4A11696A" w14:textId="77777777" w:rsidR="006E0879" w:rsidRPr="00925DF4" w:rsidRDefault="006E0879" w:rsidP="00AB3D40">
            <w:pPr>
              <w:pStyle w:val="resptext"/>
              <w:tabs>
                <w:tab w:val="left" w:pos="720"/>
              </w:tabs>
              <w:spacing w:before="60"/>
              <w:ind w:left="0"/>
              <w:rPr>
                <w:bCs/>
                <w:strike/>
                <w:color w:val="1D1D1B" w:themeColor="text1"/>
              </w:rPr>
            </w:pPr>
            <w:r w:rsidRPr="00925DF4">
              <w:rPr>
                <w:bCs/>
                <w:color w:val="1D1D1B" w:themeColor="text1"/>
              </w:rPr>
              <w:t xml:space="preserve">Probably would not have </w:t>
            </w:r>
            <w:r w:rsidRPr="00925DF4">
              <w:t>been successful in raising</w:t>
            </w:r>
            <w:r w:rsidRPr="00925DF4">
              <w:rPr>
                <w:bCs/>
                <w:color w:val="1D1D1B" w:themeColor="text1"/>
              </w:rPr>
              <w:t xml:space="preserve"> </w:t>
            </w:r>
            <w:r w:rsidRPr="00925DF4">
              <w:t>external</w:t>
            </w:r>
            <w:r w:rsidRPr="00925DF4">
              <w:rPr>
                <w:bCs/>
                <w:color w:val="1D1D1B" w:themeColor="text1"/>
              </w:rPr>
              <w:t xml:space="preserve"> finance from </w:t>
            </w:r>
            <w:r>
              <w:rPr>
                <w:bCs/>
                <w:color w:val="1D1D1B" w:themeColor="text1"/>
              </w:rPr>
              <w:t>this source</w:t>
            </w:r>
          </w:p>
        </w:tc>
        <w:tc>
          <w:tcPr>
            <w:tcW w:w="603" w:type="pct"/>
            <w:tcBorders>
              <w:top w:val="single" w:sz="4" w:space="0" w:color="auto"/>
              <w:left w:val="single" w:sz="4" w:space="0" w:color="auto"/>
              <w:bottom w:val="single" w:sz="4" w:space="0" w:color="auto"/>
              <w:right w:val="single" w:sz="4" w:space="0" w:color="auto"/>
            </w:tcBorders>
            <w:hideMark/>
          </w:tcPr>
          <w:p w14:paraId="1905F727"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3</w:t>
            </w:r>
          </w:p>
        </w:tc>
      </w:tr>
      <w:tr w:rsidR="006E0879" w:rsidRPr="00925DF4" w14:paraId="2440E7BD" w14:textId="77777777" w:rsidTr="00AB3D40">
        <w:tc>
          <w:tcPr>
            <w:tcW w:w="4397" w:type="pct"/>
            <w:tcBorders>
              <w:top w:val="single" w:sz="4" w:space="0" w:color="auto"/>
              <w:left w:val="single" w:sz="4" w:space="0" w:color="auto"/>
              <w:bottom w:val="single" w:sz="4" w:space="0" w:color="auto"/>
              <w:right w:val="single" w:sz="4" w:space="0" w:color="auto"/>
            </w:tcBorders>
            <w:hideMark/>
          </w:tcPr>
          <w:p w14:paraId="0B428EF0"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 xml:space="preserve">Definitely would not have </w:t>
            </w:r>
            <w:r w:rsidRPr="00925DF4">
              <w:t>been successful in raising</w:t>
            </w:r>
            <w:r w:rsidRPr="00925DF4">
              <w:rPr>
                <w:bCs/>
                <w:color w:val="1D1D1B" w:themeColor="text1"/>
              </w:rPr>
              <w:t xml:space="preserve"> </w:t>
            </w:r>
            <w:r w:rsidRPr="00925DF4">
              <w:t>external</w:t>
            </w:r>
            <w:r w:rsidRPr="00925DF4">
              <w:rPr>
                <w:bCs/>
                <w:color w:val="1D1D1B" w:themeColor="text1"/>
              </w:rPr>
              <w:t xml:space="preserve"> finance from </w:t>
            </w:r>
            <w:r>
              <w:rPr>
                <w:bCs/>
                <w:color w:val="1D1D1B" w:themeColor="text1"/>
              </w:rPr>
              <w:t>this source</w:t>
            </w:r>
            <w:r w:rsidRPr="00925DF4">
              <w:rPr>
                <w:bCs/>
                <w:color w:val="FF0000"/>
              </w:rPr>
              <w:t xml:space="preserve">IF 1 AT B2: </w:t>
            </w:r>
            <w:r w:rsidRPr="00925DF4">
              <w:rPr>
                <w:bCs/>
                <w:color w:val="1D1D1B" w:themeColor="text1"/>
              </w:rPr>
              <w:t>I was unsuccessful]</w:t>
            </w:r>
          </w:p>
        </w:tc>
        <w:tc>
          <w:tcPr>
            <w:tcW w:w="603" w:type="pct"/>
            <w:tcBorders>
              <w:top w:val="single" w:sz="4" w:space="0" w:color="auto"/>
              <w:left w:val="single" w:sz="4" w:space="0" w:color="auto"/>
              <w:bottom w:val="single" w:sz="4" w:space="0" w:color="auto"/>
              <w:right w:val="single" w:sz="4" w:space="0" w:color="auto"/>
            </w:tcBorders>
            <w:hideMark/>
          </w:tcPr>
          <w:p w14:paraId="13725559"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4</w:t>
            </w:r>
          </w:p>
        </w:tc>
      </w:tr>
      <w:tr w:rsidR="006E0879" w:rsidRPr="00925DF4" w14:paraId="7847B154" w14:textId="77777777" w:rsidTr="00AB3D40">
        <w:tc>
          <w:tcPr>
            <w:tcW w:w="4397" w:type="pct"/>
            <w:tcBorders>
              <w:top w:val="single" w:sz="4" w:space="0" w:color="auto"/>
              <w:left w:val="single" w:sz="4" w:space="0" w:color="auto"/>
              <w:bottom w:val="single" w:sz="4" w:space="0" w:color="auto"/>
              <w:right w:val="single" w:sz="4" w:space="0" w:color="auto"/>
            </w:tcBorders>
            <w:hideMark/>
          </w:tcPr>
          <w:p w14:paraId="6906FE2C"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Don’t know</w:t>
            </w:r>
          </w:p>
        </w:tc>
        <w:tc>
          <w:tcPr>
            <w:tcW w:w="603" w:type="pct"/>
            <w:tcBorders>
              <w:top w:val="single" w:sz="4" w:space="0" w:color="auto"/>
              <w:left w:val="single" w:sz="4" w:space="0" w:color="auto"/>
              <w:bottom w:val="single" w:sz="4" w:space="0" w:color="auto"/>
              <w:right w:val="single" w:sz="4" w:space="0" w:color="auto"/>
            </w:tcBorders>
            <w:hideMark/>
          </w:tcPr>
          <w:p w14:paraId="4C51C6E2"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98</w:t>
            </w:r>
          </w:p>
        </w:tc>
      </w:tr>
      <w:tr w:rsidR="006E0879" w:rsidRPr="00925DF4" w14:paraId="30301FF2" w14:textId="77777777" w:rsidTr="00AB3D40">
        <w:tc>
          <w:tcPr>
            <w:tcW w:w="4397" w:type="pct"/>
            <w:tcBorders>
              <w:top w:val="single" w:sz="4" w:space="0" w:color="auto"/>
              <w:left w:val="single" w:sz="4" w:space="0" w:color="auto"/>
              <w:bottom w:val="single" w:sz="4" w:space="0" w:color="auto"/>
              <w:right w:val="single" w:sz="4" w:space="0" w:color="auto"/>
            </w:tcBorders>
            <w:hideMark/>
          </w:tcPr>
          <w:p w14:paraId="716ACC90"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Refused</w:t>
            </w:r>
          </w:p>
        </w:tc>
        <w:tc>
          <w:tcPr>
            <w:tcW w:w="603" w:type="pct"/>
            <w:tcBorders>
              <w:top w:val="single" w:sz="4" w:space="0" w:color="auto"/>
              <w:left w:val="single" w:sz="4" w:space="0" w:color="auto"/>
              <w:bottom w:val="single" w:sz="4" w:space="0" w:color="auto"/>
              <w:right w:val="single" w:sz="4" w:space="0" w:color="auto"/>
            </w:tcBorders>
            <w:hideMark/>
          </w:tcPr>
          <w:p w14:paraId="2936A3A1"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99</w:t>
            </w:r>
          </w:p>
        </w:tc>
      </w:tr>
    </w:tbl>
    <w:p w14:paraId="41465331" w14:textId="77777777" w:rsidR="006E0879" w:rsidRDefault="006E0879" w:rsidP="006E0879">
      <w:pPr>
        <w:rPr>
          <w:rFonts w:cs="Arial"/>
          <w:color w:val="FF0000"/>
        </w:rPr>
      </w:pPr>
      <w:bookmarkStart w:id="89" w:name="_Hlk82690706"/>
    </w:p>
    <w:p w14:paraId="41F25531" w14:textId="77777777" w:rsidR="006E0879" w:rsidRPr="00925DF4" w:rsidRDefault="006E0879" w:rsidP="006E0879">
      <w:pPr>
        <w:rPr>
          <w:rFonts w:cs="Arial"/>
          <w:bCs/>
          <w:color w:val="FF0000"/>
        </w:rPr>
      </w:pPr>
      <w:r w:rsidRPr="00925DF4">
        <w:rPr>
          <w:rFonts w:cs="Arial"/>
          <w:color w:val="FF0000"/>
        </w:rPr>
        <w:t xml:space="preserve">ASK IF A FINANCE SOURCE WAS IDENTIFIED AT B4 (CODE 1 TO </w:t>
      </w:r>
      <w:r>
        <w:rPr>
          <w:rFonts w:cs="Arial"/>
          <w:color w:val="FF0000"/>
        </w:rPr>
        <w:t>9</w:t>
      </w:r>
      <w:r w:rsidRPr="00925DF4">
        <w:rPr>
          <w:rFonts w:cs="Arial"/>
          <w:color w:val="FF0000"/>
        </w:rPr>
        <w:t>)</w:t>
      </w:r>
      <w:bookmarkStart w:id="90" w:name="_Hlk73604337"/>
      <w:r w:rsidRPr="00925DF4">
        <w:rPr>
          <w:rFonts w:cs="Arial"/>
          <w:color w:val="FF0000"/>
        </w:rPr>
        <w:t xml:space="preserve"> </w:t>
      </w:r>
      <w:r>
        <w:rPr>
          <w:rFonts w:cs="Arial"/>
          <w:color w:val="FF0000"/>
        </w:rPr>
        <w:t xml:space="preserve">AND </w:t>
      </w:r>
      <w:r w:rsidRPr="00925DF4">
        <w:rPr>
          <w:rFonts w:cs="Arial"/>
          <w:color w:val="FF0000"/>
        </w:rPr>
        <w:t>IF</w:t>
      </w:r>
      <w:r w:rsidRPr="00925DF4">
        <w:rPr>
          <w:rFonts w:cs="Arial"/>
          <w:bCs/>
          <w:color w:val="FF0000"/>
        </w:rPr>
        <w:t xml:space="preserve"> CODE</w:t>
      </w:r>
      <w:r>
        <w:rPr>
          <w:rFonts w:cs="Arial"/>
          <w:bCs/>
          <w:color w:val="FF0000"/>
        </w:rPr>
        <w:t xml:space="preserve"> 1</w:t>
      </w:r>
      <w:r w:rsidRPr="00925DF4">
        <w:rPr>
          <w:rFonts w:cs="Arial"/>
          <w:bCs/>
          <w:color w:val="FF0000"/>
        </w:rPr>
        <w:t xml:space="preserve"> OR </w:t>
      </w:r>
      <w:r>
        <w:rPr>
          <w:rFonts w:cs="Arial"/>
          <w:bCs/>
          <w:color w:val="FF0000"/>
        </w:rPr>
        <w:t>2</w:t>
      </w:r>
      <w:r w:rsidRPr="00925DF4">
        <w:rPr>
          <w:rFonts w:cs="Arial"/>
          <w:bCs/>
          <w:color w:val="FF0000"/>
        </w:rPr>
        <w:t xml:space="preserve"> </w:t>
      </w:r>
      <w:bookmarkEnd w:id="89"/>
      <w:r w:rsidRPr="00925DF4">
        <w:rPr>
          <w:rFonts w:cs="Arial"/>
          <w:bCs/>
          <w:color w:val="FF0000"/>
        </w:rPr>
        <w:t>AT B1</w:t>
      </w:r>
    </w:p>
    <w:p w14:paraId="0E4232AC" w14:textId="7FE8D45B" w:rsidR="006E0879" w:rsidRPr="00925DF4" w:rsidRDefault="006E0879" w:rsidP="006E0879">
      <w:pPr>
        <w:rPr>
          <w:rFonts w:cs="Arial"/>
          <w:color w:val="F06603" w:themeColor="accent6"/>
        </w:rPr>
      </w:pPr>
      <w:r w:rsidRPr="00925DF4">
        <w:rPr>
          <w:rFonts w:cs="Arial"/>
          <w:bCs/>
        </w:rPr>
        <w:t>B</w:t>
      </w:r>
      <w:r>
        <w:rPr>
          <w:rFonts w:cs="Arial"/>
          <w:bCs/>
        </w:rPr>
        <w:t>10</w:t>
      </w:r>
      <w:r w:rsidRPr="00925DF4">
        <w:rPr>
          <w:rFonts w:cs="Arial"/>
          <w:bCs/>
        </w:rPr>
        <w:t>.</w:t>
      </w:r>
      <w:r>
        <w:rPr>
          <w:rFonts w:cs="Arial"/>
          <w:b/>
        </w:rPr>
        <w:t xml:space="preserve"> Think about the finance you received from the Recovery Loan Scheme in comparison to</w:t>
      </w:r>
      <w:r w:rsidRPr="00925DF4">
        <w:rPr>
          <w:rFonts w:cs="Arial"/>
          <w:bCs/>
        </w:rPr>
        <w:t xml:space="preserve"> </w:t>
      </w:r>
      <w:r w:rsidRPr="00450576">
        <w:rPr>
          <w:rFonts w:cs="Arial"/>
          <w:b/>
          <w:bCs/>
        </w:rPr>
        <w:t>the finance</w:t>
      </w:r>
      <w:r w:rsidRPr="00450576">
        <w:rPr>
          <w:rFonts w:cs="Arial"/>
        </w:rPr>
        <w:t xml:space="preserve"> </w:t>
      </w:r>
      <w:r w:rsidRPr="00450576">
        <w:rPr>
          <w:rFonts w:cs="Arial"/>
          <w:b/>
          <w:bCs/>
        </w:rPr>
        <w:t xml:space="preserve">that you would have applied for if your application for </w:t>
      </w:r>
      <w:r>
        <w:rPr>
          <w:rFonts w:cs="Arial"/>
          <w:b/>
          <w:bCs/>
        </w:rPr>
        <w:t>finance</w:t>
      </w:r>
      <w:r w:rsidRPr="00450576">
        <w:rPr>
          <w:rFonts w:cs="Arial"/>
          <w:b/>
          <w:bCs/>
        </w:rPr>
        <w:t xml:space="preserve"> covered by the Recovery Loan Scheme had been unsuccessful</w:t>
      </w:r>
      <w:r>
        <w:rPr>
          <w:rFonts w:cs="Arial"/>
          <w:b/>
          <w:bCs/>
        </w:rPr>
        <w:t>. Do you think that any of the following apply to the finance you received under the Recovery Loan Scheme relative to that other finance</w:t>
      </w:r>
      <w:r w:rsidRPr="008A2343">
        <w:rPr>
          <w:rFonts w:cs="Arial"/>
          <w:b/>
          <w:bCs/>
        </w:rPr>
        <w:t>?</w:t>
      </w:r>
      <w:r w:rsidRPr="00925DF4">
        <w:rPr>
          <w:rFonts w:cs="Arial"/>
        </w:rPr>
        <w:t xml:space="preserve"> </w:t>
      </w:r>
      <w:r w:rsidRPr="00104E31">
        <w:rPr>
          <w:rFonts w:cs="Arial"/>
          <w:color w:val="FF0000"/>
        </w:rPr>
        <w:t xml:space="preserve">CATI ONLY: </w:t>
      </w:r>
      <w:r w:rsidRPr="00925DF4">
        <w:rPr>
          <w:rFonts w:cs="Arial"/>
        </w:rPr>
        <w:t xml:space="preserve">DO NOT PROMPT. PROBE FULLY </w:t>
      </w:r>
    </w:p>
    <w:p w14:paraId="0E71F59E" w14:textId="45626783" w:rsidR="006E0879" w:rsidRPr="00C31D26" w:rsidRDefault="006E0879" w:rsidP="006E0879">
      <w:pPr>
        <w:rPr>
          <w:rFonts w:cs="Arial"/>
          <w:color w:val="F06603" w:themeColor="accent6"/>
        </w:rPr>
      </w:pPr>
      <w:r w:rsidRPr="00925DF4">
        <w:rPr>
          <w:rFonts w:cs="Arial"/>
        </w:rPr>
        <w:t>MULTICODE O</w:t>
      </w:r>
      <w:r w:rsidR="000824F2">
        <w:rPr>
          <w:rFonts w:cs="Arial"/>
        </w:rPr>
        <w:t>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7"/>
        <w:gridCol w:w="1207"/>
      </w:tblGrid>
      <w:tr w:rsidR="006E0879" w:rsidRPr="00925DF4" w14:paraId="255AFC66"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44E86F23" w14:textId="77777777" w:rsidR="006E0879" w:rsidRPr="00925DF4" w:rsidRDefault="006E0879" w:rsidP="00AB3D40">
            <w:pPr>
              <w:pStyle w:val="resptext"/>
              <w:tabs>
                <w:tab w:val="left" w:pos="720"/>
              </w:tabs>
              <w:spacing w:before="60"/>
              <w:ind w:left="0"/>
              <w:rPr>
                <w:color w:val="1D1D1B" w:themeColor="text1"/>
              </w:rPr>
            </w:pPr>
            <w:r>
              <w:rPr>
                <w:color w:val="1D1D1B" w:themeColor="text1"/>
              </w:rPr>
              <w:t>A l</w:t>
            </w:r>
            <w:r w:rsidRPr="00925DF4">
              <w:rPr>
                <w:color w:val="1D1D1B" w:themeColor="text1"/>
              </w:rPr>
              <w:t>ower interest rate</w:t>
            </w:r>
          </w:p>
        </w:tc>
        <w:tc>
          <w:tcPr>
            <w:tcW w:w="595" w:type="pct"/>
            <w:tcBorders>
              <w:top w:val="single" w:sz="4" w:space="0" w:color="auto"/>
              <w:left w:val="single" w:sz="4" w:space="0" w:color="auto"/>
              <w:bottom w:val="single" w:sz="4" w:space="0" w:color="auto"/>
              <w:right w:val="single" w:sz="4" w:space="0" w:color="auto"/>
            </w:tcBorders>
            <w:hideMark/>
          </w:tcPr>
          <w:p w14:paraId="23FC6928"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1</w:t>
            </w:r>
          </w:p>
        </w:tc>
      </w:tr>
      <w:tr w:rsidR="006E0879" w:rsidRPr="00925DF4" w14:paraId="455353D2" w14:textId="77777777" w:rsidTr="00AB3D40">
        <w:trPr>
          <w:trHeight w:val="85"/>
        </w:trPr>
        <w:tc>
          <w:tcPr>
            <w:tcW w:w="4405" w:type="pct"/>
            <w:tcBorders>
              <w:top w:val="single" w:sz="4" w:space="0" w:color="auto"/>
              <w:left w:val="single" w:sz="4" w:space="0" w:color="auto"/>
              <w:bottom w:val="single" w:sz="4" w:space="0" w:color="auto"/>
              <w:right w:val="single" w:sz="4" w:space="0" w:color="auto"/>
            </w:tcBorders>
            <w:hideMark/>
          </w:tcPr>
          <w:p w14:paraId="2E9198DE" w14:textId="77777777" w:rsidR="006E0879" w:rsidRPr="00925DF4" w:rsidRDefault="006E0879" w:rsidP="00AB3D40">
            <w:pPr>
              <w:pStyle w:val="resptext"/>
              <w:tabs>
                <w:tab w:val="left" w:pos="720"/>
              </w:tabs>
              <w:spacing w:before="60"/>
              <w:ind w:left="0"/>
              <w:rPr>
                <w:color w:val="1D1D1B" w:themeColor="text1"/>
              </w:rPr>
            </w:pPr>
            <w:r w:rsidRPr="00925DF4">
              <w:rPr>
                <w:color w:val="1D1D1B" w:themeColor="text1"/>
              </w:rPr>
              <w:t>Better terms and conditions (e.g. security required)</w:t>
            </w:r>
          </w:p>
        </w:tc>
        <w:tc>
          <w:tcPr>
            <w:tcW w:w="595" w:type="pct"/>
            <w:tcBorders>
              <w:top w:val="single" w:sz="4" w:space="0" w:color="auto"/>
              <w:left w:val="single" w:sz="4" w:space="0" w:color="auto"/>
              <w:bottom w:val="single" w:sz="4" w:space="0" w:color="auto"/>
              <w:right w:val="single" w:sz="4" w:space="0" w:color="auto"/>
            </w:tcBorders>
            <w:hideMark/>
          </w:tcPr>
          <w:p w14:paraId="22A23EE3"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2</w:t>
            </w:r>
          </w:p>
        </w:tc>
      </w:tr>
      <w:tr w:rsidR="006E0879" w:rsidRPr="00925DF4" w14:paraId="55E03484" w14:textId="77777777" w:rsidTr="00AB3D40">
        <w:trPr>
          <w:trHeight w:val="85"/>
        </w:trPr>
        <w:tc>
          <w:tcPr>
            <w:tcW w:w="4405" w:type="pct"/>
            <w:tcBorders>
              <w:top w:val="single" w:sz="4" w:space="0" w:color="auto"/>
              <w:left w:val="single" w:sz="4" w:space="0" w:color="auto"/>
              <w:bottom w:val="single" w:sz="4" w:space="0" w:color="auto"/>
              <w:right w:val="single" w:sz="4" w:space="0" w:color="auto"/>
            </w:tcBorders>
          </w:tcPr>
          <w:p w14:paraId="28C37276" w14:textId="77777777" w:rsidR="006E0879" w:rsidRPr="00925DF4" w:rsidRDefault="006E0879" w:rsidP="00AB3D40">
            <w:pPr>
              <w:pStyle w:val="resptext"/>
              <w:tabs>
                <w:tab w:val="left" w:pos="720"/>
              </w:tabs>
              <w:spacing w:before="60"/>
              <w:ind w:left="0"/>
              <w:rPr>
                <w:color w:val="1D1D1B" w:themeColor="text1"/>
                <w:lang w:eastAsia="en-GB"/>
              </w:rPr>
            </w:pPr>
            <w:r>
              <w:rPr>
                <w:color w:val="1D1D1B" w:themeColor="text1"/>
                <w:lang w:eastAsia="en-GB"/>
              </w:rPr>
              <w:t>A more suitable r</w:t>
            </w:r>
            <w:r w:rsidRPr="00925DF4">
              <w:rPr>
                <w:color w:val="1D1D1B" w:themeColor="text1"/>
                <w:lang w:eastAsia="en-GB"/>
              </w:rPr>
              <w:t>epayment period</w:t>
            </w:r>
          </w:p>
        </w:tc>
        <w:tc>
          <w:tcPr>
            <w:tcW w:w="595" w:type="pct"/>
            <w:tcBorders>
              <w:top w:val="single" w:sz="4" w:space="0" w:color="auto"/>
              <w:left w:val="single" w:sz="4" w:space="0" w:color="auto"/>
              <w:bottom w:val="single" w:sz="4" w:space="0" w:color="auto"/>
              <w:right w:val="single" w:sz="4" w:space="0" w:color="auto"/>
            </w:tcBorders>
          </w:tcPr>
          <w:p w14:paraId="6D0AE42B"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3</w:t>
            </w:r>
          </w:p>
        </w:tc>
      </w:tr>
      <w:tr w:rsidR="006E0879" w:rsidRPr="00925DF4" w14:paraId="312811E2" w14:textId="77777777" w:rsidTr="00AB3D40">
        <w:tc>
          <w:tcPr>
            <w:tcW w:w="4405" w:type="pct"/>
            <w:tcBorders>
              <w:top w:val="single" w:sz="4" w:space="0" w:color="auto"/>
              <w:left w:val="single" w:sz="4" w:space="0" w:color="auto"/>
              <w:bottom w:val="single" w:sz="4" w:space="0" w:color="auto"/>
              <w:right w:val="single" w:sz="4" w:space="0" w:color="auto"/>
            </w:tcBorders>
          </w:tcPr>
          <w:p w14:paraId="154B7F34" w14:textId="77777777" w:rsidR="006E0879" w:rsidRPr="00925DF4" w:rsidRDefault="006E0879" w:rsidP="00AB3D40">
            <w:pPr>
              <w:pStyle w:val="resptext"/>
              <w:tabs>
                <w:tab w:val="left" w:pos="720"/>
              </w:tabs>
              <w:spacing w:before="60"/>
              <w:ind w:left="0"/>
              <w:rPr>
                <w:color w:val="1D1D1B" w:themeColor="text1"/>
              </w:rPr>
            </w:pPr>
            <w:r>
              <w:rPr>
                <w:color w:val="1D1D1B" w:themeColor="text1"/>
              </w:rPr>
              <w:t>None of the above</w:t>
            </w:r>
          </w:p>
        </w:tc>
        <w:tc>
          <w:tcPr>
            <w:tcW w:w="595" w:type="pct"/>
            <w:tcBorders>
              <w:top w:val="single" w:sz="4" w:space="0" w:color="auto"/>
              <w:left w:val="single" w:sz="4" w:space="0" w:color="auto"/>
              <w:bottom w:val="single" w:sz="4" w:space="0" w:color="auto"/>
              <w:right w:val="single" w:sz="4" w:space="0" w:color="auto"/>
            </w:tcBorders>
          </w:tcPr>
          <w:p w14:paraId="0C5B99CD" w14:textId="77777777" w:rsidR="006E0879" w:rsidRPr="00925DF4" w:rsidRDefault="006E0879" w:rsidP="00AB3D40">
            <w:pPr>
              <w:pStyle w:val="resptext"/>
              <w:tabs>
                <w:tab w:val="left" w:pos="720"/>
              </w:tabs>
              <w:spacing w:before="60"/>
              <w:ind w:left="0"/>
              <w:jc w:val="center"/>
              <w:rPr>
                <w:bCs/>
                <w:color w:val="1D1D1B" w:themeColor="text1"/>
              </w:rPr>
            </w:pPr>
            <w:r>
              <w:rPr>
                <w:bCs/>
                <w:color w:val="1D1D1B" w:themeColor="text1"/>
              </w:rPr>
              <w:t>97</w:t>
            </w:r>
          </w:p>
        </w:tc>
      </w:tr>
      <w:tr w:rsidR="006E0879" w:rsidRPr="00925DF4" w14:paraId="225AE62C"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6942DEB8" w14:textId="77777777" w:rsidR="006E0879" w:rsidRPr="00925DF4" w:rsidRDefault="006E0879" w:rsidP="00AB3D40">
            <w:pPr>
              <w:pStyle w:val="resptext"/>
              <w:tabs>
                <w:tab w:val="left" w:pos="720"/>
              </w:tabs>
              <w:spacing w:before="60"/>
              <w:ind w:left="0"/>
              <w:rPr>
                <w:color w:val="1D1D1B" w:themeColor="text1"/>
              </w:rPr>
            </w:pPr>
            <w:r w:rsidRPr="00925DF4">
              <w:rPr>
                <w:color w:val="1D1D1B" w:themeColor="text1"/>
              </w:rPr>
              <w:t>Don’t know</w:t>
            </w:r>
          </w:p>
        </w:tc>
        <w:tc>
          <w:tcPr>
            <w:tcW w:w="595" w:type="pct"/>
            <w:tcBorders>
              <w:top w:val="single" w:sz="4" w:space="0" w:color="auto"/>
              <w:left w:val="single" w:sz="4" w:space="0" w:color="auto"/>
              <w:bottom w:val="single" w:sz="4" w:space="0" w:color="auto"/>
              <w:right w:val="single" w:sz="4" w:space="0" w:color="auto"/>
            </w:tcBorders>
            <w:hideMark/>
          </w:tcPr>
          <w:p w14:paraId="45672DF5"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98</w:t>
            </w:r>
          </w:p>
        </w:tc>
      </w:tr>
      <w:tr w:rsidR="006E0879" w:rsidRPr="00925DF4" w14:paraId="441132E2"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143CFB7B"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Refused</w:t>
            </w:r>
          </w:p>
        </w:tc>
        <w:tc>
          <w:tcPr>
            <w:tcW w:w="595" w:type="pct"/>
            <w:tcBorders>
              <w:top w:val="single" w:sz="4" w:space="0" w:color="auto"/>
              <w:left w:val="single" w:sz="4" w:space="0" w:color="auto"/>
              <w:bottom w:val="single" w:sz="4" w:space="0" w:color="auto"/>
              <w:right w:val="single" w:sz="4" w:space="0" w:color="auto"/>
            </w:tcBorders>
            <w:hideMark/>
          </w:tcPr>
          <w:p w14:paraId="02885AD4"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99</w:t>
            </w:r>
          </w:p>
        </w:tc>
      </w:tr>
    </w:tbl>
    <w:p w14:paraId="62D9E6F6" w14:textId="77777777" w:rsidR="006E0879" w:rsidRDefault="006E0879" w:rsidP="006E0879">
      <w:pPr>
        <w:rPr>
          <w:rFonts w:cs="Arial"/>
          <w:bCs/>
        </w:rPr>
      </w:pPr>
    </w:p>
    <w:p w14:paraId="5C7E5A8F" w14:textId="77777777" w:rsidR="006E0879" w:rsidRPr="00450576" w:rsidRDefault="006E0879" w:rsidP="006E0879">
      <w:pPr>
        <w:rPr>
          <w:rFonts w:cs="Arial"/>
          <w:bCs/>
          <w:color w:val="FF0000"/>
        </w:rPr>
      </w:pPr>
      <w:r>
        <w:rPr>
          <w:rFonts w:cs="Arial"/>
          <w:bCs/>
          <w:color w:val="FF0000"/>
        </w:rPr>
        <w:t>ASK IF ANSWERED AT LEAST 1 OPTION 1-3 AT B10</w:t>
      </w:r>
    </w:p>
    <w:p w14:paraId="7D5A4792" w14:textId="7B3AD390" w:rsidR="006E0879" w:rsidRPr="00C31D26" w:rsidRDefault="006E0879" w:rsidP="006E0879">
      <w:pPr>
        <w:rPr>
          <w:rFonts w:cs="Arial"/>
          <w:color w:val="F06603" w:themeColor="accent6"/>
        </w:rPr>
      </w:pPr>
      <w:r w:rsidRPr="00925DF4">
        <w:rPr>
          <w:rFonts w:cs="Arial"/>
          <w:bCs/>
        </w:rPr>
        <w:t>B</w:t>
      </w:r>
      <w:r>
        <w:rPr>
          <w:rFonts w:cs="Arial"/>
          <w:bCs/>
        </w:rPr>
        <w:t>11</w:t>
      </w:r>
      <w:r w:rsidRPr="00925DF4">
        <w:rPr>
          <w:rFonts w:cs="Arial"/>
          <w:bCs/>
        </w:rPr>
        <w:t>.</w:t>
      </w:r>
      <w:r>
        <w:rPr>
          <w:rFonts w:cs="Arial"/>
          <w:b/>
        </w:rPr>
        <w:t xml:space="preserve"> And because the finance you received from the Recovery Loan Scheme had [</w:t>
      </w:r>
      <w:r w:rsidRPr="00450576">
        <w:rPr>
          <w:rFonts w:cs="Arial"/>
          <w:bCs/>
          <w:color w:val="FF0000"/>
        </w:rPr>
        <w:t xml:space="preserve">INSERT ALL </w:t>
      </w:r>
      <w:r>
        <w:rPr>
          <w:rFonts w:cs="Arial"/>
          <w:bCs/>
          <w:color w:val="FF0000"/>
        </w:rPr>
        <w:t xml:space="preserve">RESPONSES 1-3 </w:t>
      </w:r>
      <w:r w:rsidRPr="00450576">
        <w:rPr>
          <w:rFonts w:cs="Arial"/>
          <w:bCs/>
          <w:color w:val="FF0000"/>
        </w:rPr>
        <w:t>FROM B10</w:t>
      </w:r>
      <w:r>
        <w:rPr>
          <w:rFonts w:cs="Arial"/>
          <w:b/>
        </w:rPr>
        <w:t>] than the alternative finance you would have applied for, do you think you were able to obtain more funding through the Recovery Loan Scheme than you would have otherwise</w:t>
      </w:r>
      <w:r w:rsidRPr="008A2343">
        <w:rPr>
          <w:rFonts w:cs="Arial"/>
          <w:b/>
          <w:bCs/>
        </w:rPr>
        <w:t>?</w:t>
      </w:r>
      <w:r w:rsidRPr="00925DF4">
        <w:rPr>
          <w:rFonts w:cs="Arial"/>
        </w:rPr>
        <w:t xml:space="preserve"> </w:t>
      </w:r>
      <w:r w:rsidRPr="00104E31">
        <w:rPr>
          <w:rFonts w:cs="Arial"/>
          <w:color w:val="FF0000"/>
        </w:rPr>
        <w:t xml:space="preserve">CATI ONLY: </w:t>
      </w:r>
      <w:r w:rsidRPr="00925DF4">
        <w:rPr>
          <w:rFonts w:cs="Arial"/>
        </w:rPr>
        <w:t xml:space="preserve">DO NOT PROMPT. PROBE FULLY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7"/>
        <w:gridCol w:w="1207"/>
      </w:tblGrid>
      <w:tr w:rsidR="006E0879" w:rsidRPr="00925DF4" w14:paraId="09A42698"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0B78A5E0" w14:textId="77777777" w:rsidR="006E0879" w:rsidRPr="00925DF4" w:rsidRDefault="006E0879" w:rsidP="00AB3D40">
            <w:pPr>
              <w:pStyle w:val="resptext"/>
              <w:tabs>
                <w:tab w:val="left" w:pos="720"/>
              </w:tabs>
              <w:spacing w:before="60"/>
              <w:ind w:left="0"/>
              <w:rPr>
                <w:color w:val="1D1D1B" w:themeColor="text1"/>
              </w:rPr>
            </w:pPr>
            <w:r>
              <w:rPr>
                <w:color w:val="1D1D1B" w:themeColor="text1"/>
              </w:rPr>
              <w:t>Yes, I obtained more funding than I would have otherwise</w:t>
            </w:r>
          </w:p>
        </w:tc>
        <w:tc>
          <w:tcPr>
            <w:tcW w:w="595" w:type="pct"/>
            <w:tcBorders>
              <w:top w:val="single" w:sz="4" w:space="0" w:color="auto"/>
              <w:left w:val="single" w:sz="4" w:space="0" w:color="auto"/>
              <w:bottom w:val="single" w:sz="4" w:space="0" w:color="auto"/>
              <w:right w:val="single" w:sz="4" w:space="0" w:color="auto"/>
            </w:tcBorders>
            <w:hideMark/>
          </w:tcPr>
          <w:p w14:paraId="2E804357"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1</w:t>
            </w:r>
          </w:p>
        </w:tc>
      </w:tr>
      <w:tr w:rsidR="006E0879" w:rsidRPr="00925DF4" w14:paraId="6E026A17" w14:textId="77777777" w:rsidTr="00AB3D40">
        <w:trPr>
          <w:trHeight w:val="85"/>
        </w:trPr>
        <w:tc>
          <w:tcPr>
            <w:tcW w:w="4405" w:type="pct"/>
            <w:tcBorders>
              <w:top w:val="single" w:sz="4" w:space="0" w:color="auto"/>
              <w:left w:val="single" w:sz="4" w:space="0" w:color="auto"/>
              <w:bottom w:val="single" w:sz="4" w:space="0" w:color="auto"/>
              <w:right w:val="single" w:sz="4" w:space="0" w:color="auto"/>
            </w:tcBorders>
            <w:hideMark/>
          </w:tcPr>
          <w:p w14:paraId="79693B5B" w14:textId="77777777" w:rsidR="006E0879" w:rsidRPr="00925DF4" w:rsidRDefault="006E0879" w:rsidP="00AB3D40">
            <w:pPr>
              <w:pStyle w:val="resptext"/>
              <w:tabs>
                <w:tab w:val="left" w:pos="720"/>
              </w:tabs>
              <w:spacing w:before="60"/>
              <w:ind w:left="0"/>
              <w:rPr>
                <w:color w:val="1D1D1B" w:themeColor="text1"/>
              </w:rPr>
            </w:pPr>
            <w:r>
              <w:rPr>
                <w:color w:val="1D1D1B" w:themeColor="text1"/>
              </w:rPr>
              <w:t>No, I would not have obtained more funding than I would have otherwise due to these reasons</w:t>
            </w:r>
          </w:p>
        </w:tc>
        <w:tc>
          <w:tcPr>
            <w:tcW w:w="595" w:type="pct"/>
            <w:tcBorders>
              <w:top w:val="single" w:sz="4" w:space="0" w:color="auto"/>
              <w:left w:val="single" w:sz="4" w:space="0" w:color="auto"/>
              <w:bottom w:val="single" w:sz="4" w:space="0" w:color="auto"/>
              <w:right w:val="single" w:sz="4" w:space="0" w:color="auto"/>
            </w:tcBorders>
            <w:hideMark/>
          </w:tcPr>
          <w:p w14:paraId="5516FD5B"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2</w:t>
            </w:r>
          </w:p>
        </w:tc>
      </w:tr>
      <w:tr w:rsidR="006E0879" w:rsidRPr="00925DF4" w14:paraId="591E3443"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6DACF2FB" w14:textId="77777777" w:rsidR="006E0879" w:rsidRPr="00925DF4" w:rsidRDefault="006E0879" w:rsidP="00AB3D40">
            <w:pPr>
              <w:pStyle w:val="resptext"/>
              <w:tabs>
                <w:tab w:val="left" w:pos="720"/>
              </w:tabs>
              <w:spacing w:before="60"/>
              <w:ind w:left="0"/>
              <w:rPr>
                <w:color w:val="1D1D1B" w:themeColor="text1"/>
              </w:rPr>
            </w:pPr>
            <w:r w:rsidRPr="00925DF4">
              <w:rPr>
                <w:color w:val="1D1D1B" w:themeColor="text1"/>
              </w:rPr>
              <w:t>Don’t know</w:t>
            </w:r>
          </w:p>
        </w:tc>
        <w:tc>
          <w:tcPr>
            <w:tcW w:w="595" w:type="pct"/>
            <w:tcBorders>
              <w:top w:val="single" w:sz="4" w:space="0" w:color="auto"/>
              <w:left w:val="single" w:sz="4" w:space="0" w:color="auto"/>
              <w:bottom w:val="single" w:sz="4" w:space="0" w:color="auto"/>
              <w:right w:val="single" w:sz="4" w:space="0" w:color="auto"/>
            </w:tcBorders>
            <w:hideMark/>
          </w:tcPr>
          <w:p w14:paraId="1EF2867D"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98</w:t>
            </w:r>
          </w:p>
        </w:tc>
      </w:tr>
      <w:tr w:rsidR="006E0879" w:rsidRPr="00925DF4" w14:paraId="126FE360"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76C7D9C9"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Refused</w:t>
            </w:r>
          </w:p>
        </w:tc>
        <w:tc>
          <w:tcPr>
            <w:tcW w:w="595" w:type="pct"/>
            <w:tcBorders>
              <w:top w:val="single" w:sz="4" w:space="0" w:color="auto"/>
              <w:left w:val="single" w:sz="4" w:space="0" w:color="auto"/>
              <w:bottom w:val="single" w:sz="4" w:space="0" w:color="auto"/>
              <w:right w:val="single" w:sz="4" w:space="0" w:color="auto"/>
            </w:tcBorders>
            <w:hideMark/>
          </w:tcPr>
          <w:p w14:paraId="6BFADFFD"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99</w:t>
            </w:r>
          </w:p>
        </w:tc>
      </w:tr>
      <w:bookmarkEnd w:id="90"/>
    </w:tbl>
    <w:p w14:paraId="54516266" w14:textId="77777777" w:rsidR="000824F2" w:rsidRDefault="000824F2" w:rsidP="006E0879">
      <w:pPr>
        <w:rPr>
          <w:rFonts w:cs="Arial"/>
          <w:color w:val="FF0000"/>
        </w:rPr>
      </w:pPr>
    </w:p>
    <w:p w14:paraId="300834B3" w14:textId="524C4DCC" w:rsidR="006E0879" w:rsidRPr="00925DF4" w:rsidRDefault="006E0879" w:rsidP="006E0879">
      <w:pPr>
        <w:rPr>
          <w:rFonts w:cs="Arial"/>
          <w:color w:val="FF0000"/>
        </w:rPr>
      </w:pPr>
      <w:r>
        <w:rPr>
          <w:rFonts w:cs="Arial"/>
          <w:color w:val="FF0000"/>
        </w:rPr>
        <w:t>ASK LOAN</w:t>
      </w:r>
    </w:p>
    <w:p w14:paraId="45DA80AF" w14:textId="77777777" w:rsidR="006E0879" w:rsidRPr="00925DF4" w:rsidRDefault="006E0879" w:rsidP="006E0879">
      <w:pPr>
        <w:pStyle w:val="CommentText"/>
        <w:rPr>
          <w:rFonts w:cs="Arial"/>
          <w:b/>
          <w:color w:val="FF0000"/>
        </w:rPr>
      </w:pPr>
      <w:r w:rsidRPr="00925DF4">
        <w:rPr>
          <w:rFonts w:cs="Arial"/>
          <w:b/>
        </w:rPr>
        <w:t>C2</w:t>
      </w:r>
      <w:r w:rsidRPr="00925DF4">
        <w:rPr>
          <w:rFonts w:cs="Arial"/>
          <w:b/>
          <w:color w:val="FF0000"/>
        </w:rPr>
        <w:t xml:space="preserve"> </w:t>
      </w:r>
      <w:r w:rsidRPr="00925DF4">
        <w:rPr>
          <w:rFonts w:cs="Arial"/>
          <w:b/>
          <w:lang w:eastAsia="en-GB"/>
        </w:rPr>
        <w:t>If you had not been able to access f</w:t>
      </w:r>
      <w:r>
        <w:rPr>
          <w:rFonts w:cs="Arial"/>
          <w:b/>
          <w:lang w:eastAsia="en-GB"/>
        </w:rPr>
        <w:t>inance</w:t>
      </w:r>
      <w:r w:rsidRPr="00925DF4">
        <w:rPr>
          <w:rFonts w:cs="Arial"/>
          <w:b/>
          <w:lang w:eastAsia="en-GB"/>
        </w:rPr>
        <w:t xml:space="preserve"> </w:t>
      </w:r>
      <w:r>
        <w:rPr>
          <w:rFonts w:cs="Arial"/>
          <w:b/>
          <w:lang w:eastAsia="en-GB"/>
        </w:rPr>
        <w:t>under</w:t>
      </w:r>
      <w:r w:rsidRPr="00925DF4">
        <w:rPr>
          <w:rFonts w:cs="Arial"/>
          <w:b/>
          <w:lang w:eastAsia="en-GB"/>
        </w:rPr>
        <w:t xml:space="preserve"> the</w:t>
      </w:r>
      <w:r>
        <w:rPr>
          <w:rFonts w:cs="Arial"/>
          <w:b/>
          <w:lang w:eastAsia="en-GB"/>
        </w:rPr>
        <w:t xml:space="preserve"> Recovery Loan Scheme,</w:t>
      </w:r>
      <w:r w:rsidRPr="00925DF4">
        <w:rPr>
          <w:rFonts w:cs="Arial"/>
          <w:b/>
          <w:lang w:eastAsia="en-GB"/>
        </w:rPr>
        <w:t xml:space="preserve"> how likely or unlikely is it that your business would have permanently closed? </w:t>
      </w:r>
    </w:p>
    <w:p w14:paraId="6A878241" w14:textId="77777777" w:rsidR="006E0879" w:rsidRPr="00925DF4" w:rsidRDefault="006E0879" w:rsidP="006E0879">
      <w:pPr>
        <w:pStyle w:val="04ABodyText"/>
        <w:spacing w:before="0" w:after="0" w:line="240" w:lineRule="auto"/>
        <w:rPr>
          <w:rFonts w:ascii="Arial" w:hAnsi="Arial"/>
        </w:rPr>
      </w:pPr>
    </w:p>
    <w:p w14:paraId="7B35D423" w14:textId="22DCF26A" w:rsidR="006E0879" w:rsidRPr="00C31D26" w:rsidRDefault="006E0879" w:rsidP="006E0879">
      <w:pPr>
        <w:rPr>
          <w:rFonts w:cs="Arial"/>
          <w:color w:val="FF0000"/>
        </w:rPr>
      </w:pPr>
      <w:r w:rsidRPr="00925DF4">
        <w:rPr>
          <w:rFonts w:cs="Arial"/>
          <w:color w:val="FF0000"/>
        </w:rPr>
        <w:t xml:space="preserve">SINGLE CODE ONLY. </w:t>
      </w:r>
      <w:r w:rsidRPr="00925DF4">
        <w:rPr>
          <w:rFonts w:cs="Arial"/>
          <w:color w:val="F06603" w:themeColor="accent6"/>
        </w:rPr>
        <w:t>READ OUT CODES.</w:t>
      </w:r>
      <w:r>
        <w:rPr>
          <w:rFonts w:cs="Arial"/>
          <w:color w:val="F06603" w:themeColor="accent6"/>
        </w:rPr>
        <w:t xml:space="preserve">REVERSE SCALES.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5"/>
        <w:gridCol w:w="899"/>
      </w:tblGrid>
      <w:tr w:rsidR="006E0879" w:rsidRPr="00925DF4" w14:paraId="65B64C6E"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5B182E3C" w14:textId="77777777" w:rsidR="006E0879" w:rsidRPr="00925DF4" w:rsidRDefault="006E0879" w:rsidP="00AB3D40">
            <w:pPr>
              <w:pStyle w:val="resptext"/>
              <w:tabs>
                <w:tab w:val="left" w:pos="720"/>
              </w:tabs>
              <w:spacing w:before="60"/>
              <w:ind w:left="0"/>
              <w:rPr>
                <w:bCs/>
              </w:rPr>
            </w:pPr>
            <w:r w:rsidRPr="00925DF4">
              <w:t>Definitely would have closed</w:t>
            </w:r>
          </w:p>
        </w:tc>
        <w:tc>
          <w:tcPr>
            <w:tcW w:w="443" w:type="pct"/>
            <w:tcBorders>
              <w:top w:val="single" w:sz="4" w:space="0" w:color="auto"/>
              <w:left w:val="single" w:sz="4" w:space="0" w:color="auto"/>
              <w:bottom w:val="single" w:sz="4" w:space="0" w:color="auto"/>
              <w:right w:val="single" w:sz="4" w:space="0" w:color="auto"/>
            </w:tcBorders>
            <w:hideMark/>
          </w:tcPr>
          <w:p w14:paraId="49B2A6D0" w14:textId="77777777" w:rsidR="006E0879" w:rsidRPr="00925DF4" w:rsidRDefault="006E0879" w:rsidP="00AB3D40">
            <w:pPr>
              <w:spacing w:before="60"/>
              <w:jc w:val="center"/>
              <w:rPr>
                <w:rFonts w:cs="Arial"/>
              </w:rPr>
            </w:pPr>
            <w:r w:rsidRPr="00925DF4">
              <w:rPr>
                <w:rFonts w:cs="Arial"/>
              </w:rPr>
              <w:t>1</w:t>
            </w:r>
          </w:p>
        </w:tc>
      </w:tr>
      <w:tr w:rsidR="006E0879" w:rsidRPr="00925DF4" w14:paraId="231131C2"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1D9F141F" w14:textId="77777777" w:rsidR="006E0879" w:rsidRPr="00925DF4" w:rsidRDefault="006E0879" w:rsidP="00AB3D40">
            <w:pPr>
              <w:pStyle w:val="resptext"/>
              <w:tabs>
                <w:tab w:val="left" w:pos="720"/>
              </w:tabs>
              <w:spacing w:before="60"/>
              <w:ind w:left="0"/>
              <w:rPr>
                <w:bCs/>
              </w:rPr>
            </w:pPr>
            <w:r w:rsidRPr="00925DF4">
              <w:t>Very likely</w:t>
            </w:r>
            <w:r>
              <w:t xml:space="preserve"> to have closed</w:t>
            </w:r>
          </w:p>
        </w:tc>
        <w:tc>
          <w:tcPr>
            <w:tcW w:w="443" w:type="pct"/>
            <w:tcBorders>
              <w:top w:val="single" w:sz="4" w:space="0" w:color="auto"/>
              <w:left w:val="single" w:sz="4" w:space="0" w:color="auto"/>
              <w:bottom w:val="single" w:sz="4" w:space="0" w:color="auto"/>
              <w:right w:val="single" w:sz="4" w:space="0" w:color="auto"/>
            </w:tcBorders>
            <w:hideMark/>
          </w:tcPr>
          <w:p w14:paraId="7AD39BE9" w14:textId="77777777" w:rsidR="006E0879" w:rsidRPr="00925DF4" w:rsidRDefault="006E0879" w:rsidP="00AB3D40">
            <w:pPr>
              <w:spacing w:before="60"/>
              <w:jc w:val="center"/>
              <w:rPr>
                <w:rFonts w:cs="Arial"/>
              </w:rPr>
            </w:pPr>
            <w:r w:rsidRPr="00925DF4">
              <w:rPr>
                <w:rFonts w:cs="Arial"/>
              </w:rPr>
              <w:t>2</w:t>
            </w:r>
          </w:p>
        </w:tc>
      </w:tr>
      <w:tr w:rsidR="006E0879" w:rsidRPr="00925DF4" w14:paraId="5EA478D4" w14:textId="77777777" w:rsidTr="00AB3D40">
        <w:tc>
          <w:tcPr>
            <w:tcW w:w="4557" w:type="pct"/>
            <w:tcBorders>
              <w:top w:val="single" w:sz="4" w:space="0" w:color="auto"/>
              <w:left w:val="single" w:sz="4" w:space="0" w:color="auto"/>
              <w:bottom w:val="single" w:sz="4" w:space="0" w:color="auto"/>
              <w:right w:val="single" w:sz="4" w:space="0" w:color="auto"/>
            </w:tcBorders>
          </w:tcPr>
          <w:p w14:paraId="65AE998B" w14:textId="77777777" w:rsidR="006E0879" w:rsidRPr="00925DF4" w:rsidDel="00A43188" w:rsidRDefault="006E0879" w:rsidP="00AB3D40">
            <w:pPr>
              <w:pStyle w:val="resptext"/>
              <w:tabs>
                <w:tab w:val="left" w:pos="720"/>
              </w:tabs>
              <w:spacing w:before="60"/>
              <w:ind w:left="0"/>
            </w:pPr>
            <w:r w:rsidRPr="00925DF4">
              <w:t>Fairly likely</w:t>
            </w:r>
            <w:r>
              <w:t xml:space="preserve"> to have closed</w:t>
            </w:r>
          </w:p>
        </w:tc>
        <w:tc>
          <w:tcPr>
            <w:tcW w:w="443" w:type="pct"/>
            <w:tcBorders>
              <w:top w:val="single" w:sz="4" w:space="0" w:color="auto"/>
              <w:left w:val="single" w:sz="4" w:space="0" w:color="auto"/>
              <w:bottom w:val="single" w:sz="4" w:space="0" w:color="auto"/>
              <w:right w:val="single" w:sz="4" w:space="0" w:color="auto"/>
            </w:tcBorders>
          </w:tcPr>
          <w:p w14:paraId="764560EE" w14:textId="77777777" w:rsidR="006E0879" w:rsidRPr="00925DF4" w:rsidRDefault="006E0879" w:rsidP="00AB3D40">
            <w:pPr>
              <w:spacing w:before="60"/>
              <w:jc w:val="center"/>
              <w:rPr>
                <w:rFonts w:cs="Arial"/>
              </w:rPr>
            </w:pPr>
            <w:r w:rsidRPr="00925DF4">
              <w:rPr>
                <w:rFonts w:cs="Arial"/>
              </w:rPr>
              <w:t>3</w:t>
            </w:r>
          </w:p>
        </w:tc>
      </w:tr>
      <w:tr w:rsidR="006E0879" w:rsidRPr="00925DF4" w14:paraId="5B2A9A8D" w14:textId="77777777" w:rsidTr="00AB3D40">
        <w:tc>
          <w:tcPr>
            <w:tcW w:w="4557" w:type="pct"/>
            <w:tcBorders>
              <w:top w:val="single" w:sz="4" w:space="0" w:color="auto"/>
              <w:left w:val="single" w:sz="4" w:space="0" w:color="auto"/>
              <w:bottom w:val="single" w:sz="4" w:space="0" w:color="auto"/>
              <w:right w:val="single" w:sz="4" w:space="0" w:color="auto"/>
            </w:tcBorders>
          </w:tcPr>
          <w:p w14:paraId="66BC4C48" w14:textId="77777777" w:rsidR="006E0879" w:rsidRPr="00925DF4" w:rsidDel="00A43188" w:rsidRDefault="006E0879" w:rsidP="00AB3D40">
            <w:pPr>
              <w:pStyle w:val="resptext"/>
              <w:tabs>
                <w:tab w:val="left" w:pos="720"/>
              </w:tabs>
              <w:spacing w:before="60"/>
              <w:ind w:left="0"/>
            </w:pPr>
            <w:r w:rsidRPr="00925DF4">
              <w:t xml:space="preserve">Fairly unlikely </w:t>
            </w:r>
            <w:r>
              <w:t>to have closed</w:t>
            </w:r>
          </w:p>
        </w:tc>
        <w:tc>
          <w:tcPr>
            <w:tcW w:w="443" w:type="pct"/>
            <w:tcBorders>
              <w:top w:val="single" w:sz="4" w:space="0" w:color="auto"/>
              <w:left w:val="single" w:sz="4" w:space="0" w:color="auto"/>
              <w:bottom w:val="single" w:sz="4" w:space="0" w:color="auto"/>
              <w:right w:val="single" w:sz="4" w:space="0" w:color="auto"/>
            </w:tcBorders>
          </w:tcPr>
          <w:p w14:paraId="60C75C3E" w14:textId="77777777" w:rsidR="006E0879" w:rsidRPr="00925DF4" w:rsidRDefault="006E0879" w:rsidP="00AB3D40">
            <w:pPr>
              <w:spacing w:before="60"/>
              <w:jc w:val="center"/>
              <w:rPr>
                <w:rFonts w:cs="Arial"/>
              </w:rPr>
            </w:pPr>
            <w:r w:rsidRPr="00925DF4">
              <w:rPr>
                <w:rFonts w:cs="Arial"/>
              </w:rPr>
              <w:t>4</w:t>
            </w:r>
          </w:p>
        </w:tc>
      </w:tr>
      <w:tr w:rsidR="006E0879" w:rsidRPr="00925DF4" w14:paraId="77FC50FD" w14:textId="77777777" w:rsidTr="00AB3D40">
        <w:tc>
          <w:tcPr>
            <w:tcW w:w="4557" w:type="pct"/>
            <w:tcBorders>
              <w:top w:val="single" w:sz="4" w:space="0" w:color="auto"/>
              <w:left w:val="single" w:sz="4" w:space="0" w:color="auto"/>
              <w:bottom w:val="single" w:sz="4" w:space="0" w:color="auto"/>
              <w:right w:val="single" w:sz="4" w:space="0" w:color="auto"/>
            </w:tcBorders>
          </w:tcPr>
          <w:p w14:paraId="0C77FFDF" w14:textId="77777777" w:rsidR="006E0879" w:rsidRPr="00925DF4" w:rsidDel="00A43188" w:rsidRDefault="006E0879" w:rsidP="00AB3D40">
            <w:pPr>
              <w:pStyle w:val="resptext"/>
              <w:tabs>
                <w:tab w:val="left" w:pos="720"/>
              </w:tabs>
              <w:spacing w:before="60"/>
              <w:ind w:left="0"/>
            </w:pPr>
            <w:r w:rsidRPr="00925DF4">
              <w:t>Very unlikely</w:t>
            </w:r>
            <w:r>
              <w:t xml:space="preserve"> to have closed</w:t>
            </w:r>
          </w:p>
        </w:tc>
        <w:tc>
          <w:tcPr>
            <w:tcW w:w="443" w:type="pct"/>
            <w:tcBorders>
              <w:top w:val="single" w:sz="4" w:space="0" w:color="auto"/>
              <w:left w:val="single" w:sz="4" w:space="0" w:color="auto"/>
              <w:bottom w:val="single" w:sz="4" w:space="0" w:color="auto"/>
              <w:right w:val="single" w:sz="4" w:space="0" w:color="auto"/>
            </w:tcBorders>
          </w:tcPr>
          <w:p w14:paraId="729FD005" w14:textId="77777777" w:rsidR="006E0879" w:rsidRPr="00925DF4" w:rsidRDefault="006E0879" w:rsidP="00AB3D40">
            <w:pPr>
              <w:spacing w:before="60"/>
              <w:jc w:val="center"/>
              <w:rPr>
                <w:rFonts w:cs="Arial"/>
              </w:rPr>
            </w:pPr>
            <w:r w:rsidRPr="00925DF4">
              <w:rPr>
                <w:rFonts w:cs="Arial"/>
              </w:rPr>
              <w:t>5</w:t>
            </w:r>
          </w:p>
        </w:tc>
      </w:tr>
      <w:tr w:rsidR="006E0879" w:rsidRPr="00925DF4" w14:paraId="27A0A635" w14:textId="77777777" w:rsidTr="00AB3D40">
        <w:tc>
          <w:tcPr>
            <w:tcW w:w="4557" w:type="pct"/>
            <w:tcBorders>
              <w:top w:val="single" w:sz="4" w:space="0" w:color="auto"/>
              <w:left w:val="single" w:sz="4" w:space="0" w:color="auto"/>
              <w:bottom w:val="single" w:sz="4" w:space="0" w:color="auto"/>
              <w:right w:val="single" w:sz="4" w:space="0" w:color="auto"/>
            </w:tcBorders>
          </w:tcPr>
          <w:p w14:paraId="25BBFFCF" w14:textId="77777777" w:rsidR="006E0879" w:rsidRPr="00925DF4" w:rsidRDefault="006E0879" w:rsidP="00AB3D40">
            <w:pPr>
              <w:pStyle w:val="resptext"/>
              <w:tabs>
                <w:tab w:val="left" w:pos="720"/>
              </w:tabs>
              <w:spacing w:before="60"/>
              <w:ind w:left="0"/>
            </w:pPr>
            <w:r w:rsidRPr="00925DF4">
              <w:t>Definitely would not have closed</w:t>
            </w:r>
          </w:p>
        </w:tc>
        <w:tc>
          <w:tcPr>
            <w:tcW w:w="443" w:type="pct"/>
            <w:tcBorders>
              <w:top w:val="single" w:sz="4" w:space="0" w:color="auto"/>
              <w:left w:val="single" w:sz="4" w:space="0" w:color="auto"/>
              <w:bottom w:val="single" w:sz="4" w:space="0" w:color="auto"/>
              <w:right w:val="single" w:sz="4" w:space="0" w:color="auto"/>
            </w:tcBorders>
          </w:tcPr>
          <w:p w14:paraId="38517274" w14:textId="77777777" w:rsidR="006E0879" w:rsidRPr="00925DF4" w:rsidRDefault="006E0879" w:rsidP="00AB3D40">
            <w:pPr>
              <w:spacing w:before="60"/>
              <w:jc w:val="center"/>
              <w:rPr>
                <w:rFonts w:cs="Arial"/>
              </w:rPr>
            </w:pPr>
            <w:r w:rsidRPr="00925DF4">
              <w:rPr>
                <w:rFonts w:cs="Arial"/>
              </w:rPr>
              <w:t>6</w:t>
            </w:r>
          </w:p>
        </w:tc>
      </w:tr>
      <w:tr w:rsidR="006E0879" w:rsidRPr="00925DF4" w14:paraId="39C2821D"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5914FF77" w14:textId="77777777" w:rsidR="006E0879" w:rsidRPr="00925DF4" w:rsidRDefault="006E0879" w:rsidP="00AB3D40">
            <w:pPr>
              <w:pStyle w:val="resptext"/>
              <w:tabs>
                <w:tab w:val="left" w:pos="720"/>
              </w:tabs>
              <w:spacing w:before="60"/>
              <w:ind w:left="0"/>
            </w:pPr>
            <w:r w:rsidRPr="00925DF4">
              <w:t>Don’t know</w:t>
            </w:r>
          </w:p>
        </w:tc>
        <w:tc>
          <w:tcPr>
            <w:tcW w:w="443" w:type="pct"/>
            <w:tcBorders>
              <w:top w:val="single" w:sz="4" w:space="0" w:color="auto"/>
              <w:left w:val="single" w:sz="4" w:space="0" w:color="auto"/>
              <w:bottom w:val="single" w:sz="4" w:space="0" w:color="auto"/>
              <w:right w:val="single" w:sz="4" w:space="0" w:color="auto"/>
            </w:tcBorders>
            <w:hideMark/>
          </w:tcPr>
          <w:p w14:paraId="15996B9F" w14:textId="77777777" w:rsidR="006E0879" w:rsidRPr="00925DF4" w:rsidRDefault="006E0879" w:rsidP="00AB3D40">
            <w:pPr>
              <w:spacing w:before="60"/>
              <w:jc w:val="center"/>
              <w:rPr>
                <w:rFonts w:cs="Arial"/>
              </w:rPr>
            </w:pPr>
            <w:r w:rsidRPr="00925DF4">
              <w:rPr>
                <w:rFonts w:cs="Arial"/>
              </w:rPr>
              <w:t>98</w:t>
            </w:r>
          </w:p>
        </w:tc>
      </w:tr>
      <w:tr w:rsidR="006E0879" w:rsidRPr="00925DF4" w14:paraId="42046E4C" w14:textId="77777777" w:rsidTr="00AB3D40">
        <w:trPr>
          <w:trHeight w:val="70"/>
        </w:trPr>
        <w:tc>
          <w:tcPr>
            <w:tcW w:w="4557" w:type="pct"/>
            <w:tcBorders>
              <w:top w:val="single" w:sz="4" w:space="0" w:color="auto"/>
              <w:left w:val="single" w:sz="4" w:space="0" w:color="auto"/>
              <w:bottom w:val="single" w:sz="4" w:space="0" w:color="auto"/>
              <w:right w:val="single" w:sz="4" w:space="0" w:color="auto"/>
            </w:tcBorders>
            <w:hideMark/>
          </w:tcPr>
          <w:p w14:paraId="760653B8" w14:textId="77777777" w:rsidR="006E0879" w:rsidRPr="00925DF4" w:rsidRDefault="006E0879" w:rsidP="00AB3D40">
            <w:pPr>
              <w:pStyle w:val="resptext"/>
              <w:tabs>
                <w:tab w:val="left" w:pos="720"/>
              </w:tabs>
              <w:spacing w:before="60"/>
              <w:ind w:left="0"/>
              <w:rPr>
                <w:color w:val="FFFFFF" w:themeColor="background1"/>
              </w:rPr>
            </w:pPr>
            <w:r w:rsidRPr="00925DF4">
              <w:t>Refused</w:t>
            </w:r>
          </w:p>
        </w:tc>
        <w:tc>
          <w:tcPr>
            <w:tcW w:w="443" w:type="pct"/>
            <w:tcBorders>
              <w:top w:val="single" w:sz="4" w:space="0" w:color="auto"/>
              <w:left w:val="single" w:sz="4" w:space="0" w:color="auto"/>
              <w:bottom w:val="single" w:sz="4" w:space="0" w:color="auto"/>
              <w:right w:val="single" w:sz="4" w:space="0" w:color="auto"/>
            </w:tcBorders>
            <w:hideMark/>
          </w:tcPr>
          <w:p w14:paraId="6BC6BB18" w14:textId="77777777" w:rsidR="006E0879" w:rsidRPr="00925DF4" w:rsidRDefault="006E0879" w:rsidP="00AB3D40">
            <w:pPr>
              <w:spacing w:before="60"/>
              <w:jc w:val="center"/>
              <w:rPr>
                <w:rFonts w:cs="Arial"/>
                <w:color w:val="FFFFFF" w:themeColor="background1"/>
              </w:rPr>
            </w:pPr>
            <w:r w:rsidRPr="00925DF4">
              <w:rPr>
                <w:rFonts w:cs="Arial"/>
              </w:rPr>
              <w:t>99</w:t>
            </w:r>
          </w:p>
        </w:tc>
      </w:tr>
    </w:tbl>
    <w:p w14:paraId="36C1EA6F" w14:textId="77777777" w:rsidR="006E0879" w:rsidRPr="00925DF4" w:rsidRDefault="006E0879" w:rsidP="006E0879">
      <w:pPr>
        <w:rPr>
          <w:rFonts w:cs="Arial"/>
          <w:bCs/>
          <w:color w:val="1D1D1B" w:themeColor="text1"/>
          <w:lang w:eastAsia="en-GB"/>
        </w:rPr>
      </w:pPr>
    </w:p>
    <w:p w14:paraId="484B87C1" w14:textId="77777777" w:rsidR="006E0879" w:rsidRPr="00925DF4" w:rsidRDefault="006E0879" w:rsidP="006E0879">
      <w:pPr>
        <w:rPr>
          <w:rFonts w:cs="Arial"/>
        </w:rPr>
      </w:pPr>
      <w:r w:rsidRPr="00925DF4">
        <w:rPr>
          <w:rFonts w:cs="Arial"/>
          <w:bCs/>
          <w:color w:val="FF0000"/>
          <w:lang w:eastAsia="en-GB"/>
        </w:rPr>
        <w:t xml:space="preserve">ASK </w:t>
      </w:r>
      <w:r>
        <w:rPr>
          <w:rFonts w:cs="Arial"/>
          <w:bCs/>
          <w:color w:val="FF0000"/>
          <w:lang w:eastAsia="en-GB"/>
        </w:rPr>
        <w:t>LOAN</w:t>
      </w:r>
    </w:p>
    <w:p w14:paraId="6BCA8FDA" w14:textId="1FE5016F" w:rsidR="006E0879" w:rsidRPr="00C31D26" w:rsidRDefault="006E0879" w:rsidP="006E0879">
      <w:pPr>
        <w:rPr>
          <w:rFonts w:cs="Arial"/>
          <w:bCs/>
        </w:rPr>
      </w:pPr>
      <w:r w:rsidRPr="00925DF4">
        <w:rPr>
          <w:rFonts w:cs="Arial"/>
          <w:b/>
          <w:bCs/>
        </w:rPr>
        <w:t xml:space="preserve">C4. Since </w:t>
      </w:r>
      <w:r>
        <w:rPr>
          <w:rFonts w:cs="Arial"/>
          <w:b/>
          <w:bCs/>
        </w:rPr>
        <w:t>accessing</w:t>
      </w:r>
      <w:r w:rsidRPr="00925DF4">
        <w:rPr>
          <w:rFonts w:cs="Arial"/>
          <w:b/>
          <w:bCs/>
        </w:rPr>
        <w:t xml:space="preserve"> the external finance </w:t>
      </w:r>
      <w:r>
        <w:rPr>
          <w:rFonts w:cs="Arial"/>
          <w:b/>
          <w:bCs/>
        </w:rPr>
        <w:t>under</w:t>
      </w:r>
      <w:r w:rsidRPr="00925DF4">
        <w:rPr>
          <w:rFonts w:cs="Arial"/>
          <w:b/>
          <w:bCs/>
        </w:rPr>
        <w:t xml:space="preserve"> the</w:t>
      </w:r>
      <w:r>
        <w:rPr>
          <w:rFonts w:cs="Arial"/>
          <w:b/>
          <w:bCs/>
        </w:rPr>
        <w:t xml:space="preserve"> Recovery Loan Scheme </w:t>
      </w:r>
      <w:r w:rsidRPr="00925DF4">
        <w:rPr>
          <w:rFonts w:cs="Arial"/>
          <w:b/>
          <w:bCs/>
        </w:rPr>
        <w:t>has your business undertaken any of the following activities</w:t>
      </w:r>
      <w:r w:rsidRPr="00925DF4">
        <w:rPr>
          <w:rFonts w:cs="Arial"/>
          <w:bCs/>
          <w:color w:val="F06603" w:themeColor="accent6"/>
        </w:rPr>
        <w:t xml:space="preserve">. </w:t>
      </w:r>
      <w:r w:rsidRPr="00925DF4">
        <w:rPr>
          <w:rFonts w:cs="Arial"/>
          <w:bCs/>
          <w:color w:val="FF0000"/>
        </w:rPr>
        <w:t xml:space="preserve">ROTATE </w:t>
      </w:r>
      <w:r>
        <w:rPr>
          <w:rFonts w:cs="Arial"/>
          <w:bCs/>
          <w:color w:val="FF0000"/>
        </w:rPr>
        <w:t>2</w:t>
      </w:r>
      <w:r w:rsidRPr="00925DF4">
        <w:rPr>
          <w:rFonts w:cs="Arial"/>
          <w:bCs/>
          <w:color w:val="FF0000"/>
        </w:rPr>
        <w:t xml:space="preserve"> TO </w:t>
      </w:r>
      <w:r>
        <w:rPr>
          <w:rFonts w:cs="Arial"/>
          <w:bCs/>
          <w:color w:val="FF0000"/>
        </w:rPr>
        <w:t>5</w:t>
      </w:r>
      <w:r w:rsidRPr="00925DF4">
        <w:rPr>
          <w:rFonts w:cs="Arial"/>
          <w:bCs/>
          <w:color w:val="FF0000"/>
        </w:rPr>
        <w:t xml:space="preserve"> (CODE 3 ALWAYS FOLLOWS CODE 2). MUTLICODE OK. </w:t>
      </w:r>
      <w:r w:rsidRPr="00925DF4">
        <w:rPr>
          <w:rFonts w:cs="Arial"/>
          <w:bCs/>
          <w:color w:val="F06603" w:themeColor="accent6"/>
        </w:rPr>
        <w:t xml:space="preserve">READ OUT </w:t>
      </w:r>
      <w:r>
        <w:rPr>
          <w:rFonts w:cs="Arial"/>
          <w:bCs/>
          <w:color w:val="F06603" w:themeColor="accent6"/>
        </w:rPr>
        <w:t>2</w:t>
      </w:r>
      <w:r w:rsidRPr="00925DF4">
        <w:rPr>
          <w:rFonts w:cs="Arial"/>
          <w:bCs/>
          <w:color w:val="F06603" w:themeColor="accent6"/>
        </w:rPr>
        <w:t xml:space="preserve"> TO </w:t>
      </w:r>
      <w:r>
        <w:rPr>
          <w:rFonts w:cs="Arial"/>
          <w:bCs/>
          <w:color w:val="F06603" w:themeColor="accent6"/>
        </w:rPr>
        <w:t>5</w:t>
      </w:r>
      <w:r w:rsidRPr="00925DF4">
        <w:rPr>
          <w:rFonts w:cs="Arial"/>
          <w:bCs/>
          <w:color w:val="F06603" w:themeColor="accent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5"/>
        <w:gridCol w:w="1219"/>
      </w:tblGrid>
      <w:tr w:rsidR="006E0879" w:rsidRPr="00925DF4" w14:paraId="59940DE9" w14:textId="77777777" w:rsidTr="00AB3D40">
        <w:tc>
          <w:tcPr>
            <w:tcW w:w="4399" w:type="pct"/>
            <w:tcBorders>
              <w:top w:val="single" w:sz="4" w:space="0" w:color="auto"/>
              <w:left w:val="single" w:sz="4" w:space="0" w:color="auto"/>
              <w:bottom w:val="single" w:sz="4" w:space="0" w:color="auto"/>
              <w:right w:val="single" w:sz="4" w:space="0" w:color="auto"/>
            </w:tcBorders>
          </w:tcPr>
          <w:p w14:paraId="54FD9C60" w14:textId="77777777" w:rsidR="006E0879" w:rsidRPr="00925DF4" w:rsidRDefault="006E0879" w:rsidP="00AB3D40">
            <w:pPr>
              <w:spacing w:before="60"/>
              <w:rPr>
                <w:rFonts w:cs="Arial"/>
                <w:lang w:eastAsia="en-GB"/>
              </w:rPr>
            </w:pPr>
            <w:r w:rsidRPr="00925DF4">
              <w:rPr>
                <w:rFonts w:cs="Arial"/>
                <w:bCs/>
                <w:color w:val="1D1D1B" w:themeColor="text1"/>
              </w:rPr>
              <w:t>Research and development (R&amp;D) activities (excluding R&amp;D related to the environment)</w:t>
            </w:r>
          </w:p>
        </w:tc>
        <w:tc>
          <w:tcPr>
            <w:tcW w:w="601" w:type="pct"/>
            <w:tcBorders>
              <w:top w:val="single" w:sz="4" w:space="0" w:color="auto"/>
              <w:left w:val="single" w:sz="4" w:space="0" w:color="auto"/>
              <w:bottom w:val="single" w:sz="4" w:space="0" w:color="auto"/>
              <w:right w:val="single" w:sz="4" w:space="0" w:color="auto"/>
            </w:tcBorders>
          </w:tcPr>
          <w:p w14:paraId="2064E438" w14:textId="77777777" w:rsidR="006E0879" w:rsidRPr="00925DF4" w:rsidRDefault="006E0879" w:rsidP="00AB3D40">
            <w:pPr>
              <w:spacing w:before="60"/>
              <w:jc w:val="center"/>
              <w:rPr>
                <w:rFonts w:cs="Arial"/>
                <w:bCs/>
                <w:color w:val="1D1D1B" w:themeColor="text1"/>
              </w:rPr>
            </w:pPr>
            <w:r w:rsidRPr="00925DF4">
              <w:rPr>
                <w:rFonts w:cs="Arial"/>
                <w:bCs/>
                <w:color w:val="1D1D1B" w:themeColor="text1"/>
              </w:rPr>
              <w:t>2</w:t>
            </w:r>
          </w:p>
        </w:tc>
      </w:tr>
      <w:tr w:rsidR="006E0879" w:rsidRPr="00925DF4" w14:paraId="390572F6" w14:textId="77777777" w:rsidTr="00AB3D40">
        <w:tc>
          <w:tcPr>
            <w:tcW w:w="4399" w:type="pct"/>
            <w:tcBorders>
              <w:top w:val="single" w:sz="4" w:space="0" w:color="auto"/>
              <w:left w:val="single" w:sz="4" w:space="0" w:color="auto"/>
              <w:bottom w:val="single" w:sz="4" w:space="0" w:color="auto"/>
              <w:right w:val="single" w:sz="4" w:space="0" w:color="auto"/>
            </w:tcBorders>
          </w:tcPr>
          <w:p w14:paraId="1FE68E1F" w14:textId="77777777" w:rsidR="006E0879" w:rsidRPr="00925DF4" w:rsidRDefault="006E0879" w:rsidP="00AB3D40">
            <w:pPr>
              <w:spacing w:before="60"/>
              <w:rPr>
                <w:rFonts w:cs="Arial"/>
                <w:lang w:eastAsia="en-GB"/>
              </w:rPr>
            </w:pPr>
            <w:r w:rsidRPr="00925DF4">
              <w:rPr>
                <w:rFonts w:cs="Arial"/>
                <w:bCs/>
                <w:color w:val="1D1D1B" w:themeColor="text1"/>
              </w:rPr>
              <w:t xml:space="preserve">Actions to reduce your business’s carbon emissions (including R&amp;D related to the environment) </w:t>
            </w:r>
            <w:r w:rsidRPr="00925DF4">
              <w:rPr>
                <w:rFonts w:cs="Arial"/>
                <w:color w:val="FF0000"/>
              </w:rPr>
              <w:t>[ADD IF NECESSARY / SHOW AS INFO BUTTON FOR ONLINE SURVEY:</w:t>
            </w:r>
            <w:r w:rsidRPr="00925DF4">
              <w:rPr>
                <w:rFonts w:cs="Arial"/>
                <w:color w:val="1D1D1B" w:themeColor="text1"/>
              </w:rPr>
              <w:t xml:space="preserve"> Examples include increased reliance on renewable energy, training staff on environmental matters, conducting R&amp;D relating to the environment </w:t>
            </w:r>
          </w:p>
        </w:tc>
        <w:tc>
          <w:tcPr>
            <w:tcW w:w="601" w:type="pct"/>
            <w:tcBorders>
              <w:top w:val="single" w:sz="4" w:space="0" w:color="auto"/>
              <w:left w:val="single" w:sz="4" w:space="0" w:color="auto"/>
              <w:bottom w:val="single" w:sz="4" w:space="0" w:color="auto"/>
              <w:right w:val="single" w:sz="4" w:space="0" w:color="auto"/>
            </w:tcBorders>
          </w:tcPr>
          <w:p w14:paraId="6AE6F302" w14:textId="77777777" w:rsidR="006E0879" w:rsidRPr="00925DF4" w:rsidRDefault="006E0879" w:rsidP="00AB3D40">
            <w:pPr>
              <w:spacing w:before="60"/>
              <w:jc w:val="center"/>
              <w:rPr>
                <w:rFonts w:cs="Arial"/>
                <w:bCs/>
                <w:color w:val="1D1D1B" w:themeColor="text1"/>
              </w:rPr>
            </w:pPr>
            <w:r w:rsidRPr="00925DF4">
              <w:rPr>
                <w:rFonts w:cs="Arial"/>
                <w:bCs/>
                <w:color w:val="1D1D1B" w:themeColor="text1"/>
              </w:rPr>
              <w:t>3</w:t>
            </w:r>
          </w:p>
        </w:tc>
      </w:tr>
      <w:tr w:rsidR="006E0879" w:rsidRPr="00925DF4" w14:paraId="27219FED" w14:textId="77777777" w:rsidTr="00AB3D40">
        <w:tc>
          <w:tcPr>
            <w:tcW w:w="4399" w:type="pct"/>
            <w:tcBorders>
              <w:top w:val="single" w:sz="4" w:space="0" w:color="auto"/>
              <w:left w:val="single" w:sz="4" w:space="0" w:color="auto"/>
              <w:bottom w:val="single" w:sz="4" w:space="0" w:color="auto"/>
              <w:right w:val="single" w:sz="4" w:space="0" w:color="auto"/>
            </w:tcBorders>
          </w:tcPr>
          <w:p w14:paraId="21181C1D" w14:textId="77777777" w:rsidR="006E0879" w:rsidRPr="00925DF4" w:rsidRDefault="006E0879" w:rsidP="00AB3D40">
            <w:pPr>
              <w:spacing w:before="60"/>
              <w:rPr>
                <w:rFonts w:cs="Arial"/>
                <w:lang w:eastAsia="en-GB"/>
              </w:rPr>
            </w:pPr>
            <w:r w:rsidRPr="00925DF4">
              <w:rPr>
                <w:rFonts w:cs="Arial"/>
                <w:bCs/>
                <w:color w:val="1D1D1B" w:themeColor="text1"/>
              </w:rPr>
              <w:t xml:space="preserve">The development of new or modified processes or business models </w:t>
            </w:r>
          </w:p>
        </w:tc>
        <w:tc>
          <w:tcPr>
            <w:tcW w:w="601" w:type="pct"/>
            <w:tcBorders>
              <w:top w:val="single" w:sz="4" w:space="0" w:color="auto"/>
              <w:left w:val="single" w:sz="4" w:space="0" w:color="auto"/>
              <w:bottom w:val="single" w:sz="4" w:space="0" w:color="auto"/>
              <w:right w:val="single" w:sz="4" w:space="0" w:color="auto"/>
            </w:tcBorders>
          </w:tcPr>
          <w:p w14:paraId="34FB48B9" w14:textId="77777777" w:rsidR="006E0879" w:rsidRPr="00925DF4" w:rsidRDefault="006E0879" w:rsidP="00AB3D40">
            <w:pPr>
              <w:spacing w:before="60"/>
              <w:jc w:val="center"/>
              <w:rPr>
                <w:rFonts w:cs="Arial"/>
                <w:bCs/>
                <w:color w:val="1D1D1B" w:themeColor="text1"/>
              </w:rPr>
            </w:pPr>
            <w:r w:rsidRPr="00925DF4">
              <w:rPr>
                <w:rFonts w:cs="Arial"/>
                <w:bCs/>
                <w:color w:val="1D1D1B" w:themeColor="text1"/>
              </w:rPr>
              <w:t>4</w:t>
            </w:r>
          </w:p>
        </w:tc>
      </w:tr>
      <w:tr w:rsidR="006E0879" w:rsidRPr="00925DF4" w14:paraId="04F1D970" w14:textId="77777777" w:rsidTr="00AB3D40">
        <w:tc>
          <w:tcPr>
            <w:tcW w:w="4399" w:type="pct"/>
            <w:tcBorders>
              <w:top w:val="single" w:sz="4" w:space="0" w:color="auto"/>
              <w:left w:val="single" w:sz="4" w:space="0" w:color="auto"/>
              <w:bottom w:val="single" w:sz="4" w:space="0" w:color="auto"/>
              <w:right w:val="single" w:sz="4" w:space="0" w:color="auto"/>
            </w:tcBorders>
          </w:tcPr>
          <w:p w14:paraId="5000FBD9" w14:textId="77777777" w:rsidR="006E0879" w:rsidRPr="00925DF4" w:rsidRDefault="006E0879" w:rsidP="00AB3D40">
            <w:pPr>
              <w:spacing w:before="60"/>
              <w:rPr>
                <w:rFonts w:cs="Arial"/>
                <w:lang w:eastAsia="en-GB"/>
              </w:rPr>
            </w:pPr>
            <w:r w:rsidRPr="00925DF4">
              <w:rPr>
                <w:rFonts w:cs="Arial"/>
                <w:bCs/>
                <w:color w:val="1D1D1B" w:themeColor="text1"/>
              </w:rPr>
              <w:t xml:space="preserve">The development of new or modified goods or services </w:t>
            </w:r>
          </w:p>
        </w:tc>
        <w:tc>
          <w:tcPr>
            <w:tcW w:w="601" w:type="pct"/>
            <w:tcBorders>
              <w:top w:val="single" w:sz="4" w:space="0" w:color="auto"/>
              <w:left w:val="single" w:sz="4" w:space="0" w:color="auto"/>
              <w:bottom w:val="single" w:sz="4" w:space="0" w:color="auto"/>
              <w:right w:val="single" w:sz="4" w:space="0" w:color="auto"/>
            </w:tcBorders>
          </w:tcPr>
          <w:p w14:paraId="50CA88E0" w14:textId="77777777" w:rsidR="006E0879" w:rsidRPr="00925DF4" w:rsidRDefault="006E0879" w:rsidP="00AB3D40">
            <w:pPr>
              <w:spacing w:before="60"/>
              <w:jc w:val="center"/>
              <w:rPr>
                <w:rFonts w:cs="Arial"/>
                <w:bCs/>
                <w:color w:val="1D1D1B" w:themeColor="text1"/>
              </w:rPr>
            </w:pPr>
            <w:r w:rsidRPr="00925DF4">
              <w:rPr>
                <w:rFonts w:cs="Arial"/>
                <w:bCs/>
                <w:color w:val="1D1D1B" w:themeColor="text1"/>
              </w:rPr>
              <w:t>5</w:t>
            </w:r>
          </w:p>
        </w:tc>
      </w:tr>
      <w:tr w:rsidR="006E0879" w:rsidRPr="00925DF4" w14:paraId="17FC5482" w14:textId="77777777" w:rsidTr="00AB3D40">
        <w:tc>
          <w:tcPr>
            <w:tcW w:w="4399" w:type="pct"/>
            <w:tcBorders>
              <w:top w:val="single" w:sz="4" w:space="0" w:color="auto"/>
              <w:left w:val="single" w:sz="4" w:space="0" w:color="auto"/>
              <w:bottom w:val="single" w:sz="4" w:space="0" w:color="auto"/>
              <w:right w:val="single" w:sz="4" w:space="0" w:color="auto"/>
            </w:tcBorders>
          </w:tcPr>
          <w:p w14:paraId="4D2F4BEB" w14:textId="77777777" w:rsidR="006E0879" w:rsidRPr="00925DF4" w:rsidRDefault="006E0879" w:rsidP="00AB3D40">
            <w:pPr>
              <w:spacing w:before="60"/>
              <w:rPr>
                <w:rFonts w:cs="Arial"/>
                <w:bCs/>
                <w:color w:val="1D1D1B" w:themeColor="text1"/>
              </w:rPr>
            </w:pPr>
            <w:r w:rsidRPr="00925DF4">
              <w:rPr>
                <w:rFonts w:cs="Arial"/>
                <w:bCs/>
                <w:color w:val="1D1D1B" w:themeColor="text1"/>
              </w:rPr>
              <w:t>None of the above</w:t>
            </w:r>
          </w:p>
        </w:tc>
        <w:tc>
          <w:tcPr>
            <w:tcW w:w="601" w:type="pct"/>
            <w:tcBorders>
              <w:top w:val="single" w:sz="4" w:space="0" w:color="auto"/>
              <w:left w:val="single" w:sz="4" w:space="0" w:color="auto"/>
              <w:bottom w:val="single" w:sz="4" w:space="0" w:color="auto"/>
              <w:right w:val="single" w:sz="4" w:space="0" w:color="auto"/>
            </w:tcBorders>
          </w:tcPr>
          <w:p w14:paraId="2A8052FC" w14:textId="77777777" w:rsidR="006E0879" w:rsidRPr="00925DF4" w:rsidRDefault="006E0879" w:rsidP="00AB3D40">
            <w:pPr>
              <w:spacing w:before="60"/>
              <w:jc w:val="center"/>
              <w:rPr>
                <w:rFonts w:cs="Arial"/>
                <w:bCs/>
                <w:color w:val="1D1D1B" w:themeColor="text1"/>
              </w:rPr>
            </w:pPr>
            <w:r w:rsidRPr="00925DF4">
              <w:rPr>
                <w:rFonts w:cs="Arial"/>
                <w:bCs/>
                <w:color w:val="1D1D1B" w:themeColor="text1"/>
              </w:rPr>
              <w:t>97</w:t>
            </w:r>
          </w:p>
        </w:tc>
      </w:tr>
      <w:tr w:rsidR="006E0879" w:rsidRPr="00925DF4" w14:paraId="1A5AA570" w14:textId="77777777" w:rsidTr="00AB3D40">
        <w:tc>
          <w:tcPr>
            <w:tcW w:w="4399" w:type="pct"/>
            <w:tcBorders>
              <w:top w:val="single" w:sz="4" w:space="0" w:color="auto"/>
              <w:left w:val="single" w:sz="4" w:space="0" w:color="auto"/>
              <w:bottom w:val="single" w:sz="4" w:space="0" w:color="auto"/>
              <w:right w:val="single" w:sz="4" w:space="0" w:color="auto"/>
            </w:tcBorders>
          </w:tcPr>
          <w:p w14:paraId="4642B33A" w14:textId="77777777" w:rsidR="006E0879" w:rsidRPr="00925DF4" w:rsidRDefault="006E0879" w:rsidP="00AB3D40">
            <w:pPr>
              <w:spacing w:before="60"/>
              <w:rPr>
                <w:rFonts w:cs="Arial"/>
                <w:bCs/>
                <w:color w:val="1D1D1B" w:themeColor="text1"/>
              </w:rPr>
            </w:pPr>
            <w:r w:rsidRPr="00925DF4">
              <w:rPr>
                <w:rFonts w:cs="Arial"/>
                <w:bCs/>
                <w:color w:val="1D1D1B" w:themeColor="text1"/>
              </w:rPr>
              <w:t>Don’t know</w:t>
            </w:r>
          </w:p>
        </w:tc>
        <w:tc>
          <w:tcPr>
            <w:tcW w:w="601" w:type="pct"/>
            <w:tcBorders>
              <w:top w:val="single" w:sz="4" w:space="0" w:color="auto"/>
              <w:left w:val="single" w:sz="4" w:space="0" w:color="auto"/>
              <w:bottom w:val="single" w:sz="4" w:space="0" w:color="auto"/>
              <w:right w:val="single" w:sz="4" w:space="0" w:color="auto"/>
            </w:tcBorders>
          </w:tcPr>
          <w:p w14:paraId="07E29429" w14:textId="77777777" w:rsidR="006E0879" w:rsidRPr="00925DF4" w:rsidRDefault="006E0879" w:rsidP="00AB3D40">
            <w:pPr>
              <w:spacing w:before="60"/>
              <w:jc w:val="center"/>
              <w:rPr>
                <w:rFonts w:cs="Arial"/>
                <w:bCs/>
                <w:color w:val="1D1D1B" w:themeColor="text1"/>
              </w:rPr>
            </w:pPr>
            <w:r w:rsidRPr="00925DF4">
              <w:rPr>
                <w:rFonts w:cs="Arial"/>
                <w:bCs/>
                <w:color w:val="1D1D1B" w:themeColor="text1"/>
              </w:rPr>
              <w:t>98</w:t>
            </w:r>
          </w:p>
        </w:tc>
      </w:tr>
      <w:tr w:rsidR="006E0879" w:rsidRPr="00925DF4" w14:paraId="097B69FE" w14:textId="77777777" w:rsidTr="00AB3D40">
        <w:tc>
          <w:tcPr>
            <w:tcW w:w="4399" w:type="pct"/>
            <w:tcBorders>
              <w:top w:val="single" w:sz="4" w:space="0" w:color="auto"/>
              <w:left w:val="single" w:sz="4" w:space="0" w:color="auto"/>
              <w:bottom w:val="single" w:sz="4" w:space="0" w:color="auto"/>
              <w:right w:val="single" w:sz="4" w:space="0" w:color="auto"/>
            </w:tcBorders>
          </w:tcPr>
          <w:p w14:paraId="22898A8A" w14:textId="77777777" w:rsidR="006E0879" w:rsidRPr="00925DF4" w:rsidRDefault="006E0879" w:rsidP="00AB3D40">
            <w:pPr>
              <w:spacing w:before="60"/>
              <w:rPr>
                <w:rFonts w:cs="Arial"/>
                <w:bCs/>
                <w:color w:val="1D1D1B" w:themeColor="text1"/>
              </w:rPr>
            </w:pPr>
            <w:r w:rsidRPr="00925DF4">
              <w:rPr>
                <w:rFonts w:cs="Arial"/>
                <w:bCs/>
                <w:color w:val="1D1D1B" w:themeColor="text1"/>
              </w:rPr>
              <w:t>Refused</w:t>
            </w:r>
          </w:p>
        </w:tc>
        <w:tc>
          <w:tcPr>
            <w:tcW w:w="601" w:type="pct"/>
            <w:tcBorders>
              <w:top w:val="single" w:sz="4" w:space="0" w:color="auto"/>
              <w:left w:val="single" w:sz="4" w:space="0" w:color="auto"/>
              <w:bottom w:val="single" w:sz="4" w:space="0" w:color="auto"/>
              <w:right w:val="single" w:sz="4" w:space="0" w:color="auto"/>
            </w:tcBorders>
          </w:tcPr>
          <w:p w14:paraId="1194833D" w14:textId="77777777" w:rsidR="006E0879" w:rsidRPr="00925DF4" w:rsidRDefault="006E0879" w:rsidP="00AB3D40">
            <w:pPr>
              <w:spacing w:before="60"/>
              <w:jc w:val="center"/>
              <w:rPr>
                <w:rFonts w:cs="Arial"/>
                <w:bCs/>
                <w:color w:val="1D1D1B" w:themeColor="text1"/>
              </w:rPr>
            </w:pPr>
            <w:r w:rsidRPr="00925DF4">
              <w:rPr>
                <w:rFonts w:cs="Arial"/>
                <w:bCs/>
                <w:color w:val="1D1D1B" w:themeColor="text1"/>
              </w:rPr>
              <w:t>99</w:t>
            </w:r>
          </w:p>
        </w:tc>
      </w:tr>
    </w:tbl>
    <w:p w14:paraId="5E9DFCE7" w14:textId="77777777" w:rsidR="006E0879" w:rsidRPr="00925DF4" w:rsidRDefault="006E0879" w:rsidP="006E0879">
      <w:pPr>
        <w:spacing w:after="160" w:line="259" w:lineRule="auto"/>
        <w:rPr>
          <w:rFonts w:cs="Arial"/>
          <w:bCs/>
        </w:rPr>
      </w:pPr>
    </w:p>
    <w:p w14:paraId="6DFC1CA1" w14:textId="77777777" w:rsidR="006E0879" w:rsidRPr="00FF2B73" w:rsidRDefault="006E0879" w:rsidP="006E0879">
      <w:pPr>
        <w:spacing w:after="160" w:line="259" w:lineRule="auto"/>
        <w:rPr>
          <w:rFonts w:eastAsia="Calibri" w:cs="Arial"/>
          <w:b/>
          <w:color w:val="1D1D1B" w:themeColor="text1"/>
          <w:lang w:eastAsia="en-GB"/>
        </w:rPr>
      </w:pPr>
      <w:r w:rsidRPr="00925DF4">
        <w:rPr>
          <w:color w:val="FF0000"/>
        </w:rPr>
        <w:t xml:space="preserve">SHOW </w:t>
      </w:r>
      <w:r>
        <w:rPr>
          <w:color w:val="FF0000"/>
        </w:rPr>
        <w:t>LOAN</w:t>
      </w:r>
    </w:p>
    <w:p w14:paraId="5A890E0B" w14:textId="51286571" w:rsidR="006E0879" w:rsidRPr="00C31D26" w:rsidRDefault="006E0879" w:rsidP="00C31D26">
      <w:pPr>
        <w:pStyle w:val="04ABodyText"/>
        <w:spacing w:before="0" w:after="0" w:line="240" w:lineRule="auto"/>
        <w:rPr>
          <w:rFonts w:ascii="Arial" w:hAnsi="Arial"/>
          <w:b/>
        </w:rPr>
      </w:pPr>
      <w:r w:rsidRPr="00925DF4">
        <w:rPr>
          <w:rFonts w:ascii="Arial" w:hAnsi="Arial"/>
          <w:b/>
        </w:rPr>
        <w:t>The next few questions are asking about your business’ competitors, and your exporting or importing plans.</w:t>
      </w:r>
    </w:p>
    <w:p w14:paraId="56ECA186" w14:textId="77777777" w:rsidR="006E0879" w:rsidRPr="00925DF4" w:rsidRDefault="006E0879" w:rsidP="006E0879">
      <w:pPr>
        <w:pStyle w:val="05BBullets2ndlevel"/>
        <w:spacing w:before="0" w:after="0" w:line="240" w:lineRule="auto"/>
        <w:rPr>
          <w:bCs/>
          <w:sz w:val="20"/>
        </w:rPr>
      </w:pPr>
    </w:p>
    <w:p w14:paraId="4EFD703D" w14:textId="77777777" w:rsidR="006E0879" w:rsidRPr="00925DF4" w:rsidRDefault="006E0879" w:rsidP="00C31D26">
      <w:pPr>
        <w:pStyle w:val="05BBullets2ndlevel"/>
        <w:spacing w:before="0" w:after="0" w:line="240" w:lineRule="auto"/>
        <w:ind w:left="0" w:firstLine="0"/>
        <w:rPr>
          <w:bCs/>
          <w:color w:val="FF0000"/>
          <w:sz w:val="20"/>
        </w:rPr>
      </w:pPr>
      <w:r w:rsidRPr="00925DF4">
        <w:rPr>
          <w:bCs/>
          <w:color w:val="FF0000"/>
          <w:sz w:val="20"/>
        </w:rPr>
        <w:t xml:space="preserve">ASK </w:t>
      </w:r>
      <w:r>
        <w:rPr>
          <w:bCs/>
          <w:color w:val="FF0000"/>
          <w:sz w:val="20"/>
        </w:rPr>
        <w:t>LOAN</w:t>
      </w:r>
    </w:p>
    <w:p w14:paraId="67BE3869" w14:textId="2FADEFE8" w:rsidR="006E0879" w:rsidRPr="00C31D26" w:rsidRDefault="006E0879" w:rsidP="006E0879">
      <w:pPr>
        <w:rPr>
          <w:rFonts w:cs="Arial"/>
        </w:rPr>
      </w:pPr>
      <w:r w:rsidRPr="00925DF4">
        <w:rPr>
          <w:rFonts w:cs="Arial"/>
          <w:b/>
          <w:bCs/>
        </w:rPr>
        <w:t xml:space="preserve">D2 Now thinking about your competitors, how would you describe the nature of the competition in your main market/s with respect to the type of goods and services you sell and the geographic area in which you sell them? Please think about your circumstances </w:t>
      </w:r>
      <w:r>
        <w:rPr>
          <w:rFonts w:cs="Arial"/>
          <w:b/>
          <w:bCs/>
        </w:rPr>
        <w:t>when you received your finance under the Recovery Loan Scheme</w:t>
      </w:r>
      <w:r w:rsidRPr="00925DF4">
        <w:rPr>
          <w:rFonts w:cs="Arial"/>
          <w:b/>
          <w:bCs/>
        </w:rPr>
        <w:t>. Would you say that there was…?</w:t>
      </w:r>
      <w:r w:rsidRPr="00925DF4">
        <w:rPr>
          <w:rFonts w:cs="Arial"/>
        </w:rPr>
        <w:t xml:space="preserve">  </w:t>
      </w:r>
      <w:r w:rsidRPr="00925DF4">
        <w:rPr>
          <w:rFonts w:cs="Arial"/>
          <w:color w:val="FF0000"/>
        </w:rPr>
        <w:t xml:space="preserve">REVERSE SCALE. SINGLE CODE ONLY. </w:t>
      </w:r>
      <w:r w:rsidRPr="00925DF4">
        <w:rPr>
          <w:rFonts w:cs="Arial"/>
          <w:color w:val="F06603" w:themeColor="accent6"/>
        </w:rPr>
        <w:t>READ OUT SCALE.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9"/>
        <w:gridCol w:w="1075"/>
      </w:tblGrid>
      <w:tr w:rsidR="006E0879" w:rsidRPr="00925DF4" w14:paraId="437EA23D"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0786F9FA"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Very intense competition</w:t>
            </w:r>
          </w:p>
        </w:tc>
        <w:tc>
          <w:tcPr>
            <w:tcW w:w="530" w:type="pct"/>
            <w:tcBorders>
              <w:top w:val="single" w:sz="4" w:space="0" w:color="auto"/>
              <w:left w:val="single" w:sz="4" w:space="0" w:color="auto"/>
              <w:bottom w:val="single" w:sz="4" w:space="0" w:color="auto"/>
              <w:right w:val="single" w:sz="4" w:space="0" w:color="auto"/>
            </w:tcBorders>
            <w:hideMark/>
          </w:tcPr>
          <w:p w14:paraId="60309986"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1</w:t>
            </w:r>
          </w:p>
        </w:tc>
      </w:tr>
      <w:tr w:rsidR="006E0879" w:rsidRPr="00925DF4" w14:paraId="693D2868" w14:textId="77777777" w:rsidTr="00AB3D40">
        <w:trPr>
          <w:trHeight w:val="85"/>
        </w:trPr>
        <w:tc>
          <w:tcPr>
            <w:tcW w:w="4470" w:type="pct"/>
            <w:tcBorders>
              <w:top w:val="single" w:sz="4" w:space="0" w:color="auto"/>
              <w:left w:val="single" w:sz="4" w:space="0" w:color="auto"/>
              <w:bottom w:val="single" w:sz="4" w:space="0" w:color="auto"/>
              <w:right w:val="single" w:sz="4" w:space="0" w:color="auto"/>
            </w:tcBorders>
            <w:hideMark/>
          </w:tcPr>
          <w:p w14:paraId="6C22E1F6"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Intense competition</w:t>
            </w:r>
          </w:p>
        </w:tc>
        <w:tc>
          <w:tcPr>
            <w:tcW w:w="530" w:type="pct"/>
            <w:tcBorders>
              <w:top w:val="single" w:sz="4" w:space="0" w:color="auto"/>
              <w:left w:val="single" w:sz="4" w:space="0" w:color="auto"/>
              <w:bottom w:val="single" w:sz="4" w:space="0" w:color="auto"/>
              <w:right w:val="single" w:sz="4" w:space="0" w:color="auto"/>
            </w:tcBorders>
            <w:hideMark/>
          </w:tcPr>
          <w:p w14:paraId="1143987A"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2</w:t>
            </w:r>
          </w:p>
        </w:tc>
      </w:tr>
      <w:tr w:rsidR="006E0879" w:rsidRPr="00925DF4" w14:paraId="00AAFFC5"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6A43FE70"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Moderate competition</w:t>
            </w:r>
          </w:p>
        </w:tc>
        <w:tc>
          <w:tcPr>
            <w:tcW w:w="530" w:type="pct"/>
            <w:tcBorders>
              <w:top w:val="single" w:sz="4" w:space="0" w:color="auto"/>
              <w:left w:val="single" w:sz="4" w:space="0" w:color="auto"/>
              <w:bottom w:val="single" w:sz="4" w:space="0" w:color="auto"/>
              <w:right w:val="single" w:sz="4" w:space="0" w:color="auto"/>
            </w:tcBorders>
            <w:hideMark/>
          </w:tcPr>
          <w:p w14:paraId="4D84F4AA"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3</w:t>
            </w:r>
          </w:p>
        </w:tc>
      </w:tr>
      <w:tr w:rsidR="006E0879" w:rsidRPr="00925DF4" w14:paraId="118CCB28"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3B22CC28"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Weak competition</w:t>
            </w:r>
          </w:p>
        </w:tc>
        <w:tc>
          <w:tcPr>
            <w:tcW w:w="530" w:type="pct"/>
            <w:tcBorders>
              <w:top w:val="single" w:sz="4" w:space="0" w:color="auto"/>
              <w:left w:val="single" w:sz="4" w:space="0" w:color="auto"/>
              <w:bottom w:val="single" w:sz="4" w:space="0" w:color="auto"/>
              <w:right w:val="single" w:sz="4" w:space="0" w:color="auto"/>
            </w:tcBorders>
            <w:hideMark/>
          </w:tcPr>
          <w:p w14:paraId="40FEFF16"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4</w:t>
            </w:r>
          </w:p>
        </w:tc>
      </w:tr>
      <w:tr w:rsidR="006E0879" w:rsidRPr="00925DF4" w14:paraId="14A0460D" w14:textId="77777777" w:rsidTr="00AB3D40">
        <w:tc>
          <w:tcPr>
            <w:tcW w:w="4470" w:type="pct"/>
            <w:tcBorders>
              <w:top w:val="single" w:sz="4" w:space="0" w:color="auto"/>
              <w:left w:val="single" w:sz="4" w:space="0" w:color="auto"/>
              <w:bottom w:val="single" w:sz="4" w:space="0" w:color="auto"/>
              <w:right w:val="single" w:sz="4" w:space="0" w:color="auto"/>
            </w:tcBorders>
          </w:tcPr>
          <w:p w14:paraId="615A810A"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No competition at all</w:t>
            </w:r>
          </w:p>
        </w:tc>
        <w:tc>
          <w:tcPr>
            <w:tcW w:w="530" w:type="pct"/>
            <w:tcBorders>
              <w:top w:val="single" w:sz="4" w:space="0" w:color="auto"/>
              <w:left w:val="single" w:sz="4" w:space="0" w:color="auto"/>
              <w:bottom w:val="single" w:sz="4" w:space="0" w:color="auto"/>
              <w:right w:val="single" w:sz="4" w:space="0" w:color="auto"/>
            </w:tcBorders>
          </w:tcPr>
          <w:p w14:paraId="68154FB8"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5</w:t>
            </w:r>
          </w:p>
        </w:tc>
      </w:tr>
      <w:tr w:rsidR="006E0879" w:rsidRPr="00925DF4" w14:paraId="3FEBF9D6"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63AC0C08"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Don’t know</w:t>
            </w:r>
          </w:p>
        </w:tc>
        <w:tc>
          <w:tcPr>
            <w:tcW w:w="530" w:type="pct"/>
            <w:tcBorders>
              <w:top w:val="single" w:sz="4" w:space="0" w:color="auto"/>
              <w:left w:val="single" w:sz="4" w:space="0" w:color="auto"/>
              <w:bottom w:val="single" w:sz="4" w:space="0" w:color="auto"/>
              <w:right w:val="single" w:sz="4" w:space="0" w:color="auto"/>
            </w:tcBorders>
            <w:hideMark/>
          </w:tcPr>
          <w:p w14:paraId="5A56684B"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98</w:t>
            </w:r>
          </w:p>
        </w:tc>
      </w:tr>
      <w:tr w:rsidR="006E0879" w:rsidRPr="00925DF4" w14:paraId="5C9F9F6B"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5ADC527E"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Refused</w:t>
            </w:r>
          </w:p>
        </w:tc>
        <w:tc>
          <w:tcPr>
            <w:tcW w:w="530" w:type="pct"/>
            <w:tcBorders>
              <w:top w:val="single" w:sz="4" w:space="0" w:color="auto"/>
              <w:left w:val="single" w:sz="4" w:space="0" w:color="auto"/>
              <w:bottom w:val="single" w:sz="4" w:space="0" w:color="auto"/>
              <w:right w:val="single" w:sz="4" w:space="0" w:color="auto"/>
            </w:tcBorders>
            <w:hideMark/>
          </w:tcPr>
          <w:p w14:paraId="51559E1D"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99</w:t>
            </w:r>
          </w:p>
        </w:tc>
      </w:tr>
    </w:tbl>
    <w:p w14:paraId="72B3A063" w14:textId="77777777" w:rsidR="006E0879" w:rsidRPr="00925DF4" w:rsidRDefault="006E0879" w:rsidP="006E0879">
      <w:pPr>
        <w:spacing w:after="160" w:line="259" w:lineRule="auto"/>
        <w:rPr>
          <w:rFonts w:cs="Arial"/>
          <w:color w:val="FF0000"/>
          <w:lang w:eastAsia="en-GB"/>
        </w:rPr>
      </w:pPr>
    </w:p>
    <w:p w14:paraId="701CF1F8" w14:textId="77777777" w:rsidR="006E0879" w:rsidRPr="00925DF4" w:rsidRDefault="006E0879" w:rsidP="006E0879">
      <w:pPr>
        <w:pStyle w:val="04ABodyText"/>
        <w:spacing w:before="0" w:after="0" w:line="240" w:lineRule="auto"/>
        <w:rPr>
          <w:rFonts w:ascii="Arial" w:hAnsi="Arial"/>
          <w:color w:val="FF0000"/>
        </w:rPr>
      </w:pPr>
      <w:r w:rsidRPr="00925DF4">
        <w:rPr>
          <w:rFonts w:ascii="Arial" w:hAnsi="Arial"/>
          <w:color w:val="FF0000"/>
        </w:rPr>
        <w:t xml:space="preserve">ASK </w:t>
      </w:r>
      <w:r>
        <w:rPr>
          <w:rFonts w:ascii="Arial" w:hAnsi="Arial"/>
          <w:color w:val="FF0000"/>
        </w:rPr>
        <w:t>LOAN</w:t>
      </w:r>
    </w:p>
    <w:p w14:paraId="200049B5" w14:textId="77CEA0C9" w:rsidR="006E0879" w:rsidRPr="00C31D26" w:rsidRDefault="006E0879" w:rsidP="006E0879">
      <w:pPr>
        <w:rPr>
          <w:rFonts w:cs="Arial"/>
        </w:rPr>
      </w:pPr>
      <w:r w:rsidRPr="00925DF4">
        <w:rPr>
          <w:rFonts w:cs="Arial"/>
          <w:b/>
          <w:bCs/>
        </w:rPr>
        <w:t xml:space="preserve">D4 Thinking about your business </w:t>
      </w:r>
      <w:r>
        <w:rPr>
          <w:rFonts w:cs="Arial"/>
          <w:b/>
          <w:bCs/>
        </w:rPr>
        <w:t>at the time you received your finance from the Recovery Loan Scheme</w:t>
      </w:r>
      <w:r w:rsidRPr="00925DF4">
        <w:rPr>
          <w:rFonts w:cs="Arial"/>
          <w:b/>
          <w:bCs/>
        </w:rPr>
        <w:t xml:space="preserve">, if your business was to permanently cease trading do you think any of your competitors would take up your sales? </w:t>
      </w:r>
      <w:r w:rsidRPr="00925DF4">
        <w:rPr>
          <w:rFonts w:cs="Arial"/>
          <w:bCs/>
          <w:color w:val="FF0000"/>
        </w:rPr>
        <w:t>REVERSE SCALE.</w:t>
      </w:r>
      <w:r w:rsidRPr="00925DF4">
        <w:rPr>
          <w:rFonts w:cs="Arial"/>
          <w:b/>
          <w:bCs/>
          <w:color w:val="FF0000"/>
        </w:rPr>
        <w:t xml:space="preserve"> </w:t>
      </w:r>
      <w:r w:rsidRPr="00925DF4">
        <w:rPr>
          <w:rFonts w:cs="Arial"/>
          <w:color w:val="FF0000"/>
        </w:rPr>
        <w:t xml:space="preserve">SINGLE CODE ONLY. </w:t>
      </w:r>
      <w:r w:rsidRPr="00925DF4">
        <w:rPr>
          <w:rFonts w:cs="Arial"/>
          <w:bCs/>
          <w:color w:val="F06603" w:themeColor="accent6"/>
        </w:rPr>
        <w:t>READ OUT SCALE</w:t>
      </w:r>
      <w:r w:rsidRPr="00925DF4">
        <w:rPr>
          <w:rFonts w:cs="Arial"/>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9"/>
        <w:gridCol w:w="1075"/>
      </w:tblGrid>
      <w:tr w:rsidR="006E0879" w:rsidRPr="00925DF4" w14:paraId="5CBBF39F"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461860D9"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Yes, all of our sales</w:t>
            </w:r>
          </w:p>
        </w:tc>
        <w:tc>
          <w:tcPr>
            <w:tcW w:w="530" w:type="pct"/>
            <w:tcBorders>
              <w:top w:val="single" w:sz="4" w:space="0" w:color="auto"/>
              <w:left w:val="single" w:sz="4" w:space="0" w:color="auto"/>
              <w:bottom w:val="single" w:sz="4" w:space="0" w:color="auto"/>
              <w:right w:val="single" w:sz="4" w:space="0" w:color="auto"/>
            </w:tcBorders>
            <w:hideMark/>
          </w:tcPr>
          <w:p w14:paraId="3048323C"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1</w:t>
            </w:r>
          </w:p>
        </w:tc>
      </w:tr>
      <w:tr w:rsidR="006E0879" w:rsidRPr="00925DF4" w14:paraId="1BBB05DE" w14:textId="77777777" w:rsidTr="00AB3D40">
        <w:trPr>
          <w:trHeight w:val="85"/>
        </w:trPr>
        <w:tc>
          <w:tcPr>
            <w:tcW w:w="4470" w:type="pct"/>
            <w:tcBorders>
              <w:top w:val="single" w:sz="4" w:space="0" w:color="auto"/>
              <w:left w:val="single" w:sz="4" w:space="0" w:color="auto"/>
              <w:bottom w:val="single" w:sz="4" w:space="0" w:color="auto"/>
              <w:right w:val="single" w:sz="4" w:space="0" w:color="auto"/>
            </w:tcBorders>
            <w:hideMark/>
          </w:tcPr>
          <w:p w14:paraId="317E1412"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Yes, some of our sales</w:t>
            </w:r>
          </w:p>
        </w:tc>
        <w:tc>
          <w:tcPr>
            <w:tcW w:w="530" w:type="pct"/>
            <w:tcBorders>
              <w:top w:val="single" w:sz="4" w:space="0" w:color="auto"/>
              <w:left w:val="single" w:sz="4" w:space="0" w:color="auto"/>
              <w:bottom w:val="single" w:sz="4" w:space="0" w:color="auto"/>
              <w:right w:val="single" w:sz="4" w:space="0" w:color="auto"/>
            </w:tcBorders>
            <w:hideMark/>
          </w:tcPr>
          <w:p w14:paraId="4CD4D34D"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2</w:t>
            </w:r>
          </w:p>
        </w:tc>
      </w:tr>
      <w:tr w:rsidR="006E0879" w:rsidRPr="00925DF4" w14:paraId="510A445B"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70DCE7C4"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No, no-one would take our sales</w:t>
            </w:r>
          </w:p>
        </w:tc>
        <w:tc>
          <w:tcPr>
            <w:tcW w:w="530" w:type="pct"/>
            <w:tcBorders>
              <w:top w:val="single" w:sz="4" w:space="0" w:color="auto"/>
              <w:left w:val="single" w:sz="4" w:space="0" w:color="auto"/>
              <w:bottom w:val="single" w:sz="4" w:space="0" w:color="auto"/>
              <w:right w:val="single" w:sz="4" w:space="0" w:color="auto"/>
            </w:tcBorders>
            <w:hideMark/>
          </w:tcPr>
          <w:p w14:paraId="65B44D67"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3</w:t>
            </w:r>
          </w:p>
        </w:tc>
      </w:tr>
      <w:tr w:rsidR="006E0879" w:rsidRPr="00925DF4" w14:paraId="7FE2DC90"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11ED2C08" w14:textId="77777777" w:rsidR="006E0879" w:rsidRPr="00925DF4" w:rsidRDefault="006E0879" w:rsidP="00AB3D40">
            <w:pPr>
              <w:pStyle w:val="resptext"/>
              <w:tabs>
                <w:tab w:val="left" w:pos="720"/>
              </w:tabs>
              <w:spacing w:before="60"/>
              <w:ind w:left="0"/>
              <w:rPr>
                <w:b/>
                <w:bCs/>
                <w:color w:val="1D1D1B" w:themeColor="text1"/>
              </w:rPr>
            </w:pPr>
          </w:p>
        </w:tc>
        <w:tc>
          <w:tcPr>
            <w:tcW w:w="530" w:type="pct"/>
            <w:tcBorders>
              <w:top w:val="single" w:sz="4" w:space="0" w:color="auto"/>
              <w:left w:val="single" w:sz="4" w:space="0" w:color="auto"/>
              <w:bottom w:val="single" w:sz="4" w:space="0" w:color="auto"/>
              <w:right w:val="single" w:sz="4" w:space="0" w:color="auto"/>
            </w:tcBorders>
            <w:hideMark/>
          </w:tcPr>
          <w:p w14:paraId="52BEE1A2" w14:textId="77777777" w:rsidR="006E0879" w:rsidRPr="00925DF4" w:rsidRDefault="006E0879" w:rsidP="00AB3D40">
            <w:pPr>
              <w:pStyle w:val="resptext"/>
              <w:tabs>
                <w:tab w:val="left" w:pos="720"/>
              </w:tabs>
              <w:spacing w:before="60"/>
              <w:ind w:left="0"/>
              <w:jc w:val="center"/>
              <w:rPr>
                <w:bCs/>
                <w:color w:val="1D1D1B" w:themeColor="text1"/>
              </w:rPr>
            </w:pPr>
          </w:p>
        </w:tc>
      </w:tr>
      <w:tr w:rsidR="006E0879" w:rsidRPr="00925DF4" w14:paraId="663B04E2"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3D3482EA"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Don’t know</w:t>
            </w:r>
          </w:p>
        </w:tc>
        <w:tc>
          <w:tcPr>
            <w:tcW w:w="530" w:type="pct"/>
            <w:tcBorders>
              <w:top w:val="single" w:sz="4" w:space="0" w:color="auto"/>
              <w:left w:val="single" w:sz="4" w:space="0" w:color="auto"/>
              <w:bottom w:val="single" w:sz="4" w:space="0" w:color="auto"/>
              <w:right w:val="single" w:sz="4" w:space="0" w:color="auto"/>
            </w:tcBorders>
            <w:hideMark/>
          </w:tcPr>
          <w:p w14:paraId="228F1590"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98</w:t>
            </w:r>
          </w:p>
        </w:tc>
      </w:tr>
      <w:tr w:rsidR="006E0879" w:rsidRPr="00925DF4" w14:paraId="06791396" w14:textId="77777777" w:rsidTr="00AB3D40">
        <w:tc>
          <w:tcPr>
            <w:tcW w:w="4470" w:type="pct"/>
            <w:tcBorders>
              <w:top w:val="single" w:sz="4" w:space="0" w:color="auto"/>
              <w:left w:val="single" w:sz="4" w:space="0" w:color="auto"/>
              <w:bottom w:val="single" w:sz="4" w:space="0" w:color="auto"/>
              <w:right w:val="single" w:sz="4" w:space="0" w:color="auto"/>
            </w:tcBorders>
            <w:hideMark/>
          </w:tcPr>
          <w:p w14:paraId="01374E90"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Refused</w:t>
            </w:r>
          </w:p>
        </w:tc>
        <w:tc>
          <w:tcPr>
            <w:tcW w:w="530" w:type="pct"/>
            <w:tcBorders>
              <w:top w:val="single" w:sz="4" w:space="0" w:color="auto"/>
              <w:left w:val="single" w:sz="4" w:space="0" w:color="auto"/>
              <w:bottom w:val="single" w:sz="4" w:space="0" w:color="auto"/>
              <w:right w:val="single" w:sz="4" w:space="0" w:color="auto"/>
            </w:tcBorders>
            <w:hideMark/>
          </w:tcPr>
          <w:p w14:paraId="41CD9279"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99</w:t>
            </w:r>
          </w:p>
        </w:tc>
      </w:tr>
    </w:tbl>
    <w:p w14:paraId="6DF12872" w14:textId="77777777" w:rsidR="006E0879" w:rsidRPr="00925DF4" w:rsidRDefault="006E0879" w:rsidP="006E0879">
      <w:pPr>
        <w:rPr>
          <w:rFonts w:cs="Arial"/>
          <w:bCs/>
          <w:color w:val="1D1D1B" w:themeColor="text1"/>
          <w:lang w:eastAsia="en-GB"/>
        </w:rPr>
      </w:pPr>
    </w:p>
    <w:p w14:paraId="57A99E24" w14:textId="77777777" w:rsidR="006E0879" w:rsidRPr="00925DF4" w:rsidRDefault="006E0879" w:rsidP="006E0879">
      <w:pPr>
        <w:spacing w:line="259" w:lineRule="auto"/>
        <w:rPr>
          <w:rFonts w:cs="Arial"/>
          <w:color w:val="FF0000"/>
        </w:rPr>
      </w:pPr>
      <w:r w:rsidRPr="00925DF4">
        <w:rPr>
          <w:rFonts w:cs="Arial"/>
          <w:color w:val="FF0000"/>
        </w:rPr>
        <w:t>ASK ALL WHO SALES TAKEN (CODE 1 OR 2) AT D4</w:t>
      </w:r>
    </w:p>
    <w:p w14:paraId="163398E8" w14:textId="550FA0A6" w:rsidR="006E0879" w:rsidRPr="00C31D26" w:rsidRDefault="006E0879" w:rsidP="000824F2">
      <w:pPr>
        <w:tabs>
          <w:tab w:val="num" w:pos="900"/>
        </w:tabs>
        <w:ind w:left="720" w:hanging="720"/>
        <w:rPr>
          <w:rFonts w:cs="Arial"/>
          <w:color w:val="FF0000"/>
        </w:rPr>
      </w:pPr>
      <w:r w:rsidRPr="00925DF4">
        <w:rPr>
          <w:rFonts w:cs="Arial"/>
          <w:b/>
          <w:bCs/>
        </w:rPr>
        <w:t>D5 And would this mainly be competitors based…?</w:t>
      </w:r>
      <w:r w:rsidRPr="00925DF4">
        <w:rPr>
          <w:rFonts w:cs="Arial"/>
        </w:rPr>
        <w:t> </w:t>
      </w:r>
      <w:r>
        <w:rPr>
          <w:rFonts w:cs="Arial"/>
          <w:color w:val="FF0000"/>
        </w:rPr>
        <w:t>SINGLECODE</w:t>
      </w:r>
      <w:r w:rsidRPr="00925DF4">
        <w:rPr>
          <w:rFonts w:cs="Arial"/>
          <w:color w:val="FF0000"/>
        </w:rPr>
        <w:t xml:space="preserve">. </w:t>
      </w:r>
      <w:r w:rsidRPr="00925DF4">
        <w:rPr>
          <w:rFonts w:cs="Arial"/>
          <w:color w:val="F06603" w:themeColor="accent6"/>
        </w:rPr>
        <w:t>READ OUT.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7"/>
        <w:gridCol w:w="1207"/>
      </w:tblGrid>
      <w:tr w:rsidR="006E0879" w:rsidRPr="00925DF4" w14:paraId="5C946B5C"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547DC4E3" w14:textId="77777777" w:rsidR="006E0879" w:rsidRPr="00925DF4" w:rsidRDefault="006E0879" w:rsidP="00AB3D40">
            <w:pPr>
              <w:pStyle w:val="resptext"/>
              <w:tabs>
                <w:tab w:val="left" w:pos="720"/>
              </w:tabs>
              <w:spacing w:before="60"/>
              <w:ind w:left="0"/>
              <w:rPr>
                <w:bCs/>
                <w:color w:val="1D1D1B" w:themeColor="text1"/>
              </w:rPr>
            </w:pPr>
            <w:r>
              <w:rPr>
                <w:bCs/>
                <w:color w:val="1D1D1B" w:themeColor="text1"/>
              </w:rPr>
              <w:t>In the UK</w:t>
            </w:r>
          </w:p>
        </w:tc>
        <w:tc>
          <w:tcPr>
            <w:tcW w:w="595" w:type="pct"/>
            <w:tcBorders>
              <w:top w:val="single" w:sz="4" w:space="0" w:color="auto"/>
              <w:left w:val="single" w:sz="4" w:space="0" w:color="auto"/>
              <w:bottom w:val="single" w:sz="4" w:space="0" w:color="auto"/>
              <w:right w:val="single" w:sz="4" w:space="0" w:color="auto"/>
            </w:tcBorders>
            <w:hideMark/>
          </w:tcPr>
          <w:p w14:paraId="77F712AD"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1</w:t>
            </w:r>
          </w:p>
        </w:tc>
      </w:tr>
      <w:tr w:rsidR="006E0879" w:rsidRPr="00925DF4" w14:paraId="4992411D" w14:textId="77777777" w:rsidTr="00AB3D40">
        <w:trPr>
          <w:trHeight w:val="85"/>
        </w:trPr>
        <w:tc>
          <w:tcPr>
            <w:tcW w:w="4405" w:type="pct"/>
            <w:tcBorders>
              <w:top w:val="single" w:sz="4" w:space="0" w:color="auto"/>
              <w:left w:val="single" w:sz="4" w:space="0" w:color="auto"/>
              <w:bottom w:val="single" w:sz="4" w:space="0" w:color="auto"/>
              <w:right w:val="single" w:sz="4" w:space="0" w:color="auto"/>
            </w:tcBorders>
            <w:hideMark/>
          </w:tcPr>
          <w:p w14:paraId="44E793A5" w14:textId="77777777" w:rsidR="006E0879" w:rsidRPr="00925DF4" w:rsidRDefault="006E0879" w:rsidP="00AB3D40">
            <w:pPr>
              <w:pStyle w:val="resptext"/>
              <w:tabs>
                <w:tab w:val="left" w:pos="720"/>
              </w:tabs>
              <w:spacing w:before="60"/>
              <w:ind w:left="0"/>
              <w:rPr>
                <w:bCs/>
                <w:color w:val="1D1D1B" w:themeColor="text1"/>
              </w:rPr>
            </w:pPr>
            <w:r>
              <w:rPr>
                <w:bCs/>
                <w:color w:val="1D1D1B" w:themeColor="text1"/>
              </w:rPr>
              <w:t>Outside the UK</w:t>
            </w:r>
          </w:p>
        </w:tc>
        <w:tc>
          <w:tcPr>
            <w:tcW w:w="595" w:type="pct"/>
            <w:tcBorders>
              <w:top w:val="single" w:sz="4" w:space="0" w:color="auto"/>
              <w:left w:val="single" w:sz="4" w:space="0" w:color="auto"/>
              <w:bottom w:val="single" w:sz="4" w:space="0" w:color="auto"/>
              <w:right w:val="single" w:sz="4" w:space="0" w:color="auto"/>
            </w:tcBorders>
            <w:hideMark/>
          </w:tcPr>
          <w:p w14:paraId="0317F803"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2</w:t>
            </w:r>
          </w:p>
        </w:tc>
      </w:tr>
      <w:tr w:rsidR="006E0879" w:rsidRPr="00925DF4" w14:paraId="5801DB9F"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0AD8CDF5" w14:textId="77777777" w:rsidR="006E0879" w:rsidRPr="00925DF4" w:rsidRDefault="006E0879" w:rsidP="00AB3D40">
            <w:pPr>
              <w:pStyle w:val="resptext"/>
              <w:tabs>
                <w:tab w:val="left" w:pos="720"/>
              </w:tabs>
              <w:spacing w:before="60"/>
              <w:ind w:left="0"/>
              <w:rPr>
                <w:bCs/>
                <w:color w:val="1D1D1B" w:themeColor="text1"/>
              </w:rPr>
            </w:pPr>
            <w:r>
              <w:rPr>
                <w:bCs/>
                <w:color w:val="1D1D1B" w:themeColor="text1"/>
              </w:rPr>
              <w:t>Both in the UK and outside the UK</w:t>
            </w:r>
          </w:p>
        </w:tc>
        <w:tc>
          <w:tcPr>
            <w:tcW w:w="595" w:type="pct"/>
            <w:tcBorders>
              <w:top w:val="single" w:sz="4" w:space="0" w:color="auto"/>
              <w:left w:val="single" w:sz="4" w:space="0" w:color="auto"/>
              <w:bottom w:val="single" w:sz="4" w:space="0" w:color="auto"/>
              <w:right w:val="single" w:sz="4" w:space="0" w:color="auto"/>
            </w:tcBorders>
            <w:hideMark/>
          </w:tcPr>
          <w:p w14:paraId="3A61E102"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3</w:t>
            </w:r>
          </w:p>
        </w:tc>
      </w:tr>
      <w:tr w:rsidR="006E0879" w:rsidRPr="00925DF4" w14:paraId="06E9BFF1"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5A53510E"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Don’t know</w:t>
            </w:r>
          </w:p>
        </w:tc>
        <w:tc>
          <w:tcPr>
            <w:tcW w:w="595" w:type="pct"/>
            <w:tcBorders>
              <w:top w:val="single" w:sz="4" w:space="0" w:color="auto"/>
              <w:left w:val="single" w:sz="4" w:space="0" w:color="auto"/>
              <w:bottom w:val="single" w:sz="4" w:space="0" w:color="auto"/>
              <w:right w:val="single" w:sz="4" w:space="0" w:color="auto"/>
            </w:tcBorders>
            <w:hideMark/>
          </w:tcPr>
          <w:p w14:paraId="49596E50"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98</w:t>
            </w:r>
          </w:p>
        </w:tc>
      </w:tr>
      <w:tr w:rsidR="006E0879" w:rsidRPr="00925DF4" w14:paraId="1CA58109" w14:textId="77777777" w:rsidTr="00AB3D40">
        <w:tc>
          <w:tcPr>
            <w:tcW w:w="4405" w:type="pct"/>
            <w:tcBorders>
              <w:top w:val="single" w:sz="4" w:space="0" w:color="auto"/>
              <w:left w:val="single" w:sz="4" w:space="0" w:color="auto"/>
              <w:bottom w:val="single" w:sz="4" w:space="0" w:color="auto"/>
              <w:right w:val="single" w:sz="4" w:space="0" w:color="auto"/>
            </w:tcBorders>
            <w:hideMark/>
          </w:tcPr>
          <w:p w14:paraId="507541F6" w14:textId="77777777" w:rsidR="006E0879" w:rsidRPr="00925DF4" w:rsidRDefault="006E0879" w:rsidP="00AB3D40">
            <w:pPr>
              <w:pStyle w:val="resptext"/>
              <w:tabs>
                <w:tab w:val="left" w:pos="720"/>
              </w:tabs>
              <w:spacing w:before="60"/>
              <w:ind w:left="0"/>
              <w:rPr>
                <w:bCs/>
                <w:color w:val="1D1D1B" w:themeColor="text1"/>
              </w:rPr>
            </w:pPr>
            <w:r w:rsidRPr="00925DF4">
              <w:rPr>
                <w:bCs/>
                <w:color w:val="1D1D1B" w:themeColor="text1"/>
              </w:rPr>
              <w:t>Refused</w:t>
            </w:r>
          </w:p>
        </w:tc>
        <w:tc>
          <w:tcPr>
            <w:tcW w:w="595" w:type="pct"/>
            <w:tcBorders>
              <w:top w:val="single" w:sz="4" w:space="0" w:color="auto"/>
              <w:left w:val="single" w:sz="4" w:space="0" w:color="auto"/>
              <w:bottom w:val="single" w:sz="4" w:space="0" w:color="auto"/>
              <w:right w:val="single" w:sz="4" w:space="0" w:color="auto"/>
            </w:tcBorders>
            <w:hideMark/>
          </w:tcPr>
          <w:p w14:paraId="3D706A29" w14:textId="77777777" w:rsidR="006E0879" w:rsidRPr="00925DF4" w:rsidRDefault="006E0879" w:rsidP="00AB3D40">
            <w:pPr>
              <w:pStyle w:val="resptext"/>
              <w:tabs>
                <w:tab w:val="left" w:pos="720"/>
              </w:tabs>
              <w:spacing w:before="60"/>
              <w:ind w:left="0"/>
              <w:jc w:val="center"/>
              <w:rPr>
                <w:bCs/>
                <w:color w:val="1D1D1B" w:themeColor="text1"/>
              </w:rPr>
            </w:pPr>
            <w:r w:rsidRPr="00925DF4">
              <w:rPr>
                <w:bCs/>
                <w:color w:val="1D1D1B" w:themeColor="text1"/>
              </w:rPr>
              <w:t>99</w:t>
            </w:r>
          </w:p>
        </w:tc>
      </w:tr>
    </w:tbl>
    <w:p w14:paraId="752F140B" w14:textId="77777777" w:rsidR="006E0879" w:rsidRPr="00925DF4" w:rsidRDefault="006E0879" w:rsidP="006E0879">
      <w:pPr>
        <w:rPr>
          <w:rFonts w:cs="Arial"/>
        </w:rPr>
      </w:pPr>
    </w:p>
    <w:p w14:paraId="2A20E016" w14:textId="77777777" w:rsidR="006E0879" w:rsidRPr="00925DF4" w:rsidRDefault="006E0879" w:rsidP="006E0879">
      <w:pPr>
        <w:rPr>
          <w:rFonts w:cs="Arial"/>
          <w:color w:val="1D1D1B" w:themeColor="text1"/>
        </w:rPr>
      </w:pPr>
      <w:r w:rsidRPr="00925DF4">
        <w:rPr>
          <w:rFonts w:cs="Arial"/>
          <w:color w:val="FF0000"/>
        </w:rPr>
        <w:t>ASK ALL WHO SALES TAKEN (CODE 1 OR 2) AT D4</w:t>
      </w:r>
    </w:p>
    <w:p w14:paraId="4A4169A8" w14:textId="77777777" w:rsidR="006E0879" w:rsidRPr="00925DF4" w:rsidRDefault="006E0879" w:rsidP="006E0879">
      <w:pPr>
        <w:pStyle w:val="04ABodyText"/>
        <w:spacing w:before="0" w:after="0" w:line="240" w:lineRule="auto"/>
        <w:rPr>
          <w:rFonts w:ascii="Arial" w:hAnsi="Arial"/>
          <w:b/>
          <w:color w:val="FF0000"/>
        </w:rPr>
      </w:pPr>
      <w:r w:rsidRPr="00925DF4">
        <w:rPr>
          <w:rFonts w:ascii="Arial" w:hAnsi="Arial"/>
          <w:b/>
          <w:bCs/>
        </w:rPr>
        <w:t>D6</w:t>
      </w:r>
      <w:r w:rsidRPr="00925DF4">
        <w:rPr>
          <w:rFonts w:ascii="Arial" w:hAnsi="Arial"/>
        </w:rPr>
        <w:t xml:space="preserve">. </w:t>
      </w:r>
      <w:r w:rsidRPr="00925DF4">
        <w:rPr>
          <w:rFonts w:ascii="Arial" w:hAnsi="Arial"/>
          <w:b/>
        </w:rPr>
        <w:t xml:space="preserve">Approximately what percentage of your sales were within the UK </w:t>
      </w:r>
      <w:r>
        <w:rPr>
          <w:rFonts w:ascii="Arial" w:hAnsi="Arial"/>
          <w:b/>
        </w:rPr>
        <w:t>when you received your finance from the Recovery Loan Scheme</w:t>
      </w:r>
      <w:r w:rsidRPr="00925DF4">
        <w:rPr>
          <w:rFonts w:ascii="Arial" w:hAnsi="Arial"/>
          <w:b/>
        </w:rPr>
        <w:t>?</w:t>
      </w:r>
      <w:r w:rsidRPr="00925DF4">
        <w:rPr>
          <w:rFonts w:ascii="Arial" w:hAnsi="Arial"/>
        </w:rPr>
        <w:t xml:space="preserve"> </w:t>
      </w:r>
      <w:r w:rsidRPr="00925DF4">
        <w:rPr>
          <w:rFonts w:ascii="Arial" w:hAnsi="Arial"/>
          <w:color w:val="FF0000"/>
        </w:rPr>
        <w:t>TYPE IN PERCENTAGE. ALLOW RANGE 0-100%.</w:t>
      </w:r>
    </w:p>
    <w:p w14:paraId="0E945B3A" w14:textId="2C020CC3" w:rsidR="006E0879" w:rsidRPr="00C31D26" w:rsidRDefault="006E0879" w:rsidP="00C31D26">
      <w:pPr>
        <w:rPr>
          <w:rFonts w:cs="Arial"/>
          <w:color w:val="FF0000"/>
        </w:rPr>
      </w:pPr>
      <w:r w:rsidRPr="00925DF4">
        <w:rPr>
          <w:rFonts w:cs="Arial"/>
          <w:color w:val="FF0000"/>
        </w:rPr>
        <w:t>DATASHEET</w:t>
      </w:r>
    </w:p>
    <w:p w14:paraId="606031A0" w14:textId="7350A5FD" w:rsidR="006E0879" w:rsidRPr="00C31D26" w:rsidRDefault="006E0879" w:rsidP="006E0879">
      <w:pPr>
        <w:rPr>
          <w:rFonts w:cs="Arial"/>
          <w:color w:val="F06603" w:themeColor="accent6"/>
          <w:lang w:eastAsia="en-GB"/>
        </w:rPr>
      </w:pPr>
      <w:r w:rsidRPr="00925DF4">
        <w:rPr>
          <w:rFonts w:cs="Arial"/>
          <w:color w:val="F06603" w:themeColor="accent6"/>
          <w:lang w:eastAsia="en-GB"/>
        </w:rPr>
        <w:t>INTERVIEWER: PLEASE READ BACK FIGURE TO RESPONDENT. IF RESPONDENT IS UNSURE ASK THEM TO GIVE A BEST ESTIMATE</w:t>
      </w:r>
    </w:p>
    <w:p w14:paraId="655CBD5C" w14:textId="77777777" w:rsidR="006E0879" w:rsidRPr="00925DF4" w:rsidRDefault="006E0879" w:rsidP="006E0879">
      <w:pPr>
        <w:rPr>
          <w:rFonts w:cs="Arial"/>
          <w:lang w:eastAsia="en-GB"/>
        </w:rPr>
      </w:pPr>
      <w:r w:rsidRPr="00925DF4">
        <w:rPr>
          <w:rFonts w:cs="Arial"/>
          <w:lang w:eastAsia="en-GB"/>
        </w:rPr>
        <w:t>Don’t know</w:t>
      </w:r>
      <w:r w:rsidRPr="00925DF4">
        <w:rPr>
          <w:rFonts w:cs="Arial"/>
          <w:lang w:eastAsia="en-GB"/>
        </w:rPr>
        <w:tab/>
        <w:t>98</w:t>
      </w:r>
    </w:p>
    <w:p w14:paraId="7BED0E5E" w14:textId="1149C4A1" w:rsidR="006E0879" w:rsidRPr="00925DF4" w:rsidRDefault="006E0879" w:rsidP="006E0879">
      <w:pPr>
        <w:rPr>
          <w:rFonts w:cs="Arial"/>
          <w:lang w:eastAsia="en-GB"/>
        </w:rPr>
      </w:pPr>
      <w:r w:rsidRPr="00925DF4">
        <w:rPr>
          <w:rFonts w:cs="Arial"/>
          <w:lang w:eastAsia="en-GB"/>
        </w:rPr>
        <w:t>Refused</w:t>
      </w:r>
      <w:r w:rsidRPr="00925DF4">
        <w:rPr>
          <w:rFonts w:cs="Arial"/>
          <w:lang w:eastAsia="en-GB"/>
        </w:rPr>
        <w:tab/>
        <w:t>99</w:t>
      </w:r>
    </w:p>
    <w:p w14:paraId="504D1546" w14:textId="77777777" w:rsidR="006E0879" w:rsidRPr="00925DF4" w:rsidRDefault="006E0879" w:rsidP="006E0879">
      <w:pPr>
        <w:rPr>
          <w:rFonts w:cs="Arial"/>
          <w:color w:val="FF0000"/>
        </w:rPr>
      </w:pPr>
      <w:r w:rsidRPr="00925DF4">
        <w:rPr>
          <w:rFonts w:cs="Arial"/>
          <w:color w:val="FF0000"/>
        </w:rPr>
        <w:t>ASK IF DON’T KNOW PERCENTAGE SOLD IN THE UK (CODE 98) AT D6</w:t>
      </w:r>
    </w:p>
    <w:p w14:paraId="089C4B17" w14:textId="5D77A275" w:rsidR="006E0879" w:rsidRPr="00925DF4" w:rsidRDefault="006E0879" w:rsidP="006E0879">
      <w:pPr>
        <w:rPr>
          <w:rFonts w:cs="Arial"/>
        </w:rPr>
      </w:pPr>
      <w:r w:rsidRPr="00925DF4">
        <w:rPr>
          <w:rFonts w:cs="Arial"/>
          <w:b/>
          <w:bCs/>
        </w:rPr>
        <w:t>D7. Was it…?</w:t>
      </w:r>
      <w:r w:rsidRPr="00925DF4">
        <w:rPr>
          <w:rFonts w:cs="Arial"/>
        </w:rPr>
        <w:t xml:space="preserve"> </w:t>
      </w:r>
      <w:r w:rsidRPr="00925DF4">
        <w:rPr>
          <w:rFonts w:cs="Arial"/>
          <w:color w:val="FF0000"/>
        </w:rPr>
        <w:t xml:space="preserve">SINGLE CODE ONLY. </w:t>
      </w:r>
      <w:r w:rsidRPr="00925DF4">
        <w:rPr>
          <w:rFonts w:cs="Arial"/>
          <w:color w:val="F06603" w:themeColor="accent6"/>
        </w:rPr>
        <w:t>READ OUT CODES 1 TO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5"/>
        <w:gridCol w:w="899"/>
      </w:tblGrid>
      <w:tr w:rsidR="006E0879" w:rsidRPr="00925DF4" w14:paraId="4C247483"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6EF954CB" w14:textId="77777777" w:rsidR="006E0879" w:rsidRPr="00925DF4" w:rsidRDefault="006E0879" w:rsidP="00AB3D40">
            <w:pPr>
              <w:pStyle w:val="resptext"/>
              <w:tabs>
                <w:tab w:val="left" w:pos="720"/>
              </w:tabs>
              <w:spacing w:before="60"/>
              <w:ind w:left="0"/>
              <w:rPr>
                <w:bCs/>
              </w:rPr>
            </w:pPr>
            <w:r w:rsidRPr="00925DF4">
              <w:t>0%</w:t>
            </w:r>
          </w:p>
        </w:tc>
        <w:tc>
          <w:tcPr>
            <w:tcW w:w="443" w:type="pct"/>
            <w:tcBorders>
              <w:top w:val="single" w:sz="4" w:space="0" w:color="auto"/>
              <w:left w:val="single" w:sz="4" w:space="0" w:color="auto"/>
              <w:bottom w:val="single" w:sz="4" w:space="0" w:color="auto"/>
              <w:right w:val="single" w:sz="4" w:space="0" w:color="auto"/>
            </w:tcBorders>
            <w:hideMark/>
          </w:tcPr>
          <w:p w14:paraId="6E36ECB9" w14:textId="77777777" w:rsidR="006E0879" w:rsidRPr="00925DF4" w:rsidRDefault="006E0879" w:rsidP="00AB3D40">
            <w:pPr>
              <w:spacing w:before="60"/>
              <w:jc w:val="center"/>
              <w:rPr>
                <w:rFonts w:cs="Arial"/>
              </w:rPr>
            </w:pPr>
            <w:r w:rsidRPr="00925DF4">
              <w:rPr>
                <w:rFonts w:cs="Arial"/>
              </w:rPr>
              <w:t>1</w:t>
            </w:r>
          </w:p>
        </w:tc>
      </w:tr>
      <w:tr w:rsidR="006E0879" w:rsidRPr="00925DF4" w14:paraId="46DB361C"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2D969072" w14:textId="77777777" w:rsidR="006E0879" w:rsidRPr="00925DF4" w:rsidRDefault="006E0879" w:rsidP="00AB3D40">
            <w:pPr>
              <w:pStyle w:val="resptext"/>
              <w:tabs>
                <w:tab w:val="left" w:pos="720"/>
              </w:tabs>
              <w:spacing w:before="60"/>
              <w:ind w:left="0"/>
              <w:rPr>
                <w:bCs/>
              </w:rPr>
            </w:pPr>
            <w:r w:rsidRPr="00925DF4">
              <w:t>More than 0% to less than 25%</w:t>
            </w:r>
          </w:p>
        </w:tc>
        <w:tc>
          <w:tcPr>
            <w:tcW w:w="443" w:type="pct"/>
            <w:tcBorders>
              <w:top w:val="single" w:sz="4" w:space="0" w:color="auto"/>
              <w:left w:val="single" w:sz="4" w:space="0" w:color="auto"/>
              <w:bottom w:val="single" w:sz="4" w:space="0" w:color="auto"/>
              <w:right w:val="single" w:sz="4" w:space="0" w:color="auto"/>
            </w:tcBorders>
            <w:hideMark/>
          </w:tcPr>
          <w:p w14:paraId="04302A80" w14:textId="77777777" w:rsidR="006E0879" w:rsidRPr="00925DF4" w:rsidRDefault="006E0879" w:rsidP="00AB3D40">
            <w:pPr>
              <w:spacing w:before="60"/>
              <w:jc w:val="center"/>
              <w:rPr>
                <w:rFonts w:cs="Arial"/>
              </w:rPr>
            </w:pPr>
            <w:r w:rsidRPr="00925DF4">
              <w:rPr>
                <w:rFonts w:cs="Arial"/>
              </w:rPr>
              <w:t>2</w:t>
            </w:r>
          </w:p>
        </w:tc>
      </w:tr>
      <w:tr w:rsidR="006E0879" w:rsidRPr="00925DF4" w14:paraId="69C2108D"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62B7A032" w14:textId="77777777" w:rsidR="006E0879" w:rsidRPr="00925DF4" w:rsidRDefault="006E0879" w:rsidP="00AB3D40">
            <w:pPr>
              <w:pStyle w:val="resptext"/>
              <w:tabs>
                <w:tab w:val="left" w:pos="720"/>
              </w:tabs>
              <w:spacing w:before="60"/>
              <w:ind w:left="0"/>
              <w:rPr>
                <w:bCs/>
              </w:rPr>
            </w:pPr>
            <w:r w:rsidRPr="00925DF4">
              <w:t>25% to less than 50%</w:t>
            </w:r>
          </w:p>
        </w:tc>
        <w:tc>
          <w:tcPr>
            <w:tcW w:w="443" w:type="pct"/>
            <w:tcBorders>
              <w:top w:val="single" w:sz="4" w:space="0" w:color="auto"/>
              <w:left w:val="single" w:sz="4" w:space="0" w:color="auto"/>
              <w:bottom w:val="single" w:sz="4" w:space="0" w:color="auto"/>
              <w:right w:val="single" w:sz="4" w:space="0" w:color="auto"/>
            </w:tcBorders>
            <w:hideMark/>
          </w:tcPr>
          <w:p w14:paraId="398977B4" w14:textId="77777777" w:rsidR="006E0879" w:rsidRPr="00925DF4" w:rsidRDefault="006E0879" w:rsidP="00AB3D40">
            <w:pPr>
              <w:spacing w:before="60"/>
              <w:jc w:val="center"/>
              <w:rPr>
                <w:rFonts w:cs="Arial"/>
              </w:rPr>
            </w:pPr>
            <w:r w:rsidRPr="00925DF4">
              <w:rPr>
                <w:rFonts w:cs="Arial"/>
              </w:rPr>
              <w:t>3</w:t>
            </w:r>
          </w:p>
        </w:tc>
      </w:tr>
      <w:tr w:rsidR="006E0879" w:rsidRPr="00925DF4" w14:paraId="66F45109"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5501DB18" w14:textId="77777777" w:rsidR="006E0879" w:rsidRPr="00925DF4" w:rsidRDefault="006E0879" w:rsidP="00AB3D40">
            <w:pPr>
              <w:pStyle w:val="resptext"/>
              <w:tabs>
                <w:tab w:val="left" w:pos="720"/>
              </w:tabs>
              <w:spacing w:before="60"/>
              <w:ind w:left="0"/>
              <w:rPr>
                <w:bCs/>
              </w:rPr>
            </w:pPr>
            <w:r w:rsidRPr="00925DF4">
              <w:t>50% to less than 75%</w:t>
            </w:r>
          </w:p>
        </w:tc>
        <w:tc>
          <w:tcPr>
            <w:tcW w:w="443" w:type="pct"/>
            <w:tcBorders>
              <w:top w:val="single" w:sz="4" w:space="0" w:color="auto"/>
              <w:left w:val="single" w:sz="4" w:space="0" w:color="auto"/>
              <w:bottom w:val="single" w:sz="4" w:space="0" w:color="auto"/>
              <w:right w:val="single" w:sz="4" w:space="0" w:color="auto"/>
            </w:tcBorders>
            <w:hideMark/>
          </w:tcPr>
          <w:p w14:paraId="433F1ACF" w14:textId="77777777" w:rsidR="006E0879" w:rsidRPr="00925DF4" w:rsidRDefault="006E0879" w:rsidP="00AB3D40">
            <w:pPr>
              <w:spacing w:before="60"/>
              <w:jc w:val="center"/>
              <w:rPr>
                <w:rFonts w:cs="Arial"/>
              </w:rPr>
            </w:pPr>
            <w:r w:rsidRPr="00925DF4">
              <w:rPr>
                <w:rFonts w:cs="Arial"/>
              </w:rPr>
              <w:t>4</w:t>
            </w:r>
          </w:p>
        </w:tc>
      </w:tr>
      <w:tr w:rsidR="006E0879" w:rsidRPr="00925DF4" w14:paraId="7B80A0CB"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45D5BE4E" w14:textId="77777777" w:rsidR="006E0879" w:rsidRPr="00925DF4" w:rsidRDefault="006E0879" w:rsidP="00AB3D40">
            <w:pPr>
              <w:pStyle w:val="resptext"/>
              <w:tabs>
                <w:tab w:val="left" w:pos="720"/>
              </w:tabs>
              <w:spacing w:before="60"/>
              <w:ind w:left="0"/>
              <w:rPr>
                <w:bCs/>
              </w:rPr>
            </w:pPr>
            <w:r w:rsidRPr="00925DF4">
              <w:t>75% to less than 100%</w:t>
            </w:r>
          </w:p>
        </w:tc>
        <w:tc>
          <w:tcPr>
            <w:tcW w:w="443" w:type="pct"/>
            <w:tcBorders>
              <w:top w:val="single" w:sz="4" w:space="0" w:color="auto"/>
              <w:left w:val="single" w:sz="4" w:space="0" w:color="auto"/>
              <w:bottom w:val="single" w:sz="4" w:space="0" w:color="auto"/>
              <w:right w:val="single" w:sz="4" w:space="0" w:color="auto"/>
            </w:tcBorders>
            <w:hideMark/>
          </w:tcPr>
          <w:p w14:paraId="33F28FBA" w14:textId="77777777" w:rsidR="006E0879" w:rsidRPr="00925DF4" w:rsidRDefault="006E0879" w:rsidP="00AB3D40">
            <w:pPr>
              <w:spacing w:before="60"/>
              <w:jc w:val="center"/>
              <w:rPr>
                <w:rFonts w:cs="Arial"/>
              </w:rPr>
            </w:pPr>
            <w:r w:rsidRPr="00925DF4">
              <w:rPr>
                <w:rFonts w:cs="Arial"/>
              </w:rPr>
              <w:t>5</w:t>
            </w:r>
          </w:p>
        </w:tc>
      </w:tr>
      <w:tr w:rsidR="006E0879" w:rsidRPr="00925DF4" w14:paraId="4DBBF218"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10A57DDD" w14:textId="77777777" w:rsidR="006E0879" w:rsidRPr="00925DF4" w:rsidRDefault="006E0879" w:rsidP="00AB3D40">
            <w:pPr>
              <w:pStyle w:val="resptext"/>
              <w:tabs>
                <w:tab w:val="left" w:pos="720"/>
              </w:tabs>
              <w:spacing w:before="60"/>
              <w:ind w:left="0"/>
            </w:pPr>
            <w:r w:rsidRPr="00925DF4">
              <w:t>100%</w:t>
            </w:r>
          </w:p>
        </w:tc>
        <w:tc>
          <w:tcPr>
            <w:tcW w:w="443" w:type="pct"/>
            <w:tcBorders>
              <w:top w:val="single" w:sz="4" w:space="0" w:color="auto"/>
              <w:left w:val="single" w:sz="4" w:space="0" w:color="auto"/>
              <w:bottom w:val="single" w:sz="4" w:space="0" w:color="auto"/>
              <w:right w:val="single" w:sz="4" w:space="0" w:color="auto"/>
            </w:tcBorders>
            <w:hideMark/>
          </w:tcPr>
          <w:p w14:paraId="37DA5357" w14:textId="77777777" w:rsidR="006E0879" w:rsidRPr="00925DF4" w:rsidRDefault="006E0879" w:rsidP="00AB3D40">
            <w:pPr>
              <w:spacing w:before="60"/>
              <w:jc w:val="center"/>
              <w:rPr>
                <w:rFonts w:cs="Arial"/>
              </w:rPr>
            </w:pPr>
            <w:r w:rsidRPr="00925DF4">
              <w:rPr>
                <w:rFonts w:cs="Arial"/>
              </w:rPr>
              <w:t>6</w:t>
            </w:r>
          </w:p>
        </w:tc>
      </w:tr>
      <w:tr w:rsidR="006E0879" w:rsidRPr="00925DF4" w14:paraId="0716ADEE"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3E43531E" w14:textId="77777777" w:rsidR="006E0879" w:rsidRPr="00925DF4" w:rsidRDefault="006E0879" w:rsidP="00AB3D40">
            <w:pPr>
              <w:pStyle w:val="resptext"/>
              <w:tabs>
                <w:tab w:val="left" w:pos="720"/>
              </w:tabs>
              <w:spacing w:before="60"/>
              <w:ind w:left="0"/>
            </w:pPr>
            <w:r w:rsidRPr="00925DF4">
              <w:t>Don’t know</w:t>
            </w:r>
          </w:p>
        </w:tc>
        <w:tc>
          <w:tcPr>
            <w:tcW w:w="443" w:type="pct"/>
            <w:tcBorders>
              <w:top w:val="single" w:sz="4" w:space="0" w:color="auto"/>
              <w:left w:val="single" w:sz="4" w:space="0" w:color="auto"/>
              <w:bottom w:val="single" w:sz="4" w:space="0" w:color="auto"/>
              <w:right w:val="single" w:sz="4" w:space="0" w:color="auto"/>
            </w:tcBorders>
            <w:hideMark/>
          </w:tcPr>
          <w:p w14:paraId="37D87BEB" w14:textId="77777777" w:rsidR="006E0879" w:rsidRPr="00925DF4" w:rsidRDefault="006E0879" w:rsidP="00AB3D40">
            <w:pPr>
              <w:spacing w:before="60"/>
              <w:jc w:val="center"/>
              <w:rPr>
                <w:rFonts w:cs="Arial"/>
              </w:rPr>
            </w:pPr>
            <w:r w:rsidRPr="00925DF4">
              <w:rPr>
                <w:rFonts w:cs="Arial"/>
              </w:rPr>
              <w:t>98</w:t>
            </w:r>
          </w:p>
        </w:tc>
      </w:tr>
      <w:tr w:rsidR="006E0879" w:rsidRPr="00925DF4" w14:paraId="0F8EBB2F" w14:textId="77777777" w:rsidTr="00AB3D40">
        <w:tc>
          <w:tcPr>
            <w:tcW w:w="4557" w:type="pct"/>
            <w:tcBorders>
              <w:top w:val="single" w:sz="4" w:space="0" w:color="auto"/>
              <w:left w:val="single" w:sz="4" w:space="0" w:color="auto"/>
              <w:bottom w:val="single" w:sz="4" w:space="0" w:color="auto"/>
              <w:right w:val="single" w:sz="4" w:space="0" w:color="auto"/>
            </w:tcBorders>
            <w:hideMark/>
          </w:tcPr>
          <w:p w14:paraId="0C1B48D9" w14:textId="77777777" w:rsidR="006E0879" w:rsidRPr="00925DF4" w:rsidRDefault="006E0879" w:rsidP="00AB3D40">
            <w:pPr>
              <w:pStyle w:val="resptext"/>
              <w:tabs>
                <w:tab w:val="left" w:pos="720"/>
              </w:tabs>
              <w:spacing w:before="60"/>
              <w:ind w:left="0"/>
            </w:pPr>
            <w:r w:rsidRPr="00925DF4">
              <w:t>Refused</w:t>
            </w:r>
          </w:p>
        </w:tc>
        <w:tc>
          <w:tcPr>
            <w:tcW w:w="443" w:type="pct"/>
            <w:tcBorders>
              <w:top w:val="single" w:sz="4" w:space="0" w:color="auto"/>
              <w:left w:val="single" w:sz="4" w:space="0" w:color="auto"/>
              <w:bottom w:val="single" w:sz="4" w:space="0" w:color="auto"/>
              <w:right w:val="single" w:sz="4" w:space="0" w:color="auto"/>
            </w:tcBorders>
            <w:hideMark/>
          </w:tcPr>
          <w:p w14:paraId="0DC667F4" w14:textId="77777777" w:rsidR="006E0879" w:rsidRPr="00925DF4" w:rsidRDefault="006E0879" w:rsidP="00AB3D40">
            <w:pPr>
              <w:spacing w:before="60"/>
              <w:jc w:val="center"/>
              <w:rPr>
                <w:rFonts w:cs="Arial"/>
              </w:rPr>
            </w:pPr>
            <w:r w:rsidRPr="00925DF4">
              <w:rPr>
                <w:rFonts w:cs="Arial"/>
              </w:rPr>
              <w:t>99</w:t>
            </w:r>
          </w:p>
        </w:tc>
      </w:tr>
    </w:tbl>
    <w:p w14:paraId="7BCFC9D2" w14:textId="77777777" w:rsidR="006E0879" w:rsidRPr="004F6C11" w:rsidRDefault="006E0879" w:rsidP="006E0879">
      <w:pPr>
        <w:spacing w:after="160" w:line="259" w:lineRule="auto"/>
        <w:rPr>
          <w:rFonts w:cs="Arial"/>
          <w:color w:val="1D1D1B" w:themeColor="text1"/>
        </w:rPr>
      </w:pPr>
    </w:p>
    <w:p w14:paraId="2A338A6B" w14:textId="62B8BB4A" w:rsidR="006E0879" w:rsidRPr="00C31D26" w:rsidRDefault="006E0879" w:rsidP="006E0879">
      <w:pPr>
        <w:rPr>
          <w:rFonts w:cs="Arial"/>
          <w:color w:val="F06603" w:themeColor="accent6"/>
          <w:lang w:eastAsia="en-GB"/>
        </w:rPr>
      </w:pPr>
      <w:r w:rsidRPr="00925DF4">
        <w:rPr>
          <w:rFonts w:cs="Arial"/>
          <w:color w:val="F06603" w:themeColor="accent6"/>
          <w:lang w:eastAsia="en-GB"/>
        </w:rPr>
        <w:t>READ OUT TO ALL</w:t>
      </w:r>
    </w:p>
    <w:p w14:paraId="1651E372" w14:textId="77777777" w:rsidR="006E0879" w:rsidRPr="00925DF4" w:rsidRDefault="006E0879" w:rsidP="006E0879">
      <w:pPr>
        <w:rPr>
          <w:rFonts w:cs="Arial"/>
          <w:b/>
          <w:bCs/>
        </w:rPr>
      </w:pPr>
      <w:r w:rsidRPr="00925DF4">
        <w:rPr>
          <w:rFonts w:cs="Arial"/>
          <w:b/>
          <w:color w:val="1D1D1B" w:themeColor="text1"/>
        </w:rPr>
        <w:t xml:space="preserve">These final questions will help us understand the different types of people who are running or managing a business, how different businesses have been impacted by the Covid-19 pandemic and how they made use of </w:t>
      </w:r>
      <w:r>
        <w:rPr>
          <w:rFonts w:cs="Arial"/>
          <w:b/>
          <w:color w:val="1D1D1B" w:themeColor="text1"/>
        </w:rPr>
        <w:t>the</w:t>
      </w:r>
      <w:r w:rsidRPr="00925DF4">
        <w:rPr>
          <w:rFonts w:cs="Arial"/>
          <w:b/>
          <w:color w:val="1D1D1B" w:themeColor="text1"/>
        </w:rPr>
        <w:t xml:space="preserve"> external finances types available.</w:t>
      </w:r>
    </w:p>
    <w:p w14:paraId="5E8F4535" w14:textId="16B7ADF6" w:rsidR="006E0879" w:rsidRPr="00925DF4" w:rsidRDefault="006E0879" w:rsidP="006E0879">
      <w:pPr>
        <w:rPr>
          <w:rFonts w:cs="Arial"/>
          <w:b/>
          <w:color w:val="1D1D1B" w:themeColor="text1"/>
        </w:rPr>
      </w:pPr>
      <w:r w:rsidRPr="00925DF4">
        <w:rPr>
          <w:rFonts w:cs="Arial"/>
          <w:b/>
          <w:color w:val="1D1D1B" w:themeColor="text1"/>
        </w:rPr>
        <w:t>Individual details will be kept strictly confidential by Ipsos. It will not be possible to identify an individual from the results and personal information will not be passed on to th</w:t>
      </w:r>
      <w:r w:rsidR="000824F2">
        <w:rPr>
          <w:rFonts w:cs="Arial"/>
          <w:b/>
          <w:color w:val="1D1D1B" w:themeColor="text1"/>
        </w:rPr>
        <w:t>e</w:t>
      </w:r>
      <w:r w:rsidRPr="00925DF4">
        <w:rPr>
          <w:rFonts w:cs="Arial"/>
          <w:b/>
          <w:color w:val="1D1D1B" w:themeColor="text1"/>
        </w:rPr>
        <w:t xml:space="preserve"> British Business Bank.</w:t>
      </w:r>
    </w:p>
    <w:p w14:paraId="0B1C6921" w14:textId="52F45D27" w:rsidR="006E0879" w:rsidRPr="00C31D26" w:rsidRDefault="006E0879" w:rsidP="006E0879">
      <w:pPr>
        <w:rPr>
          <w:rFonts w:cs="Arial"/>
          <w:bCs/>
        </w:rPr>
      </w:pPr>
      <w:r w:rsidRPr="00925DF4">
        <w:rPr>
          <w:rFonts w:cs="Arial"/>
          <w:b/>
          <w:bCs/>
        </w:rPr>
        <w:t>[</w:t>
      </w:r>
      <w:r w:rsidRPr="00925DF4">
        <w:rPr>
          <w:rFonts w:cs="Arial"/>
          <w:color w:val="FF0000"/>
        </w:rPr>
        <w:t>SOLE TRADERS ONLY:</w:t>
      </w:r>
      <w:r w:rsidRPr="00925DF4">
        <w:rPr>
          <w:rFonts w:cs="Arial"/>
          <w:b/>
          <w:bCs/>
          <w:color w:val="FF0000"/>
        </w:rPr>
        <w:t xml:space="preserve"> </w:t>
      </w:r>
      <w:r w:rsidRPr="00925DF4">
        <w:rPr>
          <w:rFonts w:cs="Arial"/>
          <w:b/>
          <w:bCs/>
        </w:rPr>
        <w:t>Please note that there is a question which asks you to describe your ethnic origin, age, health condition and gender identity, however you are free to not answer.]</w:t>
      </w:r>
    </w:p>
    <w:p w14:paraId="5BF9D973" w14:textId="77777777" w:rsidR="006E0879" w:rsidRPr="00925DF4" w:rsidRDefault="006E0879" w:rsidP="006E0879">
      <w:pPr>
        <w:rPr>
          <w:rFonts w:cs="Arial"/>
          <w:color w:val="FF0000"/>
          <w:lang w:eastAsia="en-GB"/>
        </w:rPr>
      </w:pPr>
      <w:bookmarkStart w:id="91" w:name="_Hlk46223552"/>
      <w:r w:rsidRPr="00925DF4">
        <w:rPr>
          <w:rFonts w:cs="Arial"/>
          <w:color w:val="FF0000"/>
          <w:lang w:eastAsia="en-GB"/>
        </w:rPr>
        <w:t>ASK ALL SOLE TRADERS (CODE 1) AT S17</w:t>
      </w:r>
    </w:p>
    <w:p w14:paraId="003A1972" w14:textId="66931B23" w:rsidR="006E0879" w:rsidRPr="00C31D26" w:rsidRDefault="006E0879" w:rsidP="00C31D26">
      <w:pPr>
        <w:ind w:left="720" w:hanging="720"/>
        <w:rPr>
          <w:rFonts w:cs="Arial"/>
          <w:b/>
          <w:color w:val="1D1D1B" w:themeColor="text1"/>
        </w:rPr>
      </w:pPr>
      <w:r w:rsidRPr="00925DF4">
        <w:rPr>
          <w:rFonts w:cs="Arial"/>
          <w:b/>
          <w:bCs/>
          <w:color w:val="1D1D1B" w:themeColor="text1"/>
        </w:rPr>
        <w:t>E1</w:t>
      </w:r>
      <w:r w:rsidRPr="00925DF4">
        <w:rPr>
          <w:rFonts w:cs="Arial"/>
          <w:b/>
          <w:color w:val="1D1D1B" w:themeColor="text1"/>
        </w:rPr>
        <w:tab/>
        <w:t xml:space="preserve">What is your sex? </w:t>
      </w:r>
    </w:p>
    <w:p w14:paraId="17C0BCA7" w14:textId="345A2756" w:rsidR="006E0879" w:rsidRPr="00C31D26" w:rsidRDefault="006E0879" w:rsidP="006E0879">
      <w:pPr>
        <w:rPr>
          <w:rFonts w:cs="Arial"/>
          <w:color w:val="FF0000"/>
          <w:lang w:eastAsia="en-GB"/>
        </w:rPr>
      </w:pPr>
      <w:r w:rsidRPr="00925DF4">
        <w:rPr>
          <w:rFonts w:cs="Arial"/>
          <w:color w:val="FF0000"/>
          <w:lang w:eastAsia="en-GB"/>
        </w:rPr>
        <w:t xml:space="preserve">SINGLE CODE </w:t>
      </w:r>
      <w:r w:rsidRPr="00925DF4">
        <w:rPr>
          <w:rFonts w:eastAsia="SimSun" w:cs="Arial"/>
          <w:color w:val="FF0000"/>
        </w:rPr>
        <w:t>ONLY</w:t>
      </w:r>
    </w:p>
    <w:tbl>
      <w:tblPr>
        <w:tblW w:w="88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7811"/>
        <w:gridCol w:w="994"/>
      </w:tblGrid>
      <w:tr w:rsidR="006E0879" w:rsidRPr="00925DF4" w14:paraId="1E7705CC" w14:textId="77777777" w:rsidTr="00AB3D40">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58121CD9" w14:textId="77777777" w:rsidR="006E0879" w:rsidRPr="00925DF4" w:rsidRDefault="006E0879" w:rsidP="00AB3D40">
            <w:pPr>
              <w:rPr>
                <w:rFonts w:cs="Arial"/>
                <w:color w:val="1D1D1B" w:themeColor="text1"/>
              </w:rPr>
            </w:pPr>
            <w:r w:rsidRPr="00925DF4">
              <w:rPr>
                <w:rFonts w:cs="Arial"/>
                <w:color w:val="1D1D1B" w:themeColor="text1"/>
              </w:rPr>
              <w:t xml:space="preserve">Female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E983ED" w14:textId="77777777" w:rsidR="006E0879" w:rsidRPr="00925DF4" w:rsidRDefault="006E0879" w:rsidP="00AB3D40">
            <w:pPr>
              <w:jc w:val="center"/>
              <w:rPr>
                <w:rFonts w:cs="Arial"/>
                <w:color w:val="1D1D1B" w:themeColor="text1"/>
              </w:rPr>
            </w:pPr>
            <w:r w:rsidRPr="00925DF4">
              <w:rPr>
                <w:rFonts w:cs="Arial"/>
                <w:color w:val="1D1D1B" w:themeColor="text1"/>
              </w:rPr>
              <w:t>1</w:t>
            </w:r>
          </w:p>
        </w:tc>
      </w:tr>
      <w:tr w:rsidR="006E0879" w:rsidRPr="00925DF4" w14:paraId="65BE01E8" w14:textId="77777777" w:rsidTr="00AB3D40">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57262FC3" w14:textId="77777777" w:rsidR="006E0879" w:rsidRPr="00925DF4" w:rsidRDefault="006E0879" w:rsidP="00AB3D40">
            <w:pPr>
              <w:rPr>
                <w:rFonts w:cs="Arial"/>
                <w:color w:val="1D1D1B" w:themeColor="text1"/>
              </w:rPr>
            </w:pPr>
            <w:r w:rsidRPr="00925DF4">
              <w:rPr>
                <w:rFonts w:cs="Arial"/>
                <w:color w:val="1D1D1B" w:themeColor="text1"/>
              </w:rPr>
              <w:t xml:space="preserve">Male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F031EB5" w14:textId="77777777" w:rsidR="006E0879" w:rsidRPr="00925DF4" w:rsidRDefault="006E0879" w:rsidP="00AB3D40">
            <w:pPr>
              <w:jc w:val="center"/>
              <w:rPr>
                <w:rFonts w:cs="Arial"/>
                <w:color w:val="1D1D1B" w:themeColor="text1"/>
              </w:rPr>
            </w:pPr>
            <w:r w:rsidRPr="00925DF4">
              <w:rPr>
                <w:rFonts w:cs="Arial"/>
                <w:color w:val="1D1D1B" w:themeColor="text1"/>
              </w:rPr>
              <w:t>2</w:t>
            </w:r>
          </w:p>
        </w:tc>
      </w:tr>
      <w:tr w:rsidR="006E0879" w:rsidRPr="00925DF4" w14:paraId="68A74053" w14:textId="77777777" w:rsidTr="00AB3D40">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455C20BC" w14:textId="77777777" w:rsidR="006E0879" w:rsidRPr="00925DF4" w:rsidRDefault="006E0879" w:rsidP="00AB3D40">
            <w:pPr>
              <w:rPr>
                <w:rFonts w:cs="Arial"/>
                <w:color w:val="1D1D1B" w:themeColor="text1"/>
              </w:rPr>
            </w:pPr>
            <w:r w:rsidRPr="00925DF4">
              <w:rPr>
                <w:rFonts w:cs="Arial"/>
                <w:color w:val="1D1D1B" w:themeColor="text1"/>
              </w:rPr>
              <w:t xml:space="preserve">Other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60A502" w14:textId="77777777" w:rsidR="006E0879" w:rsidRPr="00925DF4" w:rsidRDefault="006E0879" w:rsidP="00AB3D40">
            <w:pPr>
              <w:jc w:val="center"/>
              <w:rPr>
                <w:rFonts w:cs="Arial"/>
                <w:color w:val="1D1D1B" w:themeColor="text1"/>
              </w:rPr>
            </w:pPr>
            <w:r w:rsidRPr="00925DF4">
              <w:rPr>
                <w:rFonts w:cs="Arial"/>
                <w:color w:val="1D1D1B" w:themeColor="text1"/>
              </w:rPr>
              <w:t>3</w:t>
            </w:r>
          </w:p>
        </w:tc>
      </w:tr>
      <w:tr w:rsidR="006E0879" w:rsidRPr="00925DF4" w14:paraId="14CDD1C8" w14:textId="77777777" w:rsidTr="00AB3D40">
        <w:trPr>
          <w:cantSplit/>
          <w:trHeight w:val="320"/>
        </w:trPr>
        <w:tc>
          <w:tcPr>
            <w:tcW w:w="7806" w:type="dxa"/>
            <w:tcBorders>
              <w:top w:val="single" w:sz="4" w:space="0" w:color="auto"/>
              <w:left w:val="single" w:sz="4" w:space="0" w:color="auto"/>
              <w:bottom w:val="single" w:sz="4" w:space="0" w:color="auto"/>
              <w:right w:val="single" w:sz="4" w:space="0" w:color="auto"/>
            </w:tcBorders>
            <w:hideMark/>
          </w:tcPr>
          <w:p w14:paraId="735BA111" w14:textId="77777777" w:rsidR="006E0879" w:rsidRPr="00925DF4" w:rsidRDefault="006E0879" w:rsidP="00AB3D40">
            <w:pPr>
              <w:rPr>
                <w:rFonts w:cs="Arial"/>
                <w:color w:val="1D1D1B" w:themeColor="text1"/>
              </w:rPr>
            </w:pPr>
            <w:r w:rsidRPr="00925DF4">
              <w:rPr>
                <w:rFonts w:cs="Arial"/>
                <w:color w:val="1D1D1B" w:themeColor="text1"/>
              </w:rPr>
              <w:t>Prefer not to say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3EFF1E" w14:textId="77777777" w:rsidR="006E0879" w:rsidRPr="00925DF4" w:rsidRDefault="006E0879" w:rsidP="00AB3D40">
            <w:pPr>
              <w:jc w:val="center"/>
              <w:rPr>
                <w:rFonts w:cs="Arial"/>
                <w:color w:val="1D1D1B" w:themeColor="text1"/>
              </w:rPr>
            </w:pPr>
            <w:r w:rsidRPr="00925DF4">
              <w:rPr>
                <w:rFonts w:cs="Arial"/>
                <w:color w:val="1D1D1B" w:themeColor="text1"/>
              </w:rPr>
              <w:t>4</w:t>
            </w:r>
          </w:p>
        </w:tc>
      </w:tr>
    </w:tbl>
    <w:p w14:paraId="36F59BC1" w14:textId="77777777" w:rsidR="006E0879" w:rsidRPr="00925DF4" w:rsidRDefault="006E0879" w:rsidP="006E0879">
      <w:pPr>
        <w:rPr>
          <w:rFonts w:cs="Arial"/>
          <w:lang w:eastAsia="en-GB"/>
        </w:rPr>
      </w:pPr>
    </w:p>
    <w:p w14:paraId="07651A80" w14:textId="77777777" w:rsidR="006E0879" w:rsidRPr="00925DF4" w:rsidRDefault="006E0879" w:rsidP="006E0879">
      <w:pPr>
        <w:rPr>
          <w:rFonts w:cs="Arial"/>
          <w:color w:val="FF0000"/>
          <w:lang w:eastAsia="en-GB"/>
        </w:rPr>
      </w:pPr>
      <w:r w:rsidRPr="00925DF4">
        <w:rPr>
          <w:rFonts w:cs="Arial"/>
          <w:color w:val="FF0000"/>
          <w:lang w:eastAsia="en-GB"/>
        </w:rPr>
        <w:t>ASK ALL SOLE TRADERS (CODE 1) AT S17</w:t>
      </w:r>
    </w:p>
    <w:p w14:paraId="4CB65CBE" w14:textId="77777777" w:rsidR="006E0879" w:rsidRPr="00925DF4" w:rsidRDefault="006E0879" w:rsidP="006E0879">
      <w:pPr>
        <w:rPr>
          <w:rFonts w:cs="Arial"/>
          <w:b/>
          <w:lang w:eastAsia="en-GB"/>
        </w:rPr>
      </w:pPr>
      <w:r w:rsidRPr="00925DF4">
        <w:rPr>
          <w:rFonts w:cs="Arial"/>
          <w:b/>
          <w:lang w:eastAsia="en-GB"/>
        </w:rPr>
        <w:t>E2</w:t>
      </w:r>
      <w:r w:rsidRPr="00925DF4">
        <w:rPr>
          <w:rFonts w:cs="Arial"/>
          <w:b/>
          <w:lang w:eastAsia="en-GB"/>
        </w:rPr>
        <w:tab/>
        <w:t>What is your ethnic group?</w:t>
      </w:r>
    </w:p>
    <w:p w14:paraId="1CB0735F" w14:textId="0B98DC77" w:rsidR="006E0879" w:rsidRPr="00925DF4" w:rsidRDefault="006E0879" w:rsidP="006E0879">
      <w:pPr>
        <w:rPr>
          <w:rFonts w:cs="Arial"/>
          <w:lang w:eastAsia="en-GB"/>
        </w:rPr>
      </w:pPr>
      <w:r w:rsidRPr="00925DF4">
        <w:rPr>
          <w:rFonts w:cs="Arial"/>
          <w:color w:val="FF0000"/>
          <w:lang w:eastAsia="en-GB"/>
        </w:rPr>
        <w:t xml:space="preserve">SINGLE CODE </w:t>
      </w:r>
      <w:r w:rsidRPr="00925DF4">
        <w:rPr>
          <w:rFonts w:eastAsia="SimSun" w:cs="Arial"/>
          <w:color w:val="FF0000"/>
        </w:rPr>
        <w:t>ONLY</w:t>
      </w:r>
      <w:r w:rsidRPr="00925DF4">
        <w:rPr>
          <w:rFonts w:cs="Arial"/>
          <w:color w:val="FF0000"/>
          <w:lang w:eastAsia="en-GB"/>
        </w:rPr>
        <w:t xml:space="preserve"> </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7796"/>
        <w:gridCol w:w="993"/>
      </w:tblGrid>
      <w:tr w:rsidR="006E0879" w:rsidRPr="00925DF4" w14:paraId="6C7BDF80" w14:textId="77777777" w:rsidTr="00AB3D40">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3846D735" w14:textId="77777777" w:rsidR="006E0879" w:rsidRPr="00925DF4" w:rsidRDefault="006E0879" w:rsidP="00AB3D40">
            <w:pPr>
              <w:rPr>
                <w:rFonts w:cs="Arial"/>
                <w:color w:val="1D1D1B" w:themeColor="text1"/>
              </w:rPr>
            </w:pPr>
            <w:r w:rsidRPr="00925DF4">
              <w:rPr>
                <w:rFonts w:cs="Arial"/>
                <w:color w:val="1D1D1B" w:themeColor="text1"/>
              </w:rPr>
              <w:t>White</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BAE1FA" w14:textId="77777777" w:rsidR="006E0879" w:rsidRPr="00925DF4" w:rsidRDefault="006E0879" w:rsidP="00AB3D40">
            <w:pPr>
              <w:spacing w:before="60" w:after="60"/>
              <w:jc w:val="center"/>
              <w:rPr>
                <w:rFonts w:cs="Arial"/>
                <w:color w:val="1D1D1B" w:themeColor="text1"/>
              </w:rPr>
            </w:pPr>
            <w:r w:rsidRPr="00925DF4">
              <w:rPr>
                <w:rFonts w:cs="Arial"/>
                <w:color w:val="1D1D1B" w:themeColor="text1"/>
              </w:rPr>
              <w:t>1</w:t>
            </w:r>
          </w:p>
        </w:tc>
      </w:tr>
      <w:tr w:rsidR="006E0879" w:rsidRPr="00925DF4" w14:paraId="1DF54ABE" w14:textId="77777777" w:rsidTr="00AB3D40">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673A2DBB" w14:textId="77777777" w:rsidR="006E0879" w:rsidRPr="00925DF4" w:rsidRDefault="006E0879" w:rsidP="00AB3D40">
            <w:pPr>
              <w:rPr>
                <w:rFonts w:cs="Arial"/>
                <w:color w:val="1D1D1B" w:themeColor="text1"/>
              </w:rPr>
            </w:pPr>
            <w:r w:rsidRPr="00925DF4">
              <w:rPr>
                <w:rFonts w:cs="Arial"/>
                <w:color w:val="1D1D1B" w:themeColor="text1"/>
              </w:rPr>
              <w:t>Multiple/ethnic groups</w:t>
            </w:r>
          </w:p>
        </w:tc>
        <w:tc>
          <w:tcPr>
            <w:tcW w:w="993" w:type="dxa"/>
            <w:tcBorders>
              <w:top w:val="single" w:sz="4" w:space="0" w:color="auto"/>
              <w:left w:val="single" w:sz="4" w:space="0" w:color="auto"/>
              <w:bottom w:val="single" w:sz="4" w:space="0" w:color="auto"/>
              <w:right w:val="single" w:sz="4" w:space="0" w:color="auto"/>
            </w:tcBorders>
            <w:vAlign w:val="center"/>
            <w:hideMark/>
          </w:tcPr>
          <w:p w14:paraId="3DF93F11" w14:textId="77777777" w:rsidR="006E0879" w:rsidRPr="00925DF4" w:rsidRDefault="006E0879" w:rsidP="00AB3D40">
            <w:pPr>
              <w:spacing w:before="60" w:after="60"/>
              <w:jc w:val="center"/>
              <w:rPr>
                <w:rFonts w:cs="Arial"/>
                <w:color w:val="1D1D1B" w:themeColor="text1"/>
              </w:rPr>
            </w:pPr>
            <w:r w:rsidRPr="00925DF4">
              <w:rPr>
                <w:rFonts w:cs="Arial"/>
                <w:color w:val="1D1D1B" w:themeColor="text1"/>
              </w:rPr>
              <w:t>2</w:t>
            </w:r>
          </w:p>
        </w:tc>
      </w:tr>
      <w:tr w:rsidR="006E0879" w:rsidRPr="00925DF4" w14:paraId="3729FD58" w14:textId="77777777" w:rsidTr="00AB3D40">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tcPr>
          <w:p w14:paraId="66410D26" w14:textId="77777777" w:rsidR="006E0879" w:rsidRPr="00925DF4" w:rsidDel="000E0777" w:rsidRDefault="006E0879" w:rsidP="00AB3D40">
            <w:pPr>
              <w:rPr>
                <w:rFonts w:cs="Arial"/>
                <w:color w:val="1D1D1B" w:themeColor="text1"/>
              </w:rPr>
            </w:pPr>
            <w:r w:rsidRPr="00925DF4">
              <w:rPr>
                <w:rFonts w:cs="Arial"/>
                <w:color w:val="1D1D1B" w:themeColor="text1"/>
              </w:rPr>
              <w:t>Asian/Asian British</w:t>
            </w:r>
          </w:p>
        </w:tc>
        <w:tc>
          <w:tcPr>
            <w:tcW w:w="993" w:type="dxa"/>
            <w:tcBorders>
              <w:top w:val="single" w:sz="4" w:space="0" w:color="auto"/>
              <w:left w:val="single" w:sz="4" w:space="0" w:color="auto"/>
              <w:bottom w:val="single" w:sz="4" w:space="0" w:color="auto"/>
              <w:right w:val="single" w:sz="4" w:space="0" w:color="auto"/>
            </w:tcBorders>
            <w:vAlign w:val="center"/>
          </w:tcPr>
          <w:p w14:paraId="68A2587F" w14:textId="77777777" w:rsidR="006E0879" w:rsidRPr="00925DF4" w:rsidRDefault="006E0879" w:rsidP="00AB3D40">
            <w:pPr>
              <w:spacing w:before="60" w:after="60"/>
              <w:jc w:val="center"/>
              <w:rPr>
                <w:rFonts w:cs="Arial"/>
                <w:color w:val="1D1D1B" w:themeColor="text1"/>
              </w:rPr>
            </w:pPr>
            <w:r w:rsidRPr="00925DF4">
              <w:rPr>
                <w:rFonts w:cs="Arial"/>
                <w:color w:val="1D1D1B" w:themeColor="text1"/>
              </w:rPr>
              <w:t>3</w:t>
            </w:r>
          </w:p>
        </w:tc>
      </w:tr>
      <w:tr w:rsidR="006E0879" w:rsidRPr="00925DF4" w14:paraId="120BAD31" w14:textId="77777777" w:rsidTr="00AB3D40">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tcPr>
          <w:p w14:paraId="60E8E073" w14:textId="77777777" w:rsidR="006E0879" w:rsidRPr="00925DF4" w:rsidDel="000E0777" w:rsidRDefault="006E0879" w:rsidP="00AB3D40">
            <w:pPr>
              <w:rPr>
                <w:rFonts w:cs="Arial"/>
                <w:color w:val="1D1D1B" w:themeColor="text1"/>
              </w:rPr>
            </w:pPr>
            <w:r w:rsidRPr="00925DF4">
              <w:rPr>
                <w:rFonts w:cs="Arial"/>
                <w:color w:val="1D1D1B" w:themeColor="text1"/>
              </w:rPr>
              <w:t>Black/ African/Caribbean/Black British</w:t>
            </w:r>
          </w:p>
        </w:tc>
        <w:tc>
          <w:tcPr>
            <w:tcW w:w="993" w:type="dxa"/>
            <w:tcBorders>
              <w:top w:val="single" w:sz="4" w:space="0" w:color="auto"/>
              <w:left w:val="single" w:sz="4" w:space="0" w:color="auto"/>
              <w:bottom w:val="single" w:sz="4" w:space="0" w:color="auto"/>
              <w:right w:val="single" w:sz="4" w:space="0" w:color="auto"/>
            </w:tcBorders>
            <w:vAlign w:val="center"/>
          </w:tcPr>
          <w:p w14:paraId="60F7808E" w14:textId="77777777" w:rsidR="006E0879" w:rsidRPr="00925DF4" w:rsidRDefault="006E0879" w:rsidP="00AB3D40">
            <w:pPr>
              <w:spacing w:before="60" w:after="60"/>
              <w:jc w:val="center"/>
              <w:rPr>
                <w:rFonts w:cs="Arial"/>
                <w:color w:val="1D1D1B" w:themeColor="text1"/>
              </w:rPr>
            </w:pPr>
            <w:r w:rsidRPr="00925DF4">
              <w:rPr>
                <w:rFonts w:cs="Arial"/>
                <w:color w:val="1D1D1B" w:themeColor="text1"/>
              </w:rPr>
              <w:t>4</w:t>
            </w:r>
          </w:p>
        </w:tc>
      </w:tr>
      <w:tr w:rsidR="006E0879" w:rsidRPr="00925DF4" w14:paraId="7528BA8F" w14:textId="77777777" w:rsidTr="00AB3D40">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tcPr>
          <w:p w14:paraId="64FFEFF7" w14:textId="77777777" w:rsidR="006E0879" w:rsidRPr="00925DF4" w:rsidRDefault="006E0879" w:rsidP="00AB3D40">
            <w:pPr>
              <w:rPr>
                <w:rFonts w:cs="Arial"/>
                <w:color w:val="1D1D1B" w:themeColor="text1"/>
              </w:rPr>
            </w:pPr>
            <w:r w:rsidRPr="00925DF4">
              <w:rPr>
                <w:rFonts w:cs="Arial"/>
                <w:color w:val="1D1D1B" w:themeColor="text1"/>
              </w:rPr>
              <w:t>Other ethnic group</w:t>
            </w:r>
          </w:p>
        </w:tc>
        <w:tc>
          <w:tcPr>
            <w:tcW w:w="993" w:type="dxa"/>
            <w:tcBorders>
              <w:top w:val="single" w:sz="4" w:space="0" w:color="auto"/>
              <w:left w:val="single" w:sz="4" w:space="0" w:color="auto"/>
              <w:bottom w:val="single" w:sz="4" w:space="0" w:color="auto"/>
              <w:right w:val="single" w:sz="4" w:space="0" w:color="auto"/>
            </w:tcBorders>
            <w:vAlign w:val="center"/>
          </w:tcPr>
          <w:p w14:paraId="49A5B54A" w14:textId="77777777" w:rsidR="006E0879" w:rsidRPr="00925DF4" w:rsidRDefault="006E0879" w:rsidP="00AB3D40">
            <w:pPr>
              <w:spacing w:before="60" w:after="60"/>
              <w:jc w:val="center"/>
              <w:rPr>
                <w:rFonts w:cs="Arial"/>
                <w:color w:val="1D1D1B" w:themeColor="text1"/>
              </w:rPr>
            </w:pPr>
            <w:r w:rsidRPr="00925DF4">
              <w:rPr>
                <w:rFonts w:cs="Arial"/>
                <w:color w:val="1D1D1B" w:themeColor="text1"/>
              </w:rPr>
              <w:t>5</w:t>
            </w:r>
          </w:p>
        </w:tc>
      </w:tr>
      <w:tr w:rsidR="006E0879" w:rsidRPr="00925DF4" w14:paraId="17793425" w14:textId="77777777" w:rsidTr="00AB3D40">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368A089F" w14:textId="77777777" w:rsidR="006E0879" w:rsidRPr="00925DF4" w:rsidRDefault="006E0879" w:rsidP="00AB3D40">
            <w:pPr>
              <w:rPr>
                <w:rFonts w:cs="Arial"/>
                <w:color w:val="1D1D1B" w:themeColor="text1"/>
              </w:rPr>
            </w:pPr>
            <w:r w:rsidRPr="00925DF4">
              <w:rPr>
                <w:rFonts w:cs="Arial"/>
                <w:color w:val="1D1D1B" w:themeColor="text1"/>
              </w:rPr>
              <w:t xml:space="preserve">Don’t know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797B39" w14:textId="77777777" w:rsidR="006E0879" w:rsidRPr="00925DF4" w:rsidRDefault="006E0879" w:rsidP="00AB3D40">
            <w:pPr>
              <w:spacing w:before="60" w:after="60"/>
              <w:jc w:val="center"/>
              <w:rPr>
                <w:rFonts w:cs="Arial"/>
                <w:color w:val="1D1D1B" w:themeColor="text1"/>
              </w:rPr>
            </w:pPr>
            <w:r w:rsidRPr="00925DF4">
              <w:rPr>
                <w:rFonts w:cs="Arial"/>
                <w:color w:val="1D1D1B" w:themeColor="text1"/>
              </w:rPr>
              <w:t>98</w:t>
            </w:r>
          </w:p>
        </w:tc>
      </w:tr>
      <w:tr w:rsidR="006E0879" w:rsidRPr="00925DF4" w14:paraId="29E0458A" w14:textId="77777777" w:rsidTr="00AB3D40">
        <w:trPr>
          <w:cantSplit/>
          <w:trHeight w:val="397"/>
        </w:trPr>
        <w:tc>
          <w:tcPr>
            <w:tcW w:w="7796" w:type="dxa"/>
            <w:tcBorders>
              <w:top w:val="single" w:sz="4" w:space="0" w:color="auto"/>
              <w:left w:val="single" w:sz="4" w:space="0" w:color="auto"/>
              <w:bottom w:val="single" w:sz="4" w:space="0" w:color="auto"/>
              <w:right w:val="single" w:sz="4" w:space="0" w:color="auto"/>
            </w:tcBorders>
            <w:vAlign w:val="center"/>
            <w:hideMark/>
          </w:tcPr>
          <w:p w14:paraId="1FD21B47" w14:textId="77777777" w:rsidR="006E0879" w:rsidRPr="00925DF4" w:rsidRDefault="006E0879" w:rsidP="00AB3D40">
            <w:pPr>
              <w:rPr>
                <w:rFonts w:cs="Arial"/>
                <w:color w:val="1D1D1B" w:themeColor="text1"/>
              </w:rPr>
            </w:pPr>
            <w:r w:rsidRPr="00925DF4">
              <w:rPr>
                <w:rFonts w:cs="Arial"/>
                <w:color w:val="1D1D1B" w:themeColor="text1"/>
              </w:rPr>
              <w:t>Prefer not to say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6D303C" w14:textId="77777777" w:rsidR="006E0879" w:rsidRPr="00925DF4" w:rsidRDefault="006E0879" w:rsidP="00AB3D40">
            <w:pPr>
              <w:spacing w:before="60" w:after="60"/>
              <w:jc w:val="center"/>
              <w:rPr>
                <w:rFonts w:cs="Arial"/>
                <w:color w:val="1D1D1B" w:themeColor="text1"/>
              </w:rPr>
            </w:pPr>
            <w:r w:rsidRPr="00925DF4">
              <w:rPr>
                <w:rFonts w:cs="Arial"/>
                <w:color w:val="1D1D1B" w:themeColor="text1"/>
              </w:rPr>
              <w:t>99</w:t>
            </w:r>
          </w:p>
        </w:tc>
      </w:tr>
    </w:tbl>
    <w:p w14:paraId="1BD88D83" w14:textId="77777777" w:rsidR="006E0879" w:rsidRPr="00925DF4" w:rsidRDefault="006E0879" w:rsidP="006E0879">
      <w:pPr>
        <w:rPr>
          <w:rFonts w:cs="Arial"/>
          <w:lang w:eastAsia="en-GB"/>
        </w:rPr>
      </w:pPr>
    </w:p>
    <w:p w14:paraId="5DB98DEA" w14:textId="77777777" w:rsidR="006E0879" w:rsidRPr="00925DF4" w:rsidRDefault="006E0879" w:rsidP="006E0879">
      <w:pPr>
        <w:rPr>
          <w:rFonts w:cs="Arial"/>
          <w:lang w:eastAsia="en-GB"/>
        </w:rPr>
      </w:pPr>
    </w:p>
    <w:p w14:paraId="3286341B" w14:textId="77777777" w:rsidR="006E0879" w:rsidRPr="00925DF4" w:rsidRDefault="006E0879" w:rsidP="006E0879">
      <w:pPr>
        <w:spacing w:after="160" w:line="259" w:lineRule="auto"/>
        <w:rPr>
          <w:rFonts w:cs="Arial"/>
          <w:color w:val="FF0000"/>
          <w:lang w:eastAsia="en-GB"/>
        </w:rPr>
      </w:pPr>
      <w:r w:rsidRPr="00925DF4">
        <w:rPr>
          <w:rFonts w:cs="Arial"/>
          <w:color w:val="FF0000"/>
          <w:lang w:eastAsia="en-GB"/>
        </w:rPr>
        <w:t>ASK ALL SOLE TRADERS (CODE 1 AT S17)</w:t>
      </w:r>
    </w:p>
    <w:p w14:paraId="6189D170" w14:textId="77777777" w:rsidR="006E0879" w:rsidRPr="00925DF4" w:rsidRDefault="006E0879" w:rsidP="006E0879">
      <w:pPr>
        <w:rPr>
          <w:rFonts w:cs="Arial"/>
          <w:b/>
          <w:bCs/>
          <w:lang w:eastAsia="en-GB"/>
        </w:rPr>
      </w:pPr>
      <w:r w:rsidRPr="00925DF4">
        <w:rPr>
          <w:rFonts w:cs="Arial"/>
          <w:lang w:eastAsia="en-GB"/>
        </w:rPr>
        <w:t xml:space="preserve">E3. </w:t>
      </w:r>
      <w:r w:rsidRPr="00925DF4">
        <w:rPr>
          <w:rFonts w:cs="Arial"/>
          <w:b/>
          <w:bCs/>
          <w:lang w:eastAsia="en-GB"/>
        </w:rPr>
        <w:t>Please [</w:t>
      </w:r>
      <w:r w:rsidRPr="00925DF4">
        <w:rPr>
          <w:rFonts w:cs="Arial"/>
          <w:b/>
          <w:bCs/>
          <w:color w:val="FF0000"/>
          <w:lang w:eastAsia="en-GB"/>
        </w:rPr>
        <w:t xml:space="preserve">CATI: </w:t>
      </w:r>
      <w:r w:rsidRPr="00925DF4">
        <w:rPr>
          <w:rFonts w:cs="Arial"/>
          <w:b/>
          <w:bCs/>
          <w:lang w:eastAsia="en-GB"/>
        </w:rPr>
        <w:t>could you tell us] [</w:t>
      </w:r>
      <w:r w:rsidRPr="00925DF4">
        <w:rPr>
          <w:rFonts w:cs="Arial"/>
          <w:b/>
          <w:bCs/>
          <w:color w:val="FF0000"/>
          <w:lang w:eastAsia="en-GB"/>
        </w:rPr>
        <w:t xml:space="preserve">WEB: </w:t>
      </w:r>
      <w:r w:rsidRPr="00925DF4">
        <w:rPr>
          <w:rFonts w:cs="Arial"/>
          <w:b/>
          <w:bCs/>
          <w:lang w:eastAsia="en-GB"/>
        </w:rPr>
        <w:t xml:space="preserve">enter] the </w:t>
      </w:r>
      <w:r>
        <w:rPr>
          <w:rFonts w:cs="Arial"/>
          <w:b/>
          <w:bCs/>
          <w:lang w:eastAsia="en-GB"/>
        </w:rPr>
        <w:t>year</w:t>
      </w:r>
      <w:r w:rsidRPr="00925DF4">
        <w:rPr>
          <w:rFonts w:cs="Arial"/>
          <w:b/>
          <w:bCs/>
          <w:lang w:eastAsia="en-GB"/>
        </w:rPr>
        <w:t xml:space="preserve"> you were born.</w:t>
      </w:r>
    </w:p>
    <w:p w14:paraId="225872D7" w14:textId="64EC005D" w:rsidR="006E0879" w:rsidRPr="00C31D26" w:rsidRDefault="006E0879" w:rsidP="006E0879">
      <w:pPr>
        <w:rPr>
          <w:rFonts w:cs="Arial"/>
          <w:b/>
          <w:bCs/>
          <w:lang w:eastAsia="en-GB"/>
        </w:rPr>
      </w:pPr>
      <w:r w:rsidRPr="00925DF4">
        <w:rPr>
          <w:rFonts w:cs="Arial"/>
          <w:b/>
          <w:bCs/>
          <w:lang w:eastAsia="en-GB"/>
        </w:rPr>
        <w:t>If you don’t know your date of birth, please estimate it as best as you can.</w:t>
      </w:r>
    </w:p>
    <w:p w14:paraId="363A7102" w14:textId="77777777" w:rsidR="006E0879" w:rsidRPr="00925DF4" w:rsidRDefault="006E0879" w:rsidP="006E0879">
      <w:pPr>
        <w:rPr>
          <w:rFonts w:cs="Arial"/>
          <w:color w:val="FF0000"/>
          <w:lang w:eastAsia="en-GB"/>
        </w:rPr>
      </w:pPr>
      <w:r w:rsidRPr="00925DF4">
        <w:rPr>
          <w:rFonts w:cs="Arial"/>
          <w:color w:val="FF0000"/>
          <w:lang w:eastAsia="en-GB"/>
        </w:rPr>
        <w:t>ALLOW NUMERICAL ANSWER FOR DAY/MONTH/YEAR</w:t>
      </w:r>
    </w:p>
    <w:p w14:paraId="66A723D8" w14:textId="1FE7B25B" w:rsidR="006E0879" w:rsidRPr="00C31D26" w:rsidRDefault="006E0879" w:rsidP="006E0879">
      <w:pPr>
        <w:rPr>
          <w:rFonts w:cs="Arial"/>
          <w:color w:val="FF0000"/>
          <w:lang w:eastAsia="en-GB"/>
        </w:rPr>
      </w:pPr>
      <w:r w:rsidRPr="00925DF4">
        <w:rPr>
          <w:rFonts w:cs="Arial"/>
          <w:color w:val="FF0000"/>
          <w:lang w:eastAsia="en-GB"/>
        </w:rPr>
        <w:t xml:space="preserve">ALLOW </w:t>
      </w:r>
      <w:r>
        <w:rPr>
          <w:rFonts w:cs="Arial"/>
          <w:color w:val="FF0000"/>
          <w:lang w:eastAsia="en-GB"/>
        </w:rPr>
        <w:t>DON’T KNOW / REFUSED</w:t>
      </w:r>
    </w:p>
    <w:p w14:paraId="3516F9CC" w14:textId="77777777" w:rsidR="006E0879" w:rsidRPr="00925DF4" w:rsidRDefault="006E0879" w:rsidP="006E0879">
      <w:pPr>
        <w:rPr>
          <w:rFonts w:cs="Arial"/>
          <w:color w:val="FF0000"/>
          <w:lang w:eastAsia="en-GB"/>
        </w:rPr>
      </w:pPr>
      <w:r w:rsidRPr="00925DF4">
        <w:rPr>
          <w:rFonts w:cs="Arial"/>
          <w:color w:val="FF0000"/>
          <w:lang w:eastAsia="en-GB"/>
        </w:rPr>
        <w:t xml:space="preserve">ASK IF </w:t>
      </w:r>
      <w:r>
        <w:rPr>
          <w:rFonts w:cs="Arial"/>
          <w:color w:val="FF0000"/>
          <w:lang w:eastAsia="en-GB"/>
        </w:rPr>
        <w:t>DON’T KNOW / REFUSED</w:t>
      </w:r>
      <w:r w:rsidRPr="00925DF4">
        <w:rPr>
          <w:rFonts w:cs="Arial"/>
          <w:color w:val="FF0000"/>
          <w:lang w:eastAsia="en-GB"/>
        </w:rPr>
        <w:t xml:space="preserve"> AT E3</w:t>
      </w:r>
    </w:p>
    <w:p w14:paraId="4D79E944" w14:textId="77777777" w:rsidR="006E0879" w:rsidRPr="00925DF4" w:rsidRDefault="006E0879" w:rsidP="006E0879">
      <w:pPr>
        <w:rPr>
          <w:rFonts w:cs="Arial"/>
          <w:b/>
          <w:bCs/>
          <w:lang w:eastAsia="en-GB"/>
        </w:rPr>
      </w:pPr>
      <w:r w:rsidRPr="00925DF4">
        <w:rPr>
          <w:rFonts w:cs="Arial"/>
          <w:b/>
          <w:bCs/>
          <w:lang w:eastAsia="en-GB"/>
        </w:rPr>
        <w:t>E4. How old were you on your last birthday?</w:t>
      </w:r>
    </w:p>
    <w:p w14:paraId="0A6E7C89" w14:textId="746E2408" w:rsidR="006E0879" w:rsidRPr="00C31D26" w:rsidRDefault="006E0879" w:rsidP="006E0879">
      <w:pPr>
        <w:rPr>
          <w:rFonts w:cs="Arial"/>
          <w:color w:val="1D1D1B" w:themeColor="text1"/>
        </w:rPr>
      </w:pPr>
      <w:r w:rsidRPr="00925DF4">
        <w:rPr>
          <w:rFonts w:cs="Arial"/>
          <w:color w:val="1D1D1B" w:themeColor="text1"/>
        </w:rPr>
        <w:t xml:space="preserve"> </w:t>
      </w:r>
      <w:r w:rsidRPr="00925DF4">
        <w:rPr>
          <w:rFonts w:cs="Arial"/>
          <w:color w:val="FF0000"/>
        </w:rPr>
        <w:t>SINGLE CODE ONLY</w:t>
      </w:r>
    </w:p>
    <w:tbl>
      <w:tblPr>
        <w:tblW w:w="88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7811"/>
        <w:gridCol w:w="994"/>
      </w:tblGrid>
      <w:tr w:rsidR="006E0879" w:rsidRPr="00925DF4" w14:paraId="14E4AC96"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4BAC3EDA" w14:textId="77777777" w:rsidR="006E0879" w:rsidRPr="00925DF4" w:rsidRDefault="006E0879" w:rsidP="00AB3D40">
            <w:pPr>
              <w:rPr>
                <w:rFonts w:cs="Arial"/>
                <w:color w:val="1D1D1B" w:themeColor="text1"/>
              </w:rPr>
            </w:pPr>
            <w:r w:rsidRPr="00925DF4">
              <w:rPr>
                <w:rFonts w:cs="Arial"/>
                <w:color w:val="1D1D1B" w:themeColor="text1"/>
              </w:rPr>
              <w:t>Under 24</w:t>
            </w:r>
          </w:p>
        </w:tc>
        <w:tc>
          <w:tcPr>
            <w:tcW w:w="994" w:type="dxa"/>
            <w:tcBorders>
              <w:top w:val="single" w:sz="4" w:space="0" w:color="auto"/>
              <w:left w:val="single" w:sz="4" w:space="0" w:color="auto"/>
              <w:bottom w:val="single" w:sz="4" w:space="0" w:color="auto"/>
              <w:right w:val="single" w:sz="4" w:space="0" w:color="auto"/>
            </w:tcBorders>
            <w:vAlign w:val="center"/>
            <w:hideMark/>
          </w:tcPr>
          <w:p w14:paraId="29F41C0B" w14:textId="77777777" w:rsidR="006E0879" w:rsidRPr="00925DF4" w:rsidRDefault="006E0879" w:rsidP="00AB3D40">
            <w:pPr>
              <w:jc w:val="center"/>
              <w:rPr>
                <w:rFonts w:cs="Arial"/>
                <w:color w:val="1D1D1B" w:themeColor="text1"/>
              </w:rPr>
            </w:pPr>
            <w:r w:rsidRPr="00925DF4">
              <w:rPr>
                <w:rFonts w:cs="Arial"/>
                <w:color w:val="1D1D1B" w:themeColor="text1"/>
              </w:rPr>
              <w:t>1</w:t>
            </w:r>
          </w:p>
        </w:tc>
      </w:tr>
      <w:tr w:rsidR="006E0879" w:rsidRPr="00925DF4" w14:paraId="68301C19"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23BDC11F" w14:textId="77777777" w:rsidR="006E0879" w:rsidRPr="00925DF4" w:rsidRDefault="006E0879" w:rsidP="00AB3D40">
            <w:pPr>
              <w:rPr>
                <w:rFonts w:cs="Arial"/>
                <w:color w:val="1D1D1B" w:themeColor="text1"/>
              </w:rPr>
            </w:pPr>
            <w:r w:rsidRPr="00925DF4">
              <w:rPr>
                <w:rFonts w:cs="Arial"/>
                <w:color w:val="1D1D1B" w:themeColor="text1"/>
              </w:rPr>
              <w:t>25-29</w:t>
            </w:r>
          </w:p>
          <w:p w14:paraId="41A698CE" w14:textId="77777777" w:rsidR="006E0879" w:rsidRPr="00925DF4" w:rsidRDefault="006E0879" w:rsidP="00AB3D40">
            <w:pPr>
              <w:rPr>
                <w:rFonts w:cs="Arial"/>
                <w:color w:val="1D1D1B" w:themeColor="text1"/>
              </w:rPr>
            </w:pPr>
          </w:p>
        </w:tc>
        <w:tc>
          <w:tcPr>
            <w:tcW w:w="994" w:type="dxa"/>
            <w:tcBorders>
              <w:top w:val="single" w:sz="4" w:space="0" w:color="auto"/>
              <w:left w:val="single" w:sz="4" w:space="0" w:color="auto"/>
              <w:bottom w:val="single" w:sz="4" w:space="0" w:color="auto"/>
              <w:right w:val="single" w:sz="4" w:space="0" w:color="auto"/>
            </w:tcBorders>
            <w:vAlign w:val="center"/>
            <w:hideMark/>
          </w:tcPr>
          <w:p w14:paraId="2F40E8CF" w14:textId="77777777" w:rsidR="006E0879" w:rsidRPr="00925DF4" w:rsidRDefault="006E0879" w:rsidP="00AB3D40">
            <w:pPr>
              <w:jc w:val="center"/>
              <w:rPr>
                <w:rFonts w:cs="Arial"/>
                <w:color w:val="1D1D1B" w:themeColor="text1"/>
              </w:rPr>
            </w:pPr>
            <w:r w:rsidRPr="00925DF4">
              <w:rPr>
                <w:rFonts w:cs="Arial"/>
                <w:color w:val="1D1D1B" w:themeColor="text1"/>
              </w:rPr>
              <w:t>2</w:t>
            </w:r>
          </w:p>
        </w:tc>
      </w:tr>
      <w:tr w:rsidR="006E0879" w:rsidRPr="00925DF4" w14:paraId="1DDE5FFE"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18B2CF30" w14:textId="77777777" w:rsidR="006E0879" w:rsidRPr="00925DF4" w:rsidRDefault="006E0879" w:rsidP="00AB3D40">
            <w:pPr>
              <w:rPr>
                <w:rFonts w:cs="Arial"/>
                <w:color w:val="1D1D1B" w:themeColor="text1"/>
              </w:rPr>
            </w:pPr>
            <w:r w:rsidRPr="00925DF4">
              <w:rPr>
                <w:rFonts w:cs="Arial"/>
                <w:color w:val="1D1D1B" w:themeColor="text1"/>
              </w:rPr>
              <w:t>30-34</w:t>
            </w:r>
          </w:p>
          <w:p w14:paraId="1EC331B1" w14:textId="77777777" w:rsidR="006E0879" w:rsidRPr="00925DF4" w:rsidRDefault="006E0879" w:rsidP="00AB3D40">
            <w:pPr>
              <w:rPr>
                <w:rFonts w:cs="Arial"/>
                <w:color w:val="1D1D1B" w:themeColor="text1"/>
              </w:rPr>
            </w:pPr>
          </w:p>
        </w:tc>
        <w:tc>
          <w:tcPr>
            <w:tcW w:w="994" w:type="dxa"/>
            <w:tcBorders>
              <w:top w:val="single" w:sz="4" w:space="0" w:color="auto"/>
              <w:left w:val="single" w:sz="4" w:space="0" w:color="auto"/>
              <w:bottom w:val="single" w:sz="4" w:space="0" w:color="auto"/>
              <w:right w:val="single" w:sz="4" w:space="0" w:color="auto"/>
            </w:tcBorders>
            <w:vAlign w:val="center"/>
            <w:hideMark/>
          </w:tcPr>
          <w:p w14:paraId="41561131" w14:textId="77777777" w:rsidR="006E0879" w:rsidRPr="00925DF4" w:rsidRDefault="006E0879" w:rsidP="00AB3D40">
            <w:pPr>
              <w:jc w:val="center"/>
              <w:rPr>
                <w:rFonts w:cs="Arial"/>
                <w:color w:val="1D1D1B" w:themeColor="text1"/>
              </w:rPr>
            </w:pPr>
            <w:r w:rsidRPr="00925DF4">
              <w:rPr>
                <w:rFonts w:cs="Arial"/>
                <w:color w:val="1D1D1B" w:themeColor="text1"/>
              </w:rPr>
              <w:t>3</w:t>
            </w:r>
          </w:p>
        </w:tc>
      </w:tr>
      <w:tr w:rsidR="006E0879" w:rsidRPr="00925DF4" w14:paraId="78C59319"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771548EB" w14:textId="77777777" w:rsidR="006E0879" w:rsidRPr="00925DF4" w:rsidRDefault="006E0879" w:rsidP="00AB3D40">
            <w:pPr>
              <w:rPr>
                <w:rFonts w:cs="Arial"/>
                <w:color w:val="1D1D1B" w:themeColor="text1"/>
              </w:rPr>
            </w:pPr>
            <w:r w:rsidRPr="00925DF4">
              <w:rPr>
                <w:rFonts w:cs="Arial"/>
                <w:color w:val="1D1D1B" w:themeColor="text1"/>
              </w:rPr>
              <w:t>35-39</w:t>
            </w:r>
          </w:p>
          <w:p w14:paraId="069B61AD" w14:textId="77777777" w:rsidR="006E0879" w:rsidRPr="00925DF4" w:rsidRDefault="006E0879" w:rsidP="00AB3D40">
            <w:pPr>
              <w:rPr>
                <w:rFonts w:cs="Arial"/>
                <w:color w:val="1D1D1B" w:themeColor="text1"/>
              </w:rPr>
            </w:pPr>
          </w:p>
        </w:tc>
        <w:tc>
          <w:tcPr>
            <w:tcW w:w="994" w:type="dxa"/>
            <w:tcBorders>
              <w:top w:val="single" w:sz="4" w:space="0" w:color="auto"/>
              <w:left w:val="single" w:sz="4" w:space="0" w:color="auto"/>
              <w:bottom w:val="single" w:sz="4" w:space="0" w:color="auto"/>
              <w:right w:val="single" w:sz="4" w:space="0" w:color="auto"/>
            </w:tcBorders>
            <w:vAlign w:val="center"/>
            <w:hideMark/>
          </w:tcPr>
          <w:p w14:paraId="11FED888" w14:textId="77777777" w:rsidR="006E0879" w:rsidRPr="00925DF4" w:rsidRDefault="006E0879" w:rsidP="00AB3D40">
            <w:pPr>
              <w:jc w:val="center"/>
              <w:rPr>
                <w:rFonts w:cs="Arial"/>
                <w:color w:val="1D1D1B" w:themeColor="text1"/>
              </w:rPr>
            </w:pPr>
            <w:r w:rsidRPr="00925DF4">
              <w:rPr>
                <w:rFonts w:cs="Arial"/>
                <w:color w:val="1D1D1B" w:themeColor="text1"/>
              </w:rPr>
              <w:t>4</w:t>
            </w:r>
          </w:p>
        </w:tc>
      </w:tr>
      <w:tr w:rsidR="006E0879" w:rsidRPr="00925DF4" w14:paraId="50206CB7"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tcPr>
          <w:p w14:paraId="4EA9210A" w14:textId="77777777" w:rsidR="006E0879" w:rsidRPr="00925DF4" w:rsidRDefault="006E0879" w:rsidP="00AB3D40">
            <w:pPr>
              <w:rPr>
                <w:rFonts w:cs="Arial"/>
                <w:color w:val="1D1D1B" w:themeColor="text1"/>
              </w:rPr>
            </w:pPr>
            <w:r w:rsidRPr="00925DF4">
              <w:rPr>
                <w:rFonts w:cs="Arial"/>
                <w:color w:val="1D1D1B" w:themeColor="text1"/>
              </w:rPr>
              <w:t>40-49</w:t>
            </w:r>
          </w:p>
        </w:tc>
        <w:tc>
          <w:tcPr>
            <w:tcW w:w="994" w:type="dxa"/>
            <w:tcBorders>
              <w:top w:val="single" w:sz="4" w:space="0" w:color="auto"/>
              <w:left w:val="single" w:sz="4" w:space="0" w:color="auto"/>
              <w:bottom w:val="single" w:sz="4" w:space="0" w:color="auto"/>
              <w:right w:val="single" w:sz="4" w:space="0" w:color="auto"/>
            </w:tcBorders>
            <w:vAlign w:val="center"/>
          </w:tcPr>
          <w:p w14:paraId="49655952" w14:textId="77777777" w:rsidR="006E0879" w:rsidRPr="00925DF4" w:rsidRDefault="006E0879" w:rsidP="00AB3D40">
            <w:pPr>
              <w:jc w:val="center"/>
              <w:rPr>
                <w:rFonts w:cs="Arial"/>
                <w:color w:val="1D1D1B" w:themeColor="text1"/>
              </w:rPr>
            </w:pPr>
            <w:r w:rsidRPr="00925DF4">
              <w:rPr>
                <w:rFonts w:cs="Arial"/>
                <w:color w:val="1D1D1B" w:themeColor="text1"/>
              </w:rPr>
              <w:t>5</w:t>
            </w:r>
          </w:p>
        </w:tc>
      </w:tr>
      <w:tr w:rsidR="006E0879" w:rsidRPr="00925DF4" w14:paraId="315A8E82"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tcPr>
          <w:p w14:paraId="06F77EBA" w14:textId="77777777" w:rsidR="006E0879" w:rsidRPr="00925DF4" w:rsidRDefault="006E0879" w:rsidP="00AB3D40">
            <w:pPr>
              <w:rPr>
                <w:rFonts w:cs="Arial"/>
                <w:color w:val="1D1D1B" w:themeColor="text1"/>
              </w:rPr>
            </w:pPr>
            <w:r w:rsidRPr="00925DF4">
              <w:rPr>
                <w:rFonts w:cs="Arial"/>
                <w:color w:val="1D1D1B" w:themeColor="text1"/>
              </w:rPr>
              <w:t>50-59</w:t>
            </w:r>
          </w:p>
        </w:tc>
        <w:tc>
          <w:tcPr>
            <w:tcW w:w="994" w:type="dxa"/>
            <w:tcBorders>
              <w:top w:val="single" w:sz="4" w:space="0" w:color="auto"/>
              <w:left w:val="single" w:sz="4" w:space="0" w:color="auto"/>
              <w:bottom w:val="single" w:sz="4" w:space="0" w:color="auto"/>
              <w:right w:val="single" w:sz="4" w:space="0" w:color="auto"/>
            </w:tcBorders>
            <w:vAlign w:val="center"/>
          </w:tcPr>
          <w:p w14:paraId="5FC55BAB" w14:textId="77777777" w:rsidR="006E0879" w:rsidRPr="00925DF4" w:rsidRDefault="006E0879" w:rsidP="00AB3D40">
            <w:pPr>
              <w:jc w:val="center"/>
              <w:rPr>
                <w:rFonts w:cs="Arial"/>
                <w:color w:val="1D1D1B" w:themeColor="text1"/>
              </w:rPr>
            </w:pPr>
            <w:r w:rsidRPr="00925DF4">
              <w:rPr>
                <w:rFonts w:cs="Arial"/>
                <w:color w:val="1D1D1B" w:themeColor="text1"/>
              </w:rPr>
              <w:t>6</w:t>
            </w:r>
          </w:p>
        </w:tc>
      </w:tr>
      <w:tr w:rsidR="006E0879" w:rsidRPr="00925DF4" w14:paraId="66C3477C"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tcPr>
          <w:p w14:paraId="7A19CD77" w14:textId="77777777" w:rsidR="006E0879" w:rsidRPr="00925DF4" w:rsidRDefault="006E0879" w:rsidP="00AB3D40">
            <w:pPr>
              <w:rPr>
                <w:rFonts w:cs="Arial"/>
                <w:color w:val="1D1D1B" w:themeColor="text1"/>
              </w:rPr>
            </w:pPr>
            <w:r w:rsidRPr="00925DF4">
              <w:rPr>
                <w:rFonts w:cs="Arial"/>
                <w:color w:val="1D1D1B" w:themeColor="text1"/>
              </w:rPr>
              <w:t>60-69</w:t>
            </w:r>
          </w:p>
        </w:tc>
        <w:tc>
          <w:tcPr>
            <w:tcW w:w="994" w:type="dxa"/>
            <w:tcBorders>
              <w:top w:val="single" w:sz="4" w:space="0" w:color="auto"/>
              <w:left w:val="single" w:sz="4" w:space="0" w:color="auto"/>
              <w:bottom w:val="single" w:sz="4" w:space="0" w:color="auto"/>
              <w:right w:val="single" w:sz="4" w:space="0" w:color="auto"/>
            </w:tcBorders>
            <w:vAlign w:val="center"/>
          </w:tcPr>
          <w:p w14:paraId="4AEC4FEE" w14:textId="77777777" w:rsidR="006E0879" w:rsidRPr="00925DF4" w:rsidRDefault="006E0879" w:rsidP="00AB3D40">
            <w:pPr>
              <w:jc w:val="center"/>
              <w:rPr>
                <w:rFonts w:cs="Arial"/>
                <w:color w:val="1D1D1B" w:themeColor="text1"/>
              </w:rPr>
            </w:pPr>
            <w:r w:rsidRPr="00925DF4">
              <w:rPr>
                <w:rFonts w:cs="Arial"/>
                <w:color w:val="1D1D1B" w:themeColor="text1"/>
              </w:rPr>
              <w:t>7</w:t>
            </w:r>
          </w:p>
        </w:tc>
      </w:tr>
      <w:tr w:rsidR="006E0879" w:rsidRPr="00925DF4" w14:paraId="540C23FA"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tcPr>
          <w:p w14:paraId="6C9A3AB5" w14:textId="77777777" w:rsidR="006E0879" w:rsidRPr="00925DF4" w:rsidRDefault="006E0879" w:rsidP="00AB3D40">
            <w:pPr>
              <w:rPr>
                <w:rFonts w:cs="Arial"/>
                <w:color w:val="1D1D1B" w:themeColor="text1"/>
              </w:rPr>
            </w:pPr>
            <w:r w:rsidRPr="00925DF4">
              <w:rPr>
                <w:rFonts w:cs="Arial"/>
                <w:color w:val="1D1D1B" w:themeColor="text1"/>
              </w:rPr>
              <w:t>70+</w:t>
            </w:r>
          </w:p>
        </w:tc>
        <w:tc>
          <w:tcPr>
            <w:tcW w:w="994" w:type="dxa"/>
            <w:tcBorders>
              <w:top w:val="single" w:sz="4" w:space="0" w:color="auto"/>
              <w:left w:val="single" w:sz="4" w:space="0" w:color="auto"/>
              <w:bottom w:val="single" w:sz="4" w:space="0" w:color="auto"/>
              <w:right w:val="single" w:sz="4" w:space="0" w:color="auto"/>
            </w:tcBorders>
            <w:vAlign w:val="center"/>
          </w:tcPr>
          <w:p w14:paraId="73CB29B6" w14:textId="77777777" w:rsidR="006E0879" w:rsidRPr="00925DF4" w:rsidRDefault="006E0879" w:rsidP="00AB3D40">
            <w:pPr>
              <w:jc w:val="center"/>
              <w:rPr>
                <w:rFonts w:cs="Arial"/>
                <w:color w:val="1D1D1B" w:themeColor="text1"/>
              </w:rPr>
            </w:pPr>
            <w:r w:rsidRPr="00925DF4">
              <w:rPr>
                <w:rFonts w:cs="Arial"/>
                <w:color w:val="1D1D1B" w:themeColor="text1"/>
              </w:rPr>
              <w:t>8</w:t>
            </w:r>
          </w:p>
        </w:tc>
      </w:tr>
      <w:tr w:rsidR="006E0879" w:rsidRPr="00925DF4" w14:paraId="33E7DA39"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tcPr>
          <w:p w14:paraId="70CD0735" w14:textId="77777777" w:rsidR="006E0879" w:rsidRPr="00925DF4" w:rsidRDefault="006E0879" w:rsidP="00AB3D40">
            <w:pPr>
              <w:rPr>
                <w:rFonts w:cs="Arial"/>
                <w:color w:val="1D1D1B" w:themeColor="text1"/>
              </w:rPr>
            </w:pPr>
            <w:r w:rsidRPr="00925DF4">
              <w:rPr>
                <w:rFonts w:cs="Arial"/>
                <w:color w:val="1D1D1B" w:themeColor="text1"/>
              </w:rPr>
              <w:t>Prefer not to say</w:t>
            </w:r>
          </w:p>
        </w:tc>
        <w:tc>
          <w:tcPr>
            <w:tcW w:w="994" w:type="dxa"/>
            <w:tcBorders>
              <w:top w:val="single" w:sz="4" w:space="0" w:color="auto"/>
              <w:left w:val="single" w:sz="4" w:space="0" w:color="auto"/>
              <w:bottom w:val="single" w:sz="4" w:space="0" w:color="auto"/>
              <w:right w:val="single" w:sz="4" w:space="0" w:color="auto"/>
            </w:tcBorders>
            <w:vAlign w:val="center"/>
          </w:tcPr>
          <w:p w14:paraId="049A70D9" w14:textId="77777777" w:rsidR="006E0879" w:rsidRPr="00925DF4" w:rsidRDefault="006E0879" w:rsidP="00AB3D40">
            <w:pPr>
              <w:jc w:val="center"/>
              <w:rPr>
                <w:rFonts w:cs="Arial"/>
                <w:color w:val="1D1D1B" w:themeColor="text1"/>
              </w:rPr>
            </w:pPr>
            <w:r w:rsidRPr="00925DF4">
              <w:rPr>
                <w:rFonts w:cs="Arial"/>
                <w:color w:val="1D1D1B" w:themeColor="text1"/>
              </w:rPr>
              <w:t>99</w:t>
            </w:r>
          </w:p>
        </w:tc>
      </w:tr>
      <w:tr w:rsidR="006E0879" w:rsidRPr="00925DF4" w14:paraId="48449706" w14:textId="77777777" w:rsidTr="00AB3D40">
        <w:trPr>
          <w:cantSplit/>
          <w:trHeight w:val="320"/>
        </w:trPr>
        <w:tc>
          <w:tcPr>
            <w:tcW w:w="7811" w:type="dxa"/>
            <w:tcBorders>
              <w:top w:val="single" w:sz="4" w:space="0" w:color="auto"/>
              <w:left w:val="single" w:sz="4" w:space="0" w:color="auto"/>
              <w:bottom w:val="single" w:sz="4" w:space="0" w:color="auto"/>
              <w:right w:val="single" w:sz="4" w:space="0" w:color="auto"/>
            </w:tcBorders>
            <w:vAlign w:val="center"/>
            <w:hideMark/>
          </w:tcPr>
          <w:p w14:paraId="60AB88AF" w14:textId="77777777" w:rsidR="006E0879" w:rsidRPr="00925DF4" w:rsidRDefault="006E0879" w:rsidP="00AB3D40">
            <w:pPr>
              <w:rPr>
                <w:rFonts w:cs="Arial"/>
                <w:color w:val="1D1D1B" w:themeColor="text1"/>
              </w:rPr>
            </w:pPr>
            <w:r w:rsidRPr="00925DF4">
              <w:rPr>
                <w:rFonts w:cs="Arial"/>
                <w:color w:val="1D1D1B" w:themeColor="text1"/>
              </w:rPr>
              <w:t>Don’t know</w:t>
            </w:r>
          </w:p>
        </w:tc>
        <w:tc>
          <w:tcPr>
            <w:tcW w:w="994" w:type="dxa"/>
            <w:tcBorders>
              <w:top w:val="single" w:sz="4" w:space="0" w:color="auto"/>
              <w:left w:val="single" w:sz="4" w:space="0" w:color="auto"/>
              <w:bottom w:val="single" w:sz="4" w:space="0" w:color="auto"/>
              <w:right w:val="single" w:sz="4" w:space="0" w:color="auto"/>
            </w:tcBorders>
            <w:vAlign w:val="center"/>
            <w:hideMark/>
          </w:tcPr>
          <w:p w14:paraId="2FA78275" w14:textId="77777777" w:rsidR="006E0879" w:rsidRPr="00925DF4" w:rsidRDefault="006E0879" w:rsidP="00AB3D40">
            <w:pPr>
              <w:jc w:val="center"/>
              <w:rPr>
                <w:rFonts w:cs="Arial"/>
                <w:color w:val="1D1D1B" w:themeColor="text1"/>
              </w:rPr>
            </w:pPr>
            <w:r w:rsidRPr="00925DF4">
              <w:rPr>
                <w:rFonts w:cs="Arial"/>
                <w:color w:val="1D1D1B" w:themeColor="text1"/>
              </w:rPr>
              <w:t>98</w:t>
            </w:r>
          </w:p>
        </w:tc>
      </w:tr>
    </w:tbl>
    <w:p w14:paraId="0340E7BC" w14:textId="77777777" w:rsidR="006E0879" w:rsidRPr="00925DF4" w:rsidRDefault="006E0879" w:rsidP="006E0879">
      <w:pPr>
        <w:rPr>
          <w:rFonts w:cs="Arial"/>
          <w:lang w:eastAsia="en-GB"/>
        </w:rPr>
      </w:pPr>
    </w:p>
    <w:p w14:paraId="6C06CAEC" w14:textId="77777777" w:rsidR="006E0879" w:rsidRPr="00925DF4" w:rsidRDefault="006E0879" w:rsidP="006E0879">
      <w:pPr>
        <w:spacing w:after="160" w:line="259" w:lineRule="auto"/>
        <w:rPr>
          <w:rFonts w:cs="Arial"/>
          <w:color w:val="FF0000"/>
          <w:lang w:eastAsia="en-GB"/>
        </w:rPr>
      </w:pPr>
      <w:r w:rsidRPr="00925DF4">
        <w:rPr>
          <w:rFonts w:cs="Arial"/>
          <w:color w:val="FF0000"/>
          <w:lang w:eastAsia="en-GB"/>
        </w:rPr>
        <w:t xml:space="preserve">ASK </w:t>
      </w:r>
      <w:r>
        <w:rPr>
          <w:rFonts w:cs="Arial"/>
          <w:color w:val="FF0000"/>
          <w:lang w:eastAsia="en-GB"/>
        </w:rPr>
        <w:t>ALL</w:t>
      </w:r>
      <w:r w:rsidRPr="00925DF4">
        <w:rPr>
          <w:rFonts w:cs="Arial"/>
          <w:color w:val="FF0000"/>
          <w:lang w:eastAsia="en-GB"/>
        </w:rPr>
        <w:t xml:space="preserve"> EXCEPT SOLE TRADERS (CODE 1 AT S17)</w:t>
      </w:r>
    </w:p>
    <w:p w14:paraId="2F24DB32" w14:textId="1F3DB084" w:rsidR="006E0879" w:rsidRPr="00C31D26" w:rsidRDefault="006E0879" w:rsidP="006E0879">
      <w:pPr>
        <w:rPr>
          <w:rFonts w:cs="Arial"/>
          <w:b/>
          <w:bCs/>
          <w:lang w:eastAsia="en-GB"/>
        </w:rPr>
      </w:pPr>
      <w:r w:rsidRPr="00925DF4">
        <w:rPr>
          <w:rFonts w:cs="Arial"/>
          <w:b/>
          <w:bCs/>
          <w:lang w:eastAsia="en-GB"/>
        </w:rPr>
        <w:t xml:space="preserve">E6 </w:t>
      </w:r>
      <w:r w:rsidRPr="00925DF4">
        <w:rPr>
          <w:rFonts w:cs="Arial"/>
          <w:b/>
          <w:bCs/>
          <w:lang w:eastAsia="en-GB"/>
        </w:rPr>
        <w:tab/>
        <w:t xml:space="preserve">Thinking about the ownership of your business, approximately what percentage of your business would you say is owned by: </w:t>
      </w:r>
    </w:p>
    <w:p w14:paraId="33F9DA0B" w14:textId="77777777" w:rsidR="006E0879" w:rsidRPr="00925DF4" w:rsidRDefault="006E0879" w:rsidP="006E0879">
      <w:pPr>
        <w:pStyle w:val="ListParagraph"/>
        <w:keepLines/>
        <w:numPr>
          <w:ilvl w:val="0"/>
          <w:numId w:val="40"/>
        </w:numPr>
        <w:spacing w:after="0" w:line="240" w:lineRule="auto"/>
        <w:jc w:val="both"/>
        <w:rPr>
          <w:lang w:eastAsia="en-GB"/>
        </w:rPr>
      </w:pPr>
      <w:r w:rsidRPr="00925DF4">
        <w:rPr>
          <w:lang w:eastAsia="en-GB"/>
        </w:rPr>
        <w:t>women?</w:t>
      </w:r>
    </w:p>
    <w:p w14:paraId="132E9969" w14:textId="77777777" w:rsidR="006E0879" w:rsidRPr="00925DF4" w:rsidRDefault="006E0879" w:rsidP="006E0879">
      <w:pPr>
        <w:pStyle w:val="ListParagraph"/>
        <w:keepLines/>
        <w:numPr>
          <w:ilvl w:val="0"/>
          <w:numId w:val="40"/>
        </w:numPr>
        <w:spacing w:after="0" w:line="240" w:lineRule="auto"/>
        <w:jc w:val="both"/>
        <w:rPr>
          <w:lang w:eastAsia="en-GB"/>
        </w:rPr>
      </w:pPr>
      <w:r w:rsidRPr="00925DF4">
        <w:rPr>
          <w:lang w:eastAsia="en-GB"/>
        </w:rPr>
        <w:t>People who identify as being Asian/Black/Mixed/Multiple ethnic groups/another ethnic group other than White?</w:t>
      </w:r>
      <w:r w:rsidRPr="00925DF4">
        <w:rPr>
          <w:lang w:eastAsia="en-GB"/>
        </w:rPr>
        <w:tab/>
      </w:r>
    </w:p>
    <w:p w14:paraId="7DC01A92" w14:textId="77777777" w:rsidR="006E0879" w:rsidRPr="00925DF4" w:rsidRDefault="006E0879" w:rsidP="006E0879">
      <w:pPr>
        <w:pStyle w:val="ListParagraph"/>
        <w:keepLines/>
        <w:numPr>
          <w:ilvl w:val="0"/>
          <w:numId w:val="40"/>
        </w:numPr>
        <w:spacing w:after="0" w:line="240" w:lineRule="auto"/>
        <w:jc w:val="both"/>
        <w:rPr>
          <w:lang w:eastAsia="en-GB"/>
        </w:rPr>
      </w:pPr>
      <w:r w:rsidRPr="00925DF4">
        <w:rPr>
          <w:lang w:eastAsia="en-GB"/>
        </w:rPr>
        <w:t>institutions (e.g. Venture Capital Funds)?</w:t>
      </w:r>
    </w:p>
    <w:p w14:paraId="4DC8538A" w14:textId="77777777" w:rsidR="006E0879" w:rsidRPr="00925DF4" w:rsidRDefault="006E0879" w:rsidP="006E0879">
      <w:pPr>
        <w:rPr>
          <w:rFonts w:cs="Arial"/>
          <w:lang w:eastAsia="en-GB"/>
        </w:rPr>
      </w:pPr>
    </w:p>
    <w:p w14:paraId="57F135FC" w14:textId="6F0CDA67" w:rsidR="006E0879" w:rsidRPr="00925DF4" w:rsidRDefault="006E0879" w:rsidP="006E0879">
      <w:pPr>
        <w:rPr>
          <w:rFonts w:cs="Arial"/>
          <w:color w:val="F06603" w:themeColor="accent6"/>
          <w:lang w:eastAsia="en-GB"/>
        </w:rPr>
      </w:pPr>
      <w:r w:rsidRPr="00925DF4">
        <w:rPr>
          <w:rFonts w:cs="Arial"/>
          <w:color w:val="FF0000"/>
          <w:lang w:eastAsia="en-GB"/>
        </w:rPr>
        <w:t>RECORD % AND CODE TO LIST BELOW FOR EACH. ALLOW OPTION FOR REFUSED.</w:t>
      </w:r>
      <w:r w:rsidRPr="00925DF4">
        <w:rPr>
          <w:rFonts w:cs="Arial"/>
          <w:color w:val="F06603" w:themeColor="accent6"/>
          <w:lang w:eastAsia="en-GB"/>
        </w:rPr>
        <w:t xml:space="preserve"> IF RESPONDENT SAYS THEY DON’T KNOW PLEASE PROMPT TO CODE</w:t>
      </w:r>
    </w:p>
    <w:tbl>
      <w:tblPr>
        <w:tblW w:w="82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1985"/>
        <w:gridCol w:w="1417"/>
        <w:gridCol w:w="2693"/>
        <w:gridCol w:w="2163"/>
      </w:tblGrid>
      <w:tr w:rsidR="005B18AE" w:rsidRPr="00925DF4" w14:paraId="4162977D" w14:textId="77777777" w:rsidTr="00AB3D40">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tcPr>
          <w:p w14:paraId="5BB0F683" w14:textId="77777777" w:rsidR="006E0879" w:rsidRPr="00925DF4" w:rsidRDefault="006E0879" w:rsidP="00AB3D40">
            <w:pPr>
              <w:spacing w:line="256" w:lineRule="auto"/>
              <w:rPr>
                <w:rFonts w:cs="Arial"/>
                <w:color w:val="1D1D1B" w:themeColor="text1"/>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EEDE3FF"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Women</w:t>
            </w:r>
          </w:p>
        </w:tc>
        <w:tc>
          <w:tcPr>
            <w:tcW w:w="2693" w:type="dxa"/>
            <w:tcBorders>
              <w:top w:val="single" w:sz="4" w:space="0" w:color="auto"/>
              <w:left w:val="single" w:sz="4" w:space="0" w:color="auto"/>
              <w:bottom w:val="single" w:sz="4" w:space="0" w:color="auto"/>
              <w:right w:val="single" w:sz="4" w:space="0" w:color="auto"/>
            </w:tcBorders>
            <w:hideMark/>
          </w:tcPr>
          <w:p w14:paraId="77507065" w14:textId="77777777" w:rsidR="006E0879" w:rsidRPr="00925DF4" w:rsidRDefault="006E0879" w:rsidP="00AB3D40">
            <w:pPr>
              <w:spacing w:line="256" w:lineRule="auto"/>
              <w:jc w:val="center"/>
              <w:rPr>
                <w:rFonts w:cs="Arial"/>
                <w:color w:val="1D1D1B" w:themeColor="text1"/>
              </w:rPr>
            </w:pPr>
            <w:r w:rsidRPr="00925DF4">
              <w:rPr>
                <w:rFonts w:cs="Arial"/>
                <w:lang w:eastAsia="en-GB"/>
              </w:rPr>
              <w:t>People who identify as being Asian/Black/Mixed/Multiple ethnic groups/another ethnic group other than White</w:t>
            </w:r>
          </w:p>
        </w:tc>
        <w:tc>
          <w:tcPr>
            <w:tcW w:w="2163" w:type="dxa"/>
            <w:tcBorders>
              <w:top w:val="single" w:sz="4" w:space="0" w:color="auto"/>
              <w:left w:val="single" w:sz="4" w:space="0" w:color="auto"/>
              <w:bottom w:val="single" w:sz="4" w:space="0" w:color="auto"/>
              <w:right w:val="single" w:sz="4" w:space="0" w:color="auto"/>
            </w:tcBorders>
            <w:hideMark/>
          </w:tcPr>
          <w:p w14:paraId="63F4CCD3" w14:textId="77777777" w:rsidR="006E0879" w:rsidRPr="00925DF4" w:rsidRDefault="006E0879" w:rsidP="00AB3D40">
            <w:pPr>
              <w:spacing w:line="256" w:lineRule="auto"/>
              <w:jc w:val="center"/>
              <w:rPr>
                <w:rFonts w:cs="Arial"/>
                <w:color w:val="1D1D1B" w:themeColor="text1"/>
              </w:rPr>
            </w:pPr>
            <w:r w:rsidRPr="00925DF4">
              <w:rPr>
                <w:rFonts w:cs="Arial"/>
                <w:lang w:eastAsia="en-GB"/>
              </w:rPr>
              <w:t>Institutions (e.g. Venture Capital Funds)</w:t>
            </w:r>
          </w:p>
        </w:tc>
      </w:tr>
      <w:tr w:rsidR="005B18AE" w:rsidRPr="00925DF4" w14:paraId="7493B3BE" w14:textId="77777777" w:rsidTr="00AB3D40">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7E5A7245" w14:textId="77777777" w:rsidR="006E0879" w:rsidRPr="00925DF4" w:rsidRDefault="006E0879" w:rsidP="00AB3D40">
            <w:pPr>
              <w:spacing w:line="256" w:lineRule="auto"/>
              <w:rPr>
                <w:rFonts w:cs="Arial"/>
                <w:color w:val="1D1D1B" w:themeColor="text1"/>
              </w:rPr>
            </w:pPr>
            <w:r w:rsidRPr="00925DF4">
              <w:rPr>
                <w:rFonts w:cs="Arial"/>
                <w:color w:val="1D1D1B" w:themeColor="text1"/>
              </w:rPr>
              <w:t xml:space="preserve">None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DEB56D"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E31A3E"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1</w:t>
            </w:r>
          </w:p>
        </w:tc>
        <w:tc>
          <w:tcPr>
            <w:tcW w:w="2163" w:type="dxa"/>
            <w:tcBorders>
              <w:top w:val="single" w:sz="4" w:space="0" w:color="auto"/>
              <w:left w:val="single" w:sz="4" w:space="0" w:color="auto"/>
              <w:bottom w:val="single" w:sz="4" w:space="0" w:color="auto"/>
              <w:right w:val="single" w:sz="4" w:space="0" w:color="auto"/>
            </w:tcBorders>
            <w:vAlign w:val="center"/>
            <w:hideMark/>
          </w:tcPr>
          <w:p w14:paraId="5372C245"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1</w:t>
            </w:r>
          </w:p>
        </w:tc>
      </w:tr>
      <w:tr w:rsidR="005B18AE" w:rsidRPr="00925DF4" w14:paraId="2C6664BF" w14:textId="77777777" w:rsidTr="00AB3D40">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616388B1" w14:textId="77777777" w:rsidR="006E0879" w:rsidRPr="00925DF4" w:rsidRDefault="006E0879" w:rsidP="00AB3D40">
            <w:pPr>
              <w:spacing w:line="256" w:lineRule="auto"/>
              <w:rPr>
                <w:rFonts w:cs="Arial"/>
                <w:color w:val="1D1D1B" w:themeColor="text1"/>
              </w:rPr>
            </w:pPr>
            <w:r w:rsidRPr="00925DF4">
              <w:rPr>
                <w:rFonts w:cs="Arial"/>
                <w:color w:val="1D1D1B" w:themeColor="text1"/>
              </w:rPr>
              <w:t xml:space="preserve">More than one percent but less than 50%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7FD421"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F9CA0F"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2</w:t>
            </w:r>
          </w:p>
        </w:tc>
        <w:tc>
          <w:tcPr>
            <w:tcW w:w="2163" w:type="dxa"/>
            <w:tcBorders>
              <w:top w:val="single" w:sz="4" w:space="0" w:color="auto"/>
              <w:left w:val="single" w:sz="4" w:space="0" w:color="auto"/>
              <w:bottom w:val="single" w:sz="4" w:space="0" w:color="auto"/>
              <w:right w:val="single" w:sz="4" w:space="0" w:color="auto"/>
            </w:tcBorders>
            <w:vAlign w:val="center"/>
            <w:hideMark/>
          </w:tcPr>
          <w:p w14:paraId="55C973A5"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2</w:t>
            </w:r>
          </w:p>
        </w:tc>
      </w:tr>
      <w:tr w:rsidR="005B18AE" w:rsidRPr="00925DF4" w14:paraId="18667680" w14:textId="77777777" w:rsidTr="00AB3D40">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6F33CB20" w14:textId="77777777" w:rsidR="006E0879" w:rsidRPr="00925DF4" w:rsidRDefault="006E0879" w:rsidP="00AB3D40">
            <w:pPr>
              <w:spacing w:line="256" w:lineRule="auto"/>
              <w:rPr>
                <w:rFonts w:cs="Arial"/>
                <w:color w:val="1D1D1B" w:themeColor="text1"/>
              </w:rPr>
            </w:pPr>
            <w:r w:rsidRPr="00925DF4">
              <w:rPr>
                <w:rFonts w:cs="Arial"/>
                <w:color w:val="1D1D1B" w:themeColor="text1"/>
              </w:rPr>
              <w:t>50% or more</w:t>
            </w:r>
            <w:r>
              <w:rPr>
                <w:rFonts w:cs="Arial"/>
                <w:color w:val="1D1D1B" w:themeColor="text1"/>
              </w:rPr>
              <w:t>, but less than 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047F5D"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96ECA1"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3</w:t>
            </w:r>
          </w:p>
        </w:tc>
        <w:tc>
          <w:tcPr>
            <w:tcW w:w="2163" w:type="dxa"/>
            <w:tcBorders>
              <w:top w:val="single" w:sz="4" w:space="0" w:color="auto"/>
              <w:left w:val="single" w:sz="4" w:space="0" w:color="auto"/>
              <w:bottom w:val="single" w:sz="4" w:space="0" w:color="auto"/>
              <w:right w:val="single" w:sz="4" w:space="0" w:color="auto"/>
            </w:tcBorders>
            <w:vAlign w:val="center"/>
            <w:hideMark/>
          </w:tcPr>
          <w:p w14:paraId="7D0087CB"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3</w:t>
            </w:r>
          </w:p>
        </w:tc>
      </w:tr>
      <w:tr w:rsidR="005B18AE" w:rsidRPr="00925DF4" w14:paraId="13F7CDE7" w14:textId="77777777" w:rsidTr="00AB3D40">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2DDCDACD" w14:textId="77777777" w:rsidR="006E0879" w:rsidRPr="00925DF4" w:rsidRDefault="006E0879" w:rsidP="00AB3D40">
            <w:pPr>
              <w:spacing w:line="256" w:lineRule="auto"/>
              <w:rPr>
                <w:rFonts w:cs="Arial"/>
                <w:color w:val="1D1D1B" w:themeColor="text1"/>
              </w:rPr>
            </w:pPr>
            <w:r w:rsidRPr="00925DF4">
              <w:rPr>
                <w:rFonts w:cs="Arial"/>
                <w:color w:val="1D1D1B" w:themeColor="text1"/>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C2BD32"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E0EF06"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4</w:t>
            </w:r>
          </w:p>
        </w:tc>
        <w:tc>
          <w:tcPr>
            <w:tcW w:w="2163" w:type="dxa"/>
            <w:tcBorders>
              <w:top w:val="single" w:sz="4" w:space="0" w:color="auto"/>
              <w:left w:val="single" w:sz="4" w:space="0" w:color="auto"/>
              <w:bottom w:val="single" w:sz="4" w:space="0" w:color="auto"/>
              <w:right w:val="single" w:sz="4" w:space="0" w:color="auto"/>
            </w:tcBorders>
            <w:vAlign w:val="center"/>
            <w:hideMark/>
          </w:tcPr>
          <w:p w14:paraId="413E7413"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4</w:t>
            </w:r>
          </w:p>
        </w:tc>
      </w:tr>
      <w:tr w:rsidR="005B18AE" w:rsidRPr="00925DF4" w14:paraId="2F8273F2" w14:textId="77777777" w:rsidTr="00AB3D40">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24A2D7F5" w14:textId="77777777" w:rsidR="006E0879" w:rsidRPr="00925DF4" w:rsidRDefault="006E0879" w:rsidP="00AB3D40">
            <w:pPr>
              <w:spacing w:line="256" w:lineRule="auto"/>
              <w:rPr>
                <w:rFonts w:cs="Arial"/>
                <w:color w:val="1D1D1B" w:themeColor="text1"/>
              </w:rPr>
            </w:pPr>
            <w:r w:rsidRPr="00925DF4">
              <w:rPr>
                <w:rFonts w:cs="Arial"/>
                <w:color w:val="1D1D1B" w:themeColor="text1"/>
              </w:rPr>
              <w:t>Don’t know</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439EF5"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35E563"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98</w:t>
            </w:r>
          </w:p>
        </w:tc>
        <w:tc>
          <w:tcPr>
            <w:tcW w:w="2163" w:type="dxa"/>
            <w:tcBorders>
              <w:top w:val="single" w:sz="4" w:space="0" w:color="auto"/>
              <w:left w:val="single" w:sz="4" w:space="0" w:color="auto"/>
              <w:bottom w:val="single" w:sz="4" w:space="0" w:color="auto"/>
              <w:right w:val="single" w:sz="4" w:space="0" w:color="auto"/>
            </w:tcBorders>
            <w:vAlign w:val="center"/>
            <w:hideMark/>
          </w:tcPr>
          <w:p w14:paraId="1DADCC47"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98</w:t>
            </w:r>
          </w:p>
        </w:tc>
      </w:tr>
      <w:tr w:rsidR="005B18AE" w:rsidRPr="00925DF4" w14:paraId="0F45B20B" w14:textId="77777777" w:rsidTr="00AB3D40">
        <w:trPr>
          <w:cantSplit/>
          <w:trHeight w:val="320"/>
        </w:trPr>
        <w:tc>
          <w:tcPr>
            <w:tcW w:w="1985" w:type="dxa"/>
            <w:tcBorders>
              <w:top w:val="single" w:sz="4" w:space="0" w:color="auto"/>
              <w:left w:val="single" w:sz="4" w:space="0" w:color="auto"/>
              <w:bottom w:val="single" w:sz="4" w:space="0" w:color="auto"/>
              <w:right w:val="single" w:sz="4" w:space="0" w:color="auto"/>
            </w:tcBorders>
            <w:vAlign w:val="center"/>
            <w:hideMark/>
          </w:tcPr>
          <w:p w14:paraId="3AA6CE93" w14:textId="77777777" w:rsidR="006E0879" w:rsidRPr="00925DF4" w:rsidRDefault="006E0879" w:rsidP="00AB3D40">
            <w:pPr>
              <w:spacing w:line="256" w:lineRule="auto"/>
              <w:rPr>
                <w:rFonts w:cs="Arial"/>
                <w:color w:val="1D1D1B" w:themeColor="text1"/>
              </w:rPr>
            </w:pPr>
            <w:r w:rsidRPr="00925DF4">
              <w:rPr>
                <w:rFonts w:cs="Arial"/>
                <w:color w:val="1D1D1B" w:themeColor="text1"/>
              </w:rPr>
              <w:t xml:space="preserve">Refused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4FB811"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5535C7"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99</w:t>
            </w:r>
          </w:p>
        </w:tc>
        <w:tc>
          <w:tcPr>
            <w:tcW w:w="2163" w:type="dxa"/>
            <w:tcBorders>
              <w:top w:val="single" w:sz="4" w:space="0" w:color="auto"/>
              <w:left w:val="single" w:sz="4" w:space="0" w:color="auto"/>
              <w:bottom w:val="single" w:sz="4" w:space="0" w:color="auto"/>
              <w:right w:val="single" w:sz="4" w:space="0" w:color="auto"/>
            </w:tcBorders>
            <w:vAlign w:val="center"/>
            <w:hideMark/>
          </w:tcPr>
          <w:p w14:paraId="24FCBF5A"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99</w:t>
            </w:r>
          </w:p>
        </w:tc>
      </w:tr>
    </w:tbl>
    <w:p w14:paraId="7FCC1B5F" w14:textId="77777777" w:rsidR="006E0879" w:rsidRPr="00925DF4" w:rsidRDefault="006E0879" w:rsidP="006E0879">
      <w:pPr>
        <w:rPr>
          <w:rFonts w:cs="Arial"/>
          <w:color w:val="FF0000"/>
          <w:lang w:eastAsia="en-GB"/>
        </w:rPr>
      </w:pPr>
    </w:p>
    <w:p w14:paraId="5443015F" w14:textId="77777777" w:rsidR="006E0879" w:rsidRPr="00925DF4" w:rsidRDefault="006E0879" w:rsidP="006E0879">
      <w:pPr>
        <w:rPr>
          <w:rFonts w:cs="Arial"/>
          <w:color w:val="FF0000"/>
          <w:lang w:eastAsia="en-GB"/>
        </w:rPr>
      </w:pPr>
      <w:bookmarkStart w:id="92" w:name="_Hlk46914106"/>
      <w:r w:rsidRPr="00925DF4">
        <w:rPr>
          <w:rFonts w:cs="Arial"/>
          <w:color w:val="FF0000"/>
          <w:lang w:eastAsia="en-GB"/>
        </w:rPr>
        <w:t xml:space="preserve">ASK </w:t>
      </w:r>
      <w:r>
        <w:rPr>
          <w:rFonts w:cs="Arial"/>
          <w:color w:val="FF0000"/>
          <w:lang w:eastAsia="en-GB"/>
        </w:rPr>
        <w:t xml:space="preserve">ALL </w:t>
      </w:r>
      <w:r w:rsidRPr="00925DF4">
        <w:rPr>
          <w:rFonts w:cs="Arial"/>
          <w:color w:val="FF0000"/>
          <w:lang w:eastAsia="en-GB"/>
        </w:rPr>
        <w:t>EXCEPT SOLE TRADERS (CODE 1 AT S17)</w:t>
      </w:r>
    </w:p>
    <w:bookmarkEnd w:id="92"/>
    <w:p w14:paraId="5CB5A584" w14:textId="77B0341D" w:rsidR="006E0879" w:rsidRPr="00C31D26" w:rsidRDefault="006E0879" w:rsidP="006E0879">
      <w:pPr>
        <w:rPr>
          <w:rFonts w:cs="Arial"/>
          <w:b/>
          <w:bCs/>
          <w:lang w:eastAsia="en-GB"/>
        </w:rPr>
      </w:pPr>
      <w:r w:rsidRPr="00925DF4">
        <w:rPr>
          <w:rFonts w:cs="Arial"/>
          <w:b/>
          <w:bCs/>
          <w:lang w:eastAsia="en-GB"/>
        </w:rPr>
        <w:t>E7. Thinking about the senior leadership team in your business, approximately what percentage of the senior leadership team would you say…</w:t>
      </w:r>
    </w:p>
    <w:p w14:paraId="3F9B9C15" w14:textId="77777777" w:rsidR="006E0879" w:rsidRPr="00925DF4" w:rsidRDefault="006E0879" w:rsidP="006E0879">
      <w:pPr>
        <w:pStyle w:val="ListParagraph"/>
        <w:keepLines/>
        <w:numPr>
          <w:ilvl w:val="0"/>
          <w:numId w:val="41"/>
        </w:numPr>
        <w:spacing w:after="0" w:line="240" w:lineRule="auto"/>
        <w:jc w:val="both"/>
        <w:rPr>
          <w:lang w:eastAsia="en-GB"/>
        </w:rPr>
      </w:pPr>
      <w:r w:rsidRPr="00925DF4">
        <w:rPr>
          <w:lang w:eastAsia="en-GB"/>
        </w:rPr>
        <w:t>Are women?</w:t>
      </w:r>
    </w:p>
    <w:p w14:paraId="4FBFB762" w14:textId="77777777" w:rsidR="006E0879" w:rsidRPr="00925DF4" w:rsidRDefault="006E0879" w:rsidP="006E0879">
      <w:pPr>
        <w:pStyle w:val="ListParagraph"/>
        <w:keepLines/>
        <w:numPr>
          <w:ilvl w:val="0"/>
          <w:numId w:val="41"/>
        </w:numPr>
        <w:spacing w:after="0" w:line="240" w:lineRule="auto"/>
        <w:jc w:val="both"/>
        <w:rPr>
          <w:lang w:eastAsia="en-GB"/>
        </w:rPr>
      </w:pPr>
      <w:r w:rsidRPr="00925DF4">
        <w:rPr>
          <w:lang w:eastAsia="en-GB"/>
        </w:rPr>
        <w:t>Identify as being Asian/Black/Mixed/Multiple ethnic groups/another ethnic group other than White?</w:t>
      </w:r>
      <w:r w:rsidRPr="00925DF4">
        <w:rPr>
          <w:lang w:eastAsia="en-GB"/>
        </w:rPr>
        <w:tab/>
      </w:r>
    </w:p>
    <w:p w14:paraId="08EAF7B5" w14:textId="77777777" w:rsidR="006E0879" w:rsidRPr="00925DF4" w:rsidRDefault="006E0879" w:rsidP="006E0879">
      <w:pPr>
        <w:rPr>
          <w:rFonts w:cs="Arial"/>
          <w:lang w:eastAsia="en-GB"/>
        </w:rPr>
      </w:pPr>
    </w:p>
    <w:p w14:paraId="232F2530" w14:textId="68B336CD" w:rsidR="006E0879" w:rsidRPr="00925DF4" w:rsidRDefault="006E0879" w:rsidP="006E0879">
      <w:pPr>
        <w:rPr>
          <w:rFonts w:cs="Arial"/>
          <w:color w:val="F06603" w:themeColor="accent6"/>
          <w:lang w:eastAsia="en-GB"/>
        </w:rPr>
      </w:pPr>
      <w:r w:rsidRPr="00925DF4">
        <w:rPr>
          <w:rFonts w:cs="Arial"/>
          <w:color w:val="FF0000"/>
          <w:lang w:eastAsia="en-GB"/>
        </w:rPr>
        <w:t xml:space="preserve">RECORD % AND CODE TO LIST BELOW FOR EACH. ALLOW OPTION FOR REFUSED. </w:t>
      </w:r>
      <w:r w:rsidRPr="00925DF4">
        <w:rPr>
          <w:rFonts w:cs="Arial"/>
          <w:color w:val="F06603" w:themeColor="accent6"/>
          <w:lang w:eastAsia="en-GB"/>
        </w:rPr>
        <w:t>IF RESPONDENT SAYS THEY DON’T KNOW PLEASE PROMPT TO CODE</w:t>
      </w:r>
    </w:p>
    <w:tbl>
      <w:tblPr>
        <w:tblW w:w="979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4A0" w:firstRow="1" w:lastRow="0" w:firstColumn="1" w:lastColumn="0" w:noHBand="0" w:noVBand="1"/>
      </w:tblPr>
      <w:tblGrid>
        <w:gridCol w:w="3969"/>
        <w:gridCol w:w="2693"/>
        <w:gridCol w:w="3133"/>
      </w:tblGrid>
      <w:tr w:rsidR="006E0879" w:rsidRPr="00925DF4" w14:paraId="1D4FAD07" w14:textId="77777777" w:rsidTr="00AB3D40">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tcPr>
          <w:p w14:paraId="62B25756" w14:textId="77777777" w:rsidR="006E0879" w:rsidRPr="00925DF4" w:rsidRDefault="006E0879" w:rsidP="00AB3D40">
            <w:pPr>
              <w:spacing w:line="256" w:lineRule="auto"/>
              <w:rPr>
                <w:rFonts w:cs="Arial"/>
                <w:color w:val="1D1D1B" w:themeColor="text1"/>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ECD6138"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Women</w:t>
            </w:r>
          </w:p>
        </w:tc>
        <w:tc>
          <w:tcPr>
            <w:tcW w:w="3133" w:type="dxa"/>
            <w:tcBorders>
              <w:top w:val="single" w:sz="4" w:space="0" w:color="auto"/>
              <w:left w:val="single" w:sz="4" w:space="0" w:color="auto"/>
              <w:bottom w:val="single" w:sz="4" w:space="0" w:color="auto"/>
              <w:right w:val="single" w:sz="4" w:space="0" w:color="auto"/>
            </w:tcBorders>
            <w:hideMark/>
          </w:tcPr>
          <w:p w14:paraId="58179F86" w14:textId="77777777" w:rsidR="006E0879" w:rsidRPr="00925DF4" w:rsidRDefault="006E0879" w:rsidP="00AB3D40">
            <w:pPr>
              <w:spacing w:line="256" w:lineRule="auto"/>
              <w:jc w:val="center"/>
              <w:rPr>
                <w:rFonts w:cs="Arial"/>
                <w:color w:val="1D1D1B" w:themeColor="text1"/>
              </w:rPr>
            </w:pPr>
            <w:r w:rsidRPr="00925DF4">
              <w:rPr>
                <w:rFonts w:cs="Arial"/>
                <w:lang w:eastAsia="en-GB"/>
              </w:rPr>
              <w:t>People who identify as being Asian/Black/Mixed/Multiple ethnic groups/another ethnic group other than White</w:t>
            </w:r>
          </w:p>
        </w:tc>
      </w:tr>
      <w:tr w:rsidR="006E0879" w:rsidRPr="00925DF4" w14:paraId="7C3E4523" w14:textId="77777777" w:rsidTr="00AB3D40">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14AD94C0" w14:textId="77777777" w:rsidR="006E0879" w:rsidRPr="00925DF4" w:rsidRDefault="006E0879" w:rsidP="00AB3D40">
            <w:pPr>
              <w:spacing w:line="256" w:lineRule="auto"/>
              <w:rPr>
                <w:rFonts w:cs="Arial"/>
                <w:color w:val="1D1D1B" w:themeColor="text1"/>
              </w:rPr>
            </w:pPr>
            <w:r w:rsidRPr="00925DF4">
              <w:rPr>
                <w:rFonts w:cs="Arial"/>
                <w:color w:val="1D1D1B" w:themeColor="text1"/>
              </w:rPr>
              <w:t xml:space="preserve">None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304DDC"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1</w:t>
            </w:r>
          </w:p>
        </w:tc>
        <w:tc>
          <w:tcPr>
            <w:tcW w:w="3133" w:type="dxa"/>
            <w:tcBorders>
              <w:top w:val="single" w:sz="4" w:space="0" w:color="auto"/>
              <w:left w:val="single" w:sz="4" w:space="0" w:color="auto"/>
              <w:bottom w:val="single" w:sz="4" w:space="0" w:color="auto"/>
              <w:right w:val="single" w:sz="4" w:space="0" w:color="auto"/>
            </w:tcBorders>
            <w:vAlign w:val="center"/>
            <w:hideMark/>
          </w:tcPr>
          <w:p w14:paraId="7227CF07"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1</w:t>
            </w:r>
          </w:p>
        </w:tc>
      </w:tr>
      <w:tr w:rsidR="006E0879" w:rsidRPr="00925DF4" w14:paraId="28FE5F2A" w14:textId="77777777" w:rsidTr="00AB3D40">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7BEF4AD2" w14:textId="77777777" w:rsidR="006E0879" w:rsidRPr="00925DF4" w:rsidRDefault="006E0879" w:rsidP="00AB3D40">
            <w:pPr>
              <w:spacing w:line="256" w:lineRule="auto"/>
              <w:rPr>
                <w:rFonts w:cs="Arial"/>
                <w:color w:val="1D1D1B" w:themeColor="text1"/>
              </w:rPr>
            </w:pPr>
            <w:r w:rsidRPr="00925DF4">
              <w:rPr>
                <w:rFonts w:cs="Arial"/>
                <w:color w:val="1D1D1B" w:themeColor="text1"/>
              </w:rPr>
              <w:t xml:space="preserve">More than one percent but less than 50%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1644EA"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2</w:t>
            </w:r>
          </w:p>
        </w:tc>
        <w:tc>
          <w:tcPr>
            <w:tcW w:w="3133" w:type="dxa"/>
            <w:tcBorders>
              <w:top w:val="single" w:sz="4" w:space="0" w:color="auto"/>
              <w:left w:val="single" w:sz="4" w:space="0" w:color="auto"/>
              <w:bottom w:val="single" w:sz="4" w:space="0" w:color="auto"/>
              <w:right w:val="single" w:sz="4" w:space="0" w:color="auto"/>
            </w:tcBorders>
            <w:vAlign w:val="center"/>
            <w:hideMark/>
          </w:tcPr>
          <w:p w14:paraId="3F5E8AC4"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2</w:t>
            </w:r>
          </w:p>
        </w:tc>
      </w:tr>
      <w:tr w:rsidR="006E0879" w:rsidRPr="00925DF4" w14:paraId="4A0C54F9" w14:textId="77777777" w:rsidTr="00AB3D40">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41959F8E" w14:textId="77777777" w:rsidR="006E0879" w:rsidRPr="00925DF4" w:rsidRDefault="006E0879" w:rsidP="00AB3D40">
            <w:pPr>
              <w:spacing w:line="256" w:lineRule="auto"/>
              <w:rPr>
                <w:rFonts w:cs="Arial"/>
                <w:color w:val="1D1D1B" w:themeColor="text1"/>
              </w:rPr>
            </w:pPr>
            <w:r w:rsidRPr="00925DF4">
              <w:rPr>
                <w:rFonts w:cs="Arial"/>
                <w:color w:val="1D1D1B" w:themeColor="text1"/>
              </w:rPr>
              <w:t>50% or more</w:t>
            </w:r>
            <w:r>
              <w:rPr>
                <w:rFonts w:cs="Arial"/>
                <w:color w:val="1D1D1B" w:themeColor="text1"/>
              </w:rPr>
              <w:t>, but less than 100%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16E780"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3</w:t>
            </w:r>
          </w:p>
        </w:tc>
        <w:tc>
          <w:tcPr>
            <w:tcW w:w="3133" w:type="dxa"/>
            <w:tcBorders>
              <w:top w:val="single" w:sz="4" w:space="0" w:color="auto"/>
              <w:left w:val="single" w:sz="4" w:space="0" w:color="auto"/>
              <w:bottom w:val="single" w:sz="4" w:space="0" w:color="auto"/>
              <w:right w:val="single" w:sz="4" w:space="0" w:color="auto"/>
            </w:tcBorders>
            <w:vAlign w:val="center"/>
            <w:hideMark/>
          </w:tcPr>
          <w:p w14:paraId="1DBBD5F8"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3</w:t>
            </w:r>
          </w:p>
        </w:tc>
      </w:tr>
      <w:tr w:rsidR="006E0879" w:rsidRPr="00925DF4" w14:paraId="0A9BAD3A" w14:textId="77777777" w:rsidTr="00AB3D40">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5624B20B" w14:textId="77777777" w:rsidR="006E0879" w:rsidRPr="00925DF4" w:rsidRDefault="006E0879" w:rsidP="00AB3D40">
            <w:pPr>
              <w:spacing w:line="256" w:lineRule="auto"/>
              <w:rPr>
                <w:rFonts w:cs="Arial"/>
                <w:color w:val="1D1D1B" w:themeColor="text1"/>
              </w:rPr>
            </w:pPr>
            <w:r w:rsidRPr="00925DF4">
              <w:rPr>
                <w:rFonts w:cs="Arial"/>
                <w:color w:val="1D1D1B" w:themeColor="text1"/>
              </w:rPr>
              <w:t>100%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8CF24D0"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4</w:t>
            </w:r>
          </w:p>
        </w:tc>
        <w:tc>
          <w:tcPr>
            <w:tcW w:w="3133" w:type="dxa"/>
            <w:tcBorders>
              <w:top w:val="single" w:sz="4" w:space="0" w:color="auto"/>
              <w:left w:val="single" w:sz="4" w:space="0" w:color="auto"/>
              <w:bottom w:val="single" w:sz="4" w:space="0" w:color="auto"/>
              <w:right w:val="single" w:sz="4" w:space="0" w:color="auto"/>
            </w:tcBorders>
            <w:vAlign w:val="center"/>
            <w:hideMark/>
          </w:tcPr>
          <w:p w14:paraId="1DC43115"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4</w:t>
            </w:r>
          </w:p>
        </w:tc>
      </w:tr>
      <w:tr w:rsidR="006E0879" w:rsidRPr="00925DF4" w14:paraId="37CBB3DF" w14:textId="77777777" w:rsidTr="00AB3D40">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11513F33" w14:textId="77777777" w:rsidR="006E0879" w:rsidRPr="00925DF4" w:rsidRDefault="006E0879" w:rsidP="00AB3D40">
            <w:pPr>
              <w:spacing w:line="256" w:lineRule="auto"/>
              <w:rPr>
                <w:rFonts w:cs="Arial"/>
                <w:color w:val="1D1D1B" w:themeColor="text1"/>
              </w:rPr>
            </w:pPr>
            <w:r w:rsidRPr="00925DF4">
              <w:rPr>
                <w:rFonts w:cs="Arial"/>
                <w:color w:val="1D1D1B" w:themeColor="text1"/>
              </w:rPr>
              <w:t>Don’t know</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4F232AF"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98</w:t>
            </w:r>
          </w:p>
        </w:tc>
        <w:tc>
          <w:tcPr>
            <w:tcW w:w="3133" w:type="dxa"/>
            <w:tcBorders>
              <w:top w:val="single" w:sz="4" w:space="0" w:color="auto"/>
              <w:left w:val="single" w:sz="4" w:space="0" w:color="auto"/>
              <w:bottom w:val="single" w:sz="4" w:space="0" w:color="auto"/>
              <w:right w:val="single" w:sz="4" w:space="0" w:color="auto"/>
            </w:tcBorders>
            <w:vAlign w:val="center"/>
            <w:hideMark/>
          </w:tcPr>
          <w:p w14:paraId="0A8F5565"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98</w:t>
            </w:r>
          </w:p>
        </w:tc>
      </w:tr>
      <w:tr w:rsidR="006E0879" w:rsidRPr="00925DF4" w14:paraId="03922192" w14:textId="77777777" w:rsidTr="00AB3D40">
        <w:trPr>
          <w:cantSplit/>
          <w:trHeight w:val="320"/>
        </w:trPr>
        <w:tc>
          <w:tcPr>
            <w:tcW w:w="3969" w:type="dxa"/>
            <w:tcBorders>
              <w:top w:val="single" w:sz="4" w:space="0" w:color="auto"/>
              <w:left w:val="single" w:sz="4" w:space="0" w:color="auto"/>
              <w:bottom w:val="single" w:sz="4" w:space="0" w:color="auto"/>
              <w:right w:val="single" w:sz="4" w:space="0" w:color="auto"/>
            </w:tcBorders>
            <w:vAlign w:val="center"/>
            <w:hideMark/>
          </w:tcPr>
          <w:p w14:paraId="1CC043FC" w14:textId="77777777" w:rsidR="006E0879" w:rsidRPr="00925DF4" w:rsidRDefault="006E0879" w:rsidP="00AB3D40">
            <w:pPr>
              <w:spacing w:line="256" w:lineRule="auto"/>
              <w:rPr>
                <w:rFonts w:cs="Arial"/>
                <w:color w:val="1D1D1B" w:themeColor="text1"/>
              </w:rPr>
            </w:pPr>
            <w:r w:rsidRPr="00925DF4">
              <w:rPr>
                <w:rFonts w:cs="Arial"/>
                <w:color w:val="1D1D1B" w:themeColor="text1"/>
              </w:rPr>
              <w:t xml:space="preserve">Refused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FCE973"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99</w:t>
            </w:r>
          </w:p>
        </w:tc>
        <w:tc>
          <w:tcPr>
            <w:tcW w:w="3133" w:type="dxa"/>
            <w:tcBorders>
              <w:top w:val="single" w:sz="4" w:space="0" w:color="auto"/>
              <w:left w:val="single" w:sz="4" w:space="0" w:color="auto"/>
              <w:bottom w:val="single" w:sz="4" w:space="0" w:color="auto"/>
              <w:right w:val="single" w:sz="4" w:space="0" w:color="auto"/>
            </w:tcBorders>
            <w:vAlign w:val="center"/>
            <w:hideMark/>
          </w:tcPr>
          <w:p w14:paraId="7F949E84" w14:textId="77777777" w:rsidR="006E0879" w:rsidRPr="00925DF4" w:rsidRDefault="006E0879" w:rsidP="00AB3D40">
            <w:pPr>
              <w:spacing w:line="256" w:lineRule="auto"/>
              <w:jc w:val="center"/>
              <w:rPr>
                <w:rFonts w:cs="Arial"/>
                <w:color w:val="1D1D1B" w:themeColor="text1"/>
              </w:rPr>
            </w:pPr>
            <w:r w:rsidRPr="00925DF4">
              <w:rPr>
                <w:rFonts w:cs="Arial"/>
                <w:color w:val="1D1D1B" w:themeColor="text1"/>
              </w:rPr>
              <w:t>99</w:t>
            </w:r>
          </w:p>
        </w:tc>
      </w:tr>
    </w:tbl>
    <w:p w14:paraId="6953B484" w14:textId="77777777" w:rsidR="006E0879" w:rsidRPr="00925DF4" w:rsidRDefault="006E0879" w:rsidP="006E0879">
      <w:pPr>
        <w:rPr>
          <w:rFonts w:cs="Arial"/>
          <w:lang w:eastAsia="en-GB"/>
        </w:rPr>
      </w:pPr>
    </w:p>
    <w:bookmarkEnd w:id="91"/>
    <w:p w14:paraId="4B412A35" w14:textId="77777777" w:rsidR="006E0879" w:rsidRPr="00925DF4" w:rsidRDefault="006E0879" w:rsidP="006E0879">
      <w:pPr>
        <w:spacing w:after="160" w:line="259" w:lineRule="auto"/>
        <w:rPr>
          <w:rFonts w:cs="Arial"/>
          <w:color w:val="FF0000"/>
          <w:lang w:eastAsia="en-GB"/>
        </w:rPr>
      </w:pPr>
      <w:r w:rsidRPr="00925DF4">
        <w:rPr>
          <w:rFonts w:cs="Arial"/>
          <w:color w:val="FF0000"/>
          <w:lang w:eastAsia="en-GB"/>
        </w:rPr>
        <w:t>ASK ALL</w:t>
      </w:r>
    </w:p>
    <w:p w14:paraId="104AFF20" w14:textId="0162D5D1" w:rsidR="006E0879" w:rsidRPr="00925DF4" w:rsidRDefault="006E0879" w:rsidP="006E0879">
      <w:pPr>
        <w:rPr>
          <w:rFonts w:cs="Arial"/>
          <w:b/>
          <w:bCs/>
        </w:rPr>
      </w:pPr>
      <w:r w:rsidRPr="00925DF4">
        <w:rPr>
          <w:rFonts w:cs="Arial"/>
          <w:b/>
          <w:bCs/>
          <w:lang w:eastAsia="en-GB"/>
        </w:rPr>
        <w:t xml:space="preserve">E8. </w:t>
      </w:r>
      <w:r w:rsidRPr="00925DF4">
        <w:rPr>
          <w:rFonts w:cs="Arial"/>
          <w:b/>
          <w:bCs/>
        </w:rPr>
        <w:t xml:space="preserve">On behalf of Ipsos and the British Business Bank, we would like to thank you very much for your time.  </w:t>
      </w:r>
    </w:p>
    <w:p w14:paraId="75F793C2" w14:textId="59F1C8E7" w:rsidR="006E0879" w:rsidRPr="00C31D26" w:rsidRDefault="006E0879" w:rsidP="006E0879">
      <w:pPr>
        <w:rPr>
          <w:rFonts w:cs="Arial"/>
        </w:rPr>
      </w:pPr>
      <w:r w:rsidRPr="00925DF4">
        <w:rPr>
          <w:rFonts w:cs="Arial"/>
          <w:b/>
          <w:bCs/>
        </w:rPr>
        <w:t xml:space="preserve">The British Business Bank may want to do some follow up research on this subject within the next few months. This would involve an in-depth interview lasting c. 45-60 minutes with </w:t>
      </w:r>
      <w:r>
        <w:rPr>
          <w:rFonts w:cs="Arial"/>
          <w:b/>
          <w:bCs/>
        </w:rPr>
        <w:t>an Ipsos</w:t>
      </w:r>
      <w:r w:rsidRPr="00925DF4">
        <w:rPr>
          <w:rFonts w:cs="Arial"/>
          <w:b/>
          <w:bCs/>
        </w:rPr>
        <w:t xml:space="preserve"> researcher. Would you be happy to take part in the follow up interviews? You do not have to commit to anything now, just indicate a willingness to be contacted again.</w:t>
      </w:r>
      <w:r w:rsidRPr="00925DF4">
        <w:rPr>
          <w:rFonts w:cs="Arial"/>
        </w:rPr>
        <w:t xml:space="preserve"> </w:t>
      </w:r>
      <w:r w:rsidRPr="00925DF4">
        <w:rPr>
          <w:rFonts w:cs="Arial"/>
          <w:color w:val="FF0000"/>
        </w:rPr>
        <w:t>SINGLE CODE ONLY</w:t>
      </w:r>
    </w:p>
    <w:p w14:paraId="49BD5423" w14:textId="1D9183FC" w:rsidR="006E0879" w:rsidRPr="00C31D26" w:rsidRDefault="006E0879" w:rsidP="00C31D26">
      <w:pPr>
        <w:rPr>
          <w:rFonts w:cs="Arial"/>
          <w:b/>
        </w:rPr>
      </w:pPr>
      <w:r w:rsidRPr="00925DF4">
        <w:rPr>
          <w:rFonts w:cs="Arial"/>
          <w:b/>
        </w:rPr>
        <w:t xml:space="preserve">We can assure you that everything you say will be treated in the strictest confidence and we’ll combine your responses with those from the other participating businesses in a way which will ensure that the British Business Bank won’t be able to identify you from our report. </w:t>
      </w:r>
      <w:r w:rsidRPr="00925DF4">
        <w:rPr>
          <w:rFonts w:cs="Arial"/>
          <w:b/>
          <w:lang w:eastAsia="en-GB"/>
        </w:rPr>
        <w:t>You would only be re-contacted for British Business Bank research and not for any other purpose.</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9223"/>
        <w:gridCol w:w="921"/>
      </w:tblGrid>
      <w:tr w:rsidR="006E0879" w:rsidRPr="00925DF4" w14:paraId="668DDFEB" w14:textId="77777777" w:rsidTr="00AB3D40">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7F5194AF" w14:textId="77777777" w:rsidR="006E0879" w:rsidRPr="00925DF4" w:rsidRDefault="006E0879" w:rsidP="00AB3D40">
            <w:pPr>
              <w:rPr>
                <w:rFonts w:cs="Arial"/>
                <w:color w:val="1D1D1B" w:themeColor="text1"/>
              </w:rPr>
            </w:pPr>
            <w:r w:rsidRPr="00925DF4">
              <w:rPr>
                <w:rFonts w:cs="Arial"/>
                <w:color w:val="1D1D1B" w:themeColor="text1"/>
              </w:rPr>
              <w:t>Yes –  Ipsos can contact me</w:t>
            </w:r>
          </w:p>
        </w:tc>
        <w:tc>
          <w:tcPr>
            <w:tcW w:w="454" w:type="pct"/>
            <w:tcBorders>
              <w:top w:val="single" w:sz="4" w:space="0" w:color="auto"/>
              <w:left w:val="single" w:sz="4" w:space="0" w:color="auto"/>
              <w:bottom w:val="single" w:sz="4" w:space="0" w:color="auto"/>
              <w:right w:val="single" w:sz="4" w:space="0" w:color="auto"/>
            </w:tcBorders>
            <w:vAlign w:val="center"/>
            <w:hideMark/>
          </w:tcPr>
          <w:p w14:paraId="77C1F2D5" w14:textId="77777777" w:rsidR="006E0879" w:rsidRPr="00925DF4" w:rsidRDefault="006E0879" w:rsidP="00AB3D40">
            <w:pPr>
              <w:jc w:val="center"/>
              <w:rPr>
                <w:rFonts w:cs="Arial"/>
                <w:smallCaps/>
                <w:color w:val="1D1D1B" w:themeColor="text1"/>
              </w:rPr>
            </w:pPr>
            <w:r w:rsidRPr="00925DF4">
              <w:rPr>
                <w:rFonts w:cs="Arial"/>
                <w:smallCaps/>
                <w:color w:val="1D1D1B" w:themeColor="text1"/>
              </w:rPr>
              <w:t>1</w:t>
            </w:r>
          </w:p>
        </w:tc>
      </w:tr>
      <w:tr w:rsidR="006E0879" w:rsidRPr="00925DF4" w14:paraId="61077562" w14:textId="77777777" w:rsidTr="00AB3D40">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6BD43507" w14:textId="77777777" w:rsidR="006E0879" w:rsidRPr="00925DF4" w:rsidRDefault="006E0879" w:rsidP="00AB3D40">
            <w:pPr>
              <w:rPr>
                <w:rFonts w:cs="Arial"/>
                <w:color w:val="1D1D1B" w:themeColor="text1"/>
              </w:rPr>
            </w:pPr>
            <w:r w:rsidRPr="00925DF4">
              <w:rPr>
                <w:rFonts w:cs="Arial"/>
                <w:color w:val="1D1D1B" w:themeColor="text1"/>
              </w:rPr>
              <w:t xml:space="preserve">No </w:t>
            </w:r>
          </w:p>
        </w:tc>
        <w:tc>
          <w:tcPr>
            <w:tcW w:w="454" w:type="pct"/>
            <w:tcBorders>
              <w:top w:val="single" w:sz="4" w:space="0" w:color="auto"/>
              <w:left w:val="single" w:sz="4" w:space="0" w:color="auto"/>
              <w:bottom w:val="single" w:sz="4" w:space="0" w:color="auto"/>
              <w:right w:val="single" w:sz="4" w:space="0" w:color="auto"/>
            </w:tcBorders>
            <w:vAlign w:val="center"/>
            <w:hideMark/>
          </w:tcPr>
          <w:p w14:paraId="470334A5" w14:textId="77777777" w:rsidR="006E0879" w:rsidRPr="00925DF4" w:rsidRDefault="006E0879" w:rsidP="00AB3D40">
            <w:pPr>
              <w:jc w:val="center"/>
              <w:rPr>
                <w:rFonts w:cs="Arial"/>
                <w:smallCaps/>
                <w:color w:val="1D1D1B" w:themeColor="text1"/>
              </w:rPr>
            </w:pPr>
            <w:r w:rsidRPr="00925DF4">
              <w:rPr>
                <w:rFonts w:cs="Arial"/>
                <w:smallCaps/>
                <w:color w:val="1D1D1B" w:themeColor="text1"/>
              </w:rPr>
              <w:t>2</w:t>
            </w:r>
          </w:p>
        </w:tc>
      </w:tr>
    </w:tbl>
    <w:p w14:paraId="762F0977" w14:textId="77777777" w:rsidR="006E0879" w:rsidRPr="00925DF4" w:rsidRDefault="006E0879" w:rsidP="006E0879">
      <w:pPr>
        <w:rPr>
          <w:rFonts w:cs="Arial"/>
        </w:rPr>
      </w:pPr>
    </w:p>
    <w:p w14:paraId="058B0468" w14:textId="77777777" w:rsidR="006E0879" w:rsidRPr="00925DF4" w:rsidRDefault="006E0879" w:rsidP="006E0879">
      <w:pPr>
        <w:rPr>
          <w:rFonts w:cs="Arial"/>
        </w:rPr>
      </w:pPr>
    </w:p>
    <w:p w14:paraId="4134CC18" w14:textId="77777777" w:rsidR="006E0879" w:rsidRPr="00925DF4" w:rsidRDefault="006E0879" w:rsidP="006E0879">
      <w:pPr>
        <w:rPr>
          <w:rFonts w:cs="Arial"/>
          <w:color w:val="FF0000"/>
          <w:lang w:eastAsia="en-GB"/>
        </w:rPr>
      </w:pPr>
      <w:r w:rsidRPr="00925DF4">
        <w:rPr>
          <w:rFonts w:cs="Arial"/>
          <w:color w:val="FF0000"/>
          <w:lang w:eastAsia="en-GB"/>
        </w:rPr>
        <w:t>ASK ALL</w:t>
      </w:r>
    </w:p>
    <w:p w14:paraId="40AAC60C" w14:textId="1C6A651B" w:rsidR="006E0879" w:rsidRPr="00C31D26" w:rsidRDefault="006E0879" w:rsidP="006E0879">
      <w:pPr>
        <w:rPr>
          <w:rFonts w:cs="Arial"/>
        </w:rPr>
      </w:pPr>
      <w:r w:rsidRPr="00925DF4">
        <w:rPr>
          <w:rFonts w:cs="Arial"/>
          <w:b/>
          <w:bCs/>
          <w:lang w:eastAsia="en-GB"/>
        </w:rPr>
        <w:t xml:space="preserve">E9 </w:t>
      </w:r>
      <w:r w:rsidRPr="00925DF4">
        <w:rPr>
          <w:rFonts w:cs="Arial"/>
          <w:b/>
          <w:bCs/>
        </w:rPr>
        <w:t xml:space="preserve">The British Business Bank may also want to do some follow up research on this or other subjects within the next three years. Would you be happy to take part in further research within the next three years? </w:t>
      </w:r>
      <w:r w:rsidRPr="00925DF4">
        <w:rPr>
          <w:rFonts w:cs="Arial"/>
          <w:color w:val="FF0000"/>
        </w:rPr>
        <w:t>MULTI CODE OK</w:t>
      </w:r>
    </w:p>
    <w:p w14:paraId="727C8609" w14:textId="77777777" w:rsidR="006E0879" w:rsidRPr="00925DF4" w:rsidRDefault="006E0879" w:rsidP="006E0879">
      <w:pPr>
        <w:rPr>
          <w:rFonts w:cs="Arial"/>
          <w:b/>
          <w:color w:val="1D1D1B" w:themeColor="text1"/>
          <w:lang w:eastAsia="en-GB"/>
        </w:rPr>
      </w:pPr>
      <w:r w:rsidRPr="00925DF4">
        <w:rPr>
          <w:rFonts w:cs="Arial"/>
          <w:b/>
          <w:color w:val="1D1D1B" w:themeColor="text1"/>
          <w:lang w:eastAsia="en-GB"/>
        </w:rPr>
        <w:t>REPEAT IF NECESSARY:</w:t>
      </w:r>
    </w:p>
    <w:p w14:paraId="5A1F62A8" w14:textId="23C2F08B" w:rsidR="006E0879" w:rsidRPr="00C31D26" w:rsidRDefault="006E0879" w:rsidP="00C31D26">
      <w:pPr>
        <w:rPr>
          <w:rFonts w:cs="Arial"/>
          <w:b/>
        </w:rPr>
      </w:pPr>
      <w:r w:rsidRPr="00925DF4">
        <w:rPr>
          <w:rFonts w:cs="Arial"/>
          <w:b/>
        </w:rPr>
        <w:t xml:space="preserve">We can assure you that everything you say will be treated in the strictest confidence and we’ll combine your responses with those from the other participating businesses in a way which will ensure that the British Business Bank won’t be able to identify you from our report. </w:t>
      </w:r>
      <w:r w:rsidRPr="00925DF4">
        <w:rPr>
          <w:rFonts w:cs="Arial"/>
          <w:b/>
          <w:lang w:eastAsia="en-GB"/>
        </w:rPr>
        <w:t>You would only be re-contacted for British Business Bank research and not for any other purpose.</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1" w:type="dxa"/>
          <w:right w:w="21" w:type="dxa"/>
        </w:tblCellMar>
        <w:tblLook w:val="04A0" w:firstRow="1" w:lastRow="0" w:firstColumn="1" w:lastColumn="0" w:noHBand="0" w:noVBand="1"/>
      </w:tblPr>
      <w:tblGrid>
        <w:gridCol w:w="9223"/>
        <w:gridCol w:w="921"/>
      </w:tblGrid>
      <w:tr w:rsidR="006E0879" w:rsidRPr="00925DF4" w14:paraId="14FD871C" w14:textId="77777777" w:rsidTr="00AB3D40">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0118A226" w14:textId="77777777" w:rsidR="006E0879" w:rsidRPr="00925DF4" w:rsidRDefault="006E0879" w:rsidP="00AB3D40">
            <w:pPr>
              <w:rPr>
                <w:rFonts w:cs="Arial"/>
                <w:color w:val="1D1D1B" w:themeColor="text1"/>
              </w:rPr>
            </w:pPr>
            <w:r w:rsidRPr="00925DF4">
              <w:rPr>
                <w:rFonts w:cs="Arial"/>
                <w:color w:val="1D1D1B" w:themeColor="text1"/>
              </w:rPr>
              <w:t>Yes –  Ipsos can contact me</w:t>
            </w:r>
          </w:p>
        </w:tc>
        <w:tc>
          <w:tcPr>
            <w:tcW w:w="454" w:type="pct"/>
            <w:tcBorders>
              <w:top w:val="single" w:sz="4" w:space="0" w:color="auto"/>
              <w:left w:val="single" w:sz="4" w:space="0" w:color="auto"/>
              <w:bottom w:val="single" w:sz="4" w:space="0" w:color="auto"/>
              <w:right w:val="single" w:sz="4" w:space="0" w:color="auto"/>
            </w:tcBorders>
            <w:vAlign w:val="center"/>
            <w:hideMark/>
          </w:tcPr>
          <w:p w14:paraId="29113A7D" w14:textId="77777777" w:rsidR="006E0879" w:rsidRPr="00925DF4" w:rsidRDefault="006E0879" w:rsidP="00AB3D40">
            <w:pPr>
              <w:jc w:val="center"/>
              <w:rPr>
                <w:rFonts w:cs="Arial"/>
                <w:smallCaps/>
                <w:color w:val="1D1D1B" w:themeColor="text1"/>
              </w:rPr>
            </w:pPr>
            <w:r w:rsidRPr="00925DF4">
              <w:rPr>
                <w:rFonts w:cs="Arial"/>
                <w:smallCaps/>
                <w:color w:val="1D1D1B" w:themeColor="text1"/>
              </w:rPr>
              <w:t>1</w:t>
            </w:r>
          </w:p>
        </w:tc>
      </w:tr>
      <w:tr w:rsidR="006E0879" w:rsidRPr="00925DF4" w14:paraId="5BE1970B" w14:textId="77777777" w:rsidTr="00AB3D40">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5D34F6E7" w14:textId="77777777" w:rsidR="006E0879" w:rsidRPr="00925DF4" w:rsidRDefault="006E0879" w:rsidP="00AB3D40">
            <w:pPr>
              <w:rPr>
                <w:rFonts w:cs="Arial"/>
                <w:color w:val="1D1D1B" w:themeColor="text1"/>
              </w:rPr>
            </w:pPr>
            <w:r w:rsidRPr="00925DF4">
              <w:rPr>
                <w:rFonts w:cs="Arial"/>
                <w:color w:val="1D1D1B" w:themeColor="text1"/>
              </w:rPr>
              <w:t>Yes –   Another research agency can contact me</w:t>
            </w:r>
          </w:p>
        </w:tc>
        <w:tc>
          <w:tcPr>
            <w:tcW w:w="454" w:type="pct"/>
            <w:tcBorders>
              <w:top w:val="single" w:sz="4" w:space="0" w:color="auto"/>
              <w:left w:val="single" w:sz="4" w:space="0" w:color="auto"/>
              <w:bottom w:val="single" w:sz="4" w:space="0" w:color="auto"/>
              <w:right w:val="single" w:sz="4" w:space="0" w:color="auto"/>
            </w:tcBorders>
            <w:vAlign w:val="center"/>
            <w:hideMark/>
          </w:tcPr>
          <w:p w14:paraId="53F0E72D" w14:textId="77777777" w:rsidR="006E0879" w:rsidRPr="00925DF4" w:rsidRDefault="006E0879" w:rsidP="00AB3D40">
            <w:pPr>
              <w:jc w:val="center"/>
              <w:rPr>
                <w:rFonts w:cs="Arial"/>
                <w:smallCaps/>
                <w:color w:val="1D1D1B" w:themeColor="text1"/>
              </w:rPr>
            </w:pPr>
            <w:r w:rsidRPr="00925DF4">
              <w:rPr>
                <w:rFonts w:cs="Arial"/>
                <w:smallCaps/>
                <w:color w:val="1D1D1B" w:themeColor="text1"/>
              </w:rPr>
              <w:t>2</w:t>
            </w:r>
          </w:p>
        </w:tc>
      </w:tr>
      <w:tr w:rsidR="006E0879" w:rsidRPr="00925DF4" w14:paraId="1AA1516C" w14:textId="77777777" w:rsidTr="00AB3D40">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786C57D6" w14:textId="77777777" w:rsidR="006E0879" w:rsidRPr="00925DF4" w:rsidRDefault="006E0879" w:rsidP="00AB3D40">
            <w:pPr>
              <w:rPr>
                <w:rFonts w:cs="Arial"/>
                <w:color w:val="1D1D1B" w:themeColor="text1"/>
              </w:rPr>
            </w:pPr>
            <w:r w:rsidRPr="00925DF4">
              <w:rPr>
                <w:rFonts w:cs="Arial"/>
                <w:color w:val="1D1D1B" w:themeColor="text1"/>
              </w:rPr>
              <w:t>Yes – British Business Bank can contact me</w:t>
            </w:r>
          </w:p>
        </w:tc>
        <w:tc>
          <w:tcPr>
            <w:tcW w:w="454" w:type="pct"/>
            <w:tcBorders>
              <w:top w:val="single" w:sz="4" w:space="0" w:color="auto"/>
              <w:left w:val="single" w:sz="4" w:space="0" w:color="auto"/>
              <w:bottom w:val="single" w:sz="4" w:space="0" w:color="auto"/>
              <w:right w:val="single" w:sz="4" w:space="0" w:color="auto"/>
            </w:tcBorders>
            <w:vAlign w:val="center"/>
            <w:hideMark/>
          </w:tcPr>
          <w:p w14:paraId="6F729A96" w14:textId="77777777" w:rsidR="006E0879" w:rsidRPr="00925DF4" w:rsidRDefault="006E0879" w:rsidP="00AB3D40">
            <w:pPr>
              <w:jc w:val="center"/>
              <w:rPr>
                <w:rFonts w:cs="Arial"/>
                <w:smallCaps/>
                <w:color w:val="1D1D1B" w:themeColor="text1"/>
              </w:rPr>
            </w:pPr>
            <w:r w:rsidRPr="00925DF4">
              <w:rPr>
                <w:rFonts w:cs="Arial"/>
                <w:smallCaps/>
                <w:color w:val="1D1D1B" w:themeColor="text1"/>
              </w:rPr>
              <w:t>3</w:t>
            </w:r>
          </w:p>
        </w:tc>
      </w:tr>
      <w:tr w:rsidR="006E0879" w:rsidRPr="00925DF4" w14:paraId="24B9CB2A" w14:textId="77777777" w:rsidTr="00AB3D40">
        <w:trPr>
          <w:cantSplit/>
          <w:trHeight w:val="320"/>
        </w:trPr>
        <w:tc>
          <w:tcPr>
            <w:tcW w:w="4546" w:type="pct"/>
            <w:tcBorders>
              <w:top w:val="single" w:sz="4" w:space="0" w:color="auto"/>
              <w:left w:val="single" w:sz="4" w:space="0" w:color="auto"/>
              <w:bottom w:val="single" w:sz="4" w:space="0" w:color="auto"/>
              <w:right w:val="single" w:sz="4" w:space="0" w:color="auto"/>
            </w:tcBorders>
            <w:vAlign w:val="center"/>
            <w:hideMark/>
          </w:tcPr>
          <w:p w14:paraId="39BD697C" w14:textId="77777777" w:rsidR="006E0879" w:rsidRPr="00925DF4" w:rsidRDefault="006E0879" w:rsidP="00AB3D40">
            <w:pPr>
              <w:rPr>
                <w:rFonts w:cs="Arial"/>
                <w:color w:val="1D1D1B" w:themeColor="text1"/>
              </w:rPr>
            </w:pPr>
            <w:r w:rsidRPr="00925DF4">
              <w:rPr>
                <w:rFonts w:cs="Arial"/>
                <w:color w:val="1D1D1B" w:themeColor="text1"/>
              </w:rPr>
              <w:t xml:space="preserve">No  </w:t>
            </w:r>
            <w:r w:rsidRPr="00925DF4">
              <w:rPr>
                <w:rFonts w:cs="Arial"/>
                <w:color w:val="FF0000"/>
              </w:rPr>
              <w:t xml:space="preserve"> EXCLUSIVE</w:t>
            </w:r>
          </w:p>
        </w:tc>
        <w:tc>
          <w:tcPr>
            <w:tcW w:w="454" w:type="pct"/>
            <w:tcBorders>
              <w:top w:val="single" w:sz="4" w:space="0" w:color="auto"/>
              <w:left w:val="single" w:sz="4" w:space="0" w:color="auto"/>
              <w:bottom w:val="single" w:sz="4" w:space="0" w:color="auto"/>
              <w:right w:val="single" w:sz="4" w:space="0" w:color="auto"/>
            </w:tcBorders>
            <w:vAlign w:val="center"/>
            <w:hideMark/>
          </w:tcPr>
          <w:p w14:paraId="32849E4D" w14:textId="77777777" w:rsidR="006E0879" w:rsidRPr="00925DF4" w:rsidRDefault="006E0879" w:rsidP="00AB3D40">
            <w:pPr>
              <w:jc w:val="center"/>
              <w:rPr>
                <w:rFonts w:cs="Arial"/>
                <w:smallCaps/>
                <w:color w:val="1D1D1B" w:themeColor="text1"/>
              </w:rPr>
            </w:pPr>
            <w:r w:rsidRPr="00925DF4">
              <w:rPr>
                <w:rFonts w:cs="Arial"/>
                <w:smallCaps/>
                <w:color w:val="1D1D1B" w:themeColor="text1"/>
              </w:rPr>
              <w:t>4</w:t>
            </w:r>
          </w:p>
        </w:tc>
      </w:tr>
    </w:tbl>
    <w:p w14:paraId="7AF777E6" w14:textId="77777777" w:rsidR="000824F2" w:rsidRDefault="000824F2" w:rsidP="000824F2">
      <w:pPr>
        <w:tabs>
          <w:tab w:val="left" w:pos="709"/>
        </w:tabs>
        <w:rPr>
          <w:rFonts w:cs="Arial"/>
          <w:bCs/>
          <w:color w:val="FF0000"/>
        </w:rPr>
      </w:pPr>
    </w:p>
    <w:p w14:paraId="7583E626" w14:textId="5D149DD2" w:rsidR="006E0879" w:rsidRPr="00925DF4" w:rsidRDefault="006E0879" w:rsidP="00C31D26">
      <w:pPr>
        <w:tabs>
          <w:tab w:val="left" w:pos="709"/>
        </w:tabs>
        <w:rPr>
          <w:rFonts w:cs="Arial"/>
          <w:bCs/>
          <w:color w:val="FF0000"/>
        </w:rPr>
      </w:pPr>
      <w:r w:rsidRPr="00925DF4">
        <w:rPr>
          <w:rFonts w:cs="Arial"/>
          <w:bCs/>
          <w:color w:val="FF0000"/>
        </w:rPr>
        <w:t>ASK IF AGREE TO RECONTACT (CODE 1) AT E8</w:t>
      </w:r>
    </w:p>
    <w:p w14:paraId="76764056" w14:textId="05C84954" w:rsidR="006E0879" w:rsidRPr="00925DF4" w:rsidRDefault="006E0879" w:rsidP="006E0879">
      <w:pPr>
        <w:rPr>
          <w:rFonts w:cs="Arial"/>
          <w:b/>
          <w:bCs/>
        </w:rPr>
      </w:pPr>
      <w:r w:rsidRPr="00925DF4">
        <w:rPr>
          <w:rFonts w:cs="Arial"/>
          <w:b/>
          <w:bCs/>
        </w:rPr>
        <w:t>E10 You may be contacted via telephone or email. Please could you confirm your email address and/or your preferred telephone number?</w:t>
      </w:r>
    </w:p>
    <w:tbl>
      <w:tblPr>
        <w:tblW w:w="5000" w:type="pct"/>
        <w:tblCellMar>
          <w:left w:w="0" w:type="dxa"/>
          <w:right w:w="0" w:type="dxa"/>
        </w:tblCellMar>
        <w:tblLook w:val="04A0" w:firstRow="1" w:lastRow="0" w:firstColumn="1" w:lastColumn="0" w:noHBand="0" w:noVBand="1"/>
      </w:tblPr>
      <w:tblGrid>
        <w:gridCol w:w="9281"/>
        <w:gridCol w:w="853"/>
      </w:tblGrid>
      <w:tr w:rsidR="006E0879" w:rsidRPr="00925DF4" w14:paraId="4A137F89" w14:textId="77777777" w:rsidTr="00AB3D40">
        <w:tc>
          <w:tcPr>
            <w:tcW w:w="457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8F1416" w14:textId="77777777" w:rsidR="006E0879" w:rsidRPr="00925DF4" w:rsidRDefault="006E0879" w:rsidP="00AB3D40">
            <w:pPr>
              <w:ind w:left="993" w:hanging="993"/>
              <w:rPr>
                <w:rFonts w:cs="Arial"/>
                <w:color w:val="1D1D1B" w:themeColor="text1"/>
              </w:rPr>
            </w:pPr>
            <w:r w:rsidRPr="00925DF4">
              <w:rPr>
                <w:rFonts w:cs="Arial"/>
                <w:color w:val="1D1D1B" w:themeColor="text1"/>
              </w:rPr>
              <w:t xml:space="preserve">Yes </w:t>
            </w:r>
            <w:r w:rsidRPr="00925DF4">
              <w:rPr>
                <w:rFonts w:cs="Arial"/>
                <w:color w:val="FF0000"/>
              </w:rPr>
              <w:t>[COLLECT EMAIL]</w:t>
            </w:r>
          </w:p>
        </w:tc>
        <w:tc>
          <w:tcPr>
            <w:tcW w:w="42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0258BF" w14:textId="77777777" w:rsidR="006E0879" w:rsidRPr="00925DF4" w:rsidRDefault="006E0879" w:rsidP="00AB3D40">
            <w:pPr>
              <w:ind w:left="993" w:hanging="993"/>
              <w:jc w:val="center"/>
              <w:rPr>
                <w:rFonts w:cs="Arial"/>
                <w:color w:val="1D1D1B" w:themeColor="text1"/>
              </w:rPr>
            </w:pPr>
            <w:r w:rsidRPr="00925DF4">
              <w:rPr>
                <w:rFonts w:cs="Arial"/>
                <w:color w:val="1D1D1B" w:themeColor="text1"/>
              </w:rPr>
              <w:t>1</w:t>
            </w:r>
          </w:p>
        </w:tc>
      </w:tr>
      <w:tr w:rsidR="006E0879" w:rsidRPr="00925DF4" w14:paraId="79C19875" w14:textId="77777777" w:rsidTr="00AB3D40">
        <w:tc>
          <w:tcPr>
            <w:tcW w:w="457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10970A" w14:textId="77777777" w:rsidR="006E0879" w:rsidRPr="00925DF4" w:rsidRDefault="006E0879" w:rsidP="00AB3D40">
            <w:pPr>
              <w:ind w:left="993" w:hanging="993"/>
              <w:rPr>
                <w:rFonts w:cs="Arial"/>
                <w:color w:val="1D1D1B" w:themeColor="text1"/>
              </w:rPr>
            </w:pPr>
            <w:r w:rsidRPr="00925DF4">
              <w:rPr>
                <w:rFonts w:cs="Arial"/>
                <w:color w:val="1D1D1B" w:themeColor="text1"/>
              </w:rPr>
              <w:t>Yes [</w:t>
            </w:r>
            <w:r w:rsidRPr="00925DF4">
              <w:rPr>
                <w:rFonts w:cs="Arial"/>
                <w:color w:val="FF0000"/>
              </w:rPr>
              <w:t>COLLECT TELEPHONE NO]</w:t>
            </w:r>
          </w:p>
        </w:tc>
        <w:tc>
          <w:tcPr>
            <w:tcW w:w="42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C7F4688" w14:textId="77777777" w:rsidR="006E0879" w:rsidRPr="00925DF4" w:rsidRDefault="006E0879" w:rsidP="00AB3D40">
            <w:pPr>
              <w:ind w:left="993" w:hanging="993"/>
              <w:jc w:val="center"/>
              <w:rPr>
                <w:rFonts w:cs="Arial"/>
                <w:color w:val="1D1D1B" w:themeColor="text1"/>
              </w:rPr>
            </w:pPr>
            <w:r w:rsidRPr="00925DF4">
              <w:rPr>
                <w:rFonts w:cs="Arial"/>
                <w:color w:val="1D1D1B" w:themeColor="text1"/>
              </w:rPr>
              <w:t>3</w:t>
            </w:r>
          </w:p>
        </w:tc>
      </w:tr>
      <w:tr w:rsidR="006E0879" w:rsidRPr="00925DF4" w14:paraId="135B5428" w14:textId="77777777" w:rsidTr="00AB3D40">
        <w:tc>
          <w:tcPr>
            <w:tcW w:w="4579"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02C488" w14:textId="77777777" w:rsidR="006E0879" w:rsidRPr="00925DF4" w:rsidRDefault="006E0879" w:rsidP="00AB3D40">
            <w:pPr>
              <w:ind w:left="993" w:hanging="993"/>
              <w:rPr>
                <w:rFonts w:cs="Arial"/>
                <w:color w:val="1D1D1B" w:themeColor="text1"/>
              </w:rPr>
            </w:pPr>
            <w:r w:rsidRPr="00925DF4">
              <w:rPr>
                <w:rFonts w:cs="Arial"/>
                <w:color w:val="1D1D1B" w:themeColor="text1"/>
              </w:rPr>
              <w:t>Refused</w:t>
            </w:r>
          </w:p>
        </w:tc>
        <w:tc>
          <w:tcPr>
            <w:tcW w:w="421" w:type="pct"/>
            <w:tcBorders>
              <w:top w:val="nil"/>
              <w:left w:val="nil"/>
              <w:bottom w:val="single" w:sz="8" w:space="0" w:color="000000"/>
              <w:right w:val="single" w:sz="8" w:space="0" w:color="000000"/>
            </w:tcBorders>
            <w:tcMar>
              <w:top w:w="0" w:type="dxa"/>
              <w:left w:w="108" w:type="dxa"/>
              <w:bottom w:w="0" w:type="dxa"/>
              <w:right w:w="108" w:type="dxa"/>
            </w:tcMar>
            <w:hideMark/>
          </w:tcPr>
          <w:p w14:paraId="6C3A4AFA" w14:textId="77777777" w:rsidR="006E0879" w:rsidRPr="00925DF4" w:rsidRDefault="006E0879" w:rsidP="00AB3D40">
            <w:pPr>
              <w:ind w:left="993" w:hanging="993"/>
              <w:jc w:val="center"/>
              <w:rPr>
                <w:rFonts w:cs="Arial"/>
                <w:color w:val="1D1D1B" w:themeColor="text1"/>
              </w:rPr>
            </w:pPr>
            <w:r w:rsidRPr="00925DF4">
              <w:rPr>
                <w:rFonts w:cs="Arial"/>
                <w:color w:val="1D1D1B" w:themeColor="text1"/>
              </w:rPr>
              <w:t>99</w:t>
            </w:r>
          </w:p>
        </w:tc>
      </w:tr>
    </w:tbl>
    <w:p w14:paraId="31B83569" w14:textId="77777777" w:rsidR="006E0879" w:rsidRPr="00925DF4" w:rsidRDefault="006E0879" w:rsidP="00C31D26">
      <w:pPr>
        <w:tabs>
          <w:tab w:val="left" w:pos="709"/>
        </w:tabs>
        <w:rPr>
          <w:rFonts w:cs="Arial"/>
          <w:bCs/>
          <w:color w:val="1D1D1B" w:themeColor="text1"/>
        </w:rPr>
      </w:pPr>
    </w:p>
    <w:p w14:paraId="02E5BD70" w14:textId="77777777" w:rsidR="006E0879" w:rsidRPr="00925DF4" w:rsidRDefault="006E0879" w:rsidP="006E0879">
      <w:pPr>
        <w:rPr>
          <w:rFonts w:cs="Arial"/>
          <w:color w:val="FF0000"/>
          <w:lang w:eastAsia="en-GB"/>
        </w:rPr>
      </w:pPr>
      <w:r w:rsidRPr="00925DF4">
        <w:rPr>
          <w:rFonts w:cs="Arial"/>
          <w:color w:val="FF0000"/>
          <w:lang w:eastAsia="en-GB"/>
        </w:rPr>
        <w:t>ASK ALL</w:t>
      </w:r>
    </w:p>
    <w:p w14:paraId="3A3B5805" w14:textId="76D98371" w:rsidR="006E0879" w:rsidRPr="00C31D26" w:rsidRDefault="006E0879" w:rsidP="00C31D26">
      <w:pPr>
        <w:rPr>
          <w:rFonts w:eastAsia="SimSun" w:cs="Arial"/>
          <w:b/>
          <w:bCs/>
        </w:rPr>
      </w:pPr>
      <w:r w:rsidRPr="00925DF4">
        <w:rPr>
          <w:rFonts w:eastAsia="SimSun" w:cs="Arial"/>
          <w:b/>
          <w:bCs/>
        </w:rPr>
        <w:t xml:space="preserve">E11. We would like to check your postcode as this allows us to classify your business by region or nation. We have your business postcode as </w:t>
      </w:r>
      <w:r w:rsidRPr="00925DF4">
        <w:rPr>
          <w:rFonts w:eastAsia="SimSun" w:cs="Arial"/>
          <w:bCs/>
          <w:color w:val="FF0000"/>
        </w:rPr>
        <w:t>[POSTCODE FROM SAMPLE].</w:t>
      </w:r>
      <w:r w:rsidRPr="00925DF4">
        <w:rPr>
          <w:rFonts w:eastAsia="SimSun" w:cs="Arial"/>
          <w:b/>
          <w:bCs/>
          <w:color w:val="FF0000"/>
        </w:rPr>
        <w:t xml:space="preserve"> </w:t>
      </w:r>
      <w:r w:rsidRPr="00925DF4">
        <w:rPr>
          <w:rFonts w:eastAsia="SimSun" w:cs="Arial"/>
          <w:b/>
          <w:bCs/>
        </w:rPr>
        <w:t>Is this correct?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gridCol w:w="899"/>
      </w:tblGrid>
      <w:tr w:rsidR="006E0879" w:rsidRPr="00925DF4" w14:paraId="3F86E9A4"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11AC9063"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Yes</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242BCDE7"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1</w:t>
            </w:r>
          </w:p>
        </w:tc>
      </w:tr>
      <w:tr w:rsidR="006E0879" w:rsidRPr="00925DF4" w14:paraId="4E7BBC20" w14:textId="77777777" w:rsidTr="00AB3D40">
        <w:tc>
          <w:tcPr>
            <w:tcW w:w="4557" w:type="pct"/>
            <w:tcBorders>
              <w:top w:val="single" w:sz="4" w:space="0" w:color="000000"/>
              <w:left w:val="single" w:sz="4" w:space="0" w:color="000000"/>
              <w:bottom w:val="single" w:sz="4" w:space="0" w:color="000000"/>
              <w:right w:val="single" w:sz="4" w:space="0" w:color="000000"/>
            </w:tcBorders>
            <w:hideMark/>
          </w:tcPr>
          <w:p w14:paraId="35BE006F" w14:textId="77777777" w:rsidR="006E0879" w:rsidRPr="00925DF4" w:rsidRDefault="006E0879" w:rsidP="00AB3D40">
            <w:pPr>
              <w:spacing w:before="60"/>
              <w:rPr>
                <w:rFonts w:eastAsia="SimSun" w:cs="Arial"/>
                <w:color w:val="1D1D1B" w:themeColor="text1"/>
              </w:rPr>
            </w:pPr>
            <w:r w:rsidRPr="00925DF4">
              <w:rPr>
                <w:rFonts w:eastAsia="SimSun" w:cs="Arial"/>
                <w:color w:val="1D1D1B" w:themeColor="text1"/>
              </w:rPr>
              <w:t>No</w:t>
            </w:r>
          </w:p>
        </w:tc>
        <w:tc>
          <w:tcPr>
            <w:tcW w:w="443" w:type="pct"/>
            <w:tcBorders>
              <w:top w:val="single" w:sz="4" w:space="0" w:color="000000"/>
              <w:left w:val="single" w:sz="4" w:space="0" w:color="000000"/>
              <w:bottom w:val="single" w:sz="4" w:space="0" w:color="000000"/>
              <w:right w:val="single" w:sz="4" w:space="0" w:color="000000"/>
            </w:tcBorders>
            <w:vAlign w:val="center"/>
            <w:hideMark/>
          </w:tcPr>
          <w:p w14:paraId="55238395" w14:textId="77777777" w:rsidR="006E0879" w:rsidRPr="00925DF4" w:rsidRDefault="006E0879" w:rsidP="00AB3D40">
            <w:pPr>
              <w:spacing w:before="60"/>
              <w:jc w:val="center"/>
              <w:rPr>
                <w:rFonts w:eastAsia="SimSun" w:cs="Arial"/>
                <w:color w:val="1D1D1B" w:themeColor="text1"/>
              </w:rPr>
            </w:pPr>
            <w:r w:rsidRPr="00925DF4">
              <w:rPr>
                <w:rFonts w:eastAsia="SimSun" w:cs="Arial"/>
                <w:color w:val="1D1D1B" w:themeColor="text1"/>
              </w:rPr>
              <w:t>2</w:t>
            </w:r>
          </w:p>
        </w:tc>
      </w:tr>
    </w:tbl>
    <w:p w14:paraId="7BECFF06" w14:textId="77777777" w:rsidR="006E0879" w:rsidRPr="00925DF4" w:rsidRDefault="006E0879" w:rsidP="006E0879">
      <w:pPr>
        <w:ind w:right="-284"/>
        <w:rPr>
          <w:rFonts w:eastAsia="SimSun" w:cs="Arial"/>
          <w:b/>
          <w:color w:val="1D1D1B" w:themeColor="text1"/>
        </w:rPr>
      </w:pPr>
    </w:p>
    <w:p w14:paraId="4E007C7E" w14:textId="77777777" w:rsidR="006E0879" w:rsidRPr="00925DF4" w:rsidRDefault="006E0879" w:rsidP="006E0879">
      <w:pPr>
        <w:ind w:right="-284"/>
        <w:rPr>
          <w:rFonts w:eastAsia="SimSun" w:cs="Arial"/>
          <w:color w:val="FF0000"/>
        </w:rPr>
      </w:pPr>
      <w:r w:rsidRPr="00925DF4">
        <w:rPr>
          <w:rFonts w:eastAsia="SimSun" w:cs="Arial"/>
          <w:color w:val="FF0000"/>
        </w:rPr>
        <w:t>ASK IF POSTCODE IS INCORRECT (CODE 2) AT E1</w:t>
      </w:r>
      <w:r>
        <w:rPr>
          <w:rFonts w:eastAsia="SimSun" w:cs="Arial"/>
          <w:color w:val="FF0000"/>
        </w:rPr>
        <w:t>1</w:t>
      </w:r>
    </w:p>
    <w:p w14:paraId="4C7F7F7F" w14:textId="0EF60869" w:rsidR="006E0879" w:rsidRPr="00C31D26" w:rsidRDefault="006E0879" w:rsidP="006E0879">
      <w:pPr>
        <w:rPr>
          <w:rFonts w:eastAsia="SimSun" w:cs="Arial"/>
          <w:color w:val="FF0000"/>
        </w:rPr>
      </w:pPr>
      <w:r w:rsidRPr="00925DF4">
        <w:rPr>
          <w:rFonts w:eastAsia="SimSun" w:cs="Arial"/>
          <w:b/>
          <w:bCs/>
        </w:rPr>
        <w:t xml:space="preserve">E12. </w:t>
      </w:r>
      <w:r w:rsidRPr="00925DF4">
        <w:rPr>
          <w:rFonts w:eastAsia="SimSun" w:cs="Arial"/>
          <w:b/>
        </w:rPr>
        <w:t>What is your postcode</w:t>
      </w:r>
      <w:r w:rsidRPr="00925DF4">
        <w:rPr>
          <w:rFonts w:eastAsia="SimSun" w:cs="Arial"/>
        </w:rPr>
        <w:t xml:space="preserve">? </w:t>
      </w:r>
      <w:r w:rsidRPr="00925DF4">
        <w:rPr>
          <w:rFonts w:eastAsia="SimSun" w:cs="Arial"/>
          <w:color w:val="F06603" w:themeColor="accent6"/>
        </w:rPr>
        <w:t>PROBE, AS NECESSARY. WRITE IN TWICE TO VERIFY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4"/>
      </w:tblGrid>
      <w:tr w:rsidR="006E0879" w:rsidRPr="00925DF4" w14:paraId="22868271" w14:textId="77777777" w:rsidTr="00AB3D40">
        <w:tc>
          <w:tcPr>
            <w:tcW w:w="5000" w:type="pct"/>
            <w:tcBorders>
              <w:top w:val="single" w:sz="4" w:space="0" w:color="auto"/>
              <w:left w:val="single" w:sz="4" w:space="0" w:color="auto"/>
              <w:bottom w:val="single" w:sz="4" w:space="0" w:color="auto"/>
              <w:right w:val="single" w:sz="4" w:space="0" w:color="auto"/>
            </w:tcBorders>
          </w:tcPr>
          <w:p w14:paraId="524B0187" w14:textId="77777777" w:rsidR="006E0879" w:rsidRPr="00925DF4" w:rsidRDefault="006E0879" w:rsidP="00AB3D40">
            <w:pPr>
              <w:spacing w:before="120"/>
              <w:outlineLvl w:val="0"/>
              <w:rPr>
                <w:rFonts w:eastAsia="SimSun" w:cs="Arial"/>
                <w:bCs/>
                <w:strike/>
                <w:color w:val="1D1D1B" w:themeColor="text1"/>
              </w:rPr>
            </w:pPr>
          </w:p>
        </w:tc>
      </w:tr>
    </w:tbl>
    <w:p w14:paraId="0EDCCB2F" w14:textId="77777777" w:rsidR="000824F2" w:rsidRDefault="000824F2" w:rsidP="006E0879">
      <w:pPr>
        <w:rPr>
          <w:rFonts w:cs="Arial"/>
          <w:bCs/>
          <w:color w:val="FF0000"/>
        </w:rPr>
      </w:pPr>
    </w:p>
    <w:p w14:paraId="59ED41D3" w14:textId="25C19779" w:rsidR="006E0879" w:rsidRPr="00283223" w:rsidRDefault="006E0879" w:rsidP="006E0879">
      <w:pPr>
        <w:rPr>
          <w:rFonts w:cs="Arial"/>
          <w:bCs/>
          <w:color w:val="FF0000"/>
        </w:rPr>
      </w:pPr>
      <w:r w:rsidRPr="00283223">
        <w:rPr>
          <w:rFonts w:cs="Arial"/>
          <w:bCs/>
          <w:color w:val="FF0000"/>
        </w:rPr>
        <w:t>ASK ALL</w:t>
      </w:r>
    </w:p>
    <w:p w14:paraId="7E0322C0" w14:textId="77777777" w:rsidR="006E0879" w:rsidRPr="00925DF4" w:rsidRDefault="006E0879" w:rsidP="006E0879">
      <w:pPr>
        <w:spacing w:after="240"/>
        <w:rPr>
          <w:rFonts w:cs="Arial"/>
          <w:b/>
        </w:rPr>
      </w:pPr>
      <w:r w:rsidRPr="00283223">
        <w:rPr>
          <w:rFonts w:cs="Arial"/>
          <w:bCs/>
          <w:color w:val="FF0000"/>
        </w:rPr>
        <w:t>E15.</w:t>
      </w:r>
      <w:r w:rsidRPr="00925DF4">
        <w:rPr>
          <w:rFonts w:cs="Arial"/>
          <w:b/>
          <w:color w:val="FF0000"/>
        </w:rPr>
        <w:t xml:space="preserve"> </w:t>
      </w:r>
      <w:r w:rsidRPr="00925DF4">
        <w:rPr>
          <w:rFonts w:cs="Arial"/>
          <w:b/>
        </w:rPr>
        <w:t>Finally, with your consent we would like to email you a summary of the research findings once published. Please confirm whether you would like to receive this report?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gridCol w:w="899"/>
      </w:tblGrid>
      <w:tr w:rsidR="006E0879" w:rsidRPr="00925DF4" w14:paraId="1BA76AD3" w14:textId="77777777" w:rsidTr="00AB3D40">
        <w:tc>
          <w:tcPr>
            <w:tcW w:w="4557" w:type="pct"/>
            <w:tcBorders>
              <w:top w:val="single" w:sz="4" w:space="0" w:color="000000"/>
              <w:left w:val="single" w:sz="4" w:space="0" w:color="000000"/>
              <w:bottom w:val="single" w:sz="4" w:space="0" w:color="000000"/>
              <w:right w:val="single" w:sz="4" w:space="0" w:color="000000"/>
            </w:tcBorders>
            <w:vAlign w:val="center"/>
            <w:hideMark/>
          </w:tcPr>
          <w:p w14:paraId="59591D8E" w14:textId="77777777" w:rsidR="006E0879" w:rsidRPr="00925DF4" w:rsidRDefault="006E0879" w:rsidP="00AB3D40">
            <w:pPr>
              <w:pStyle w:val="CommentText"/>
              <w:rPr>
                <w:rFonts w:cs="Arial"/>
                <w:color w:val="1D1D1B" w:themeColor="text1"/>
              </w:rPr>
            </w:pPr>
            <w:r w:rsidRPr="00925DF4">
              <w:rPr>
                <w:rFonts w:cs="Arial"/>
              </w:rPr>
              <w:t xml:space="preserve">Yes (same email address) </w:t>
            </w:r>
            <w:r w:rsidRPr="00925DF4">
              <w:rPr>
                <w:rFonts w:cs="Arial"/>
                <w:color w:val="0070C0"/>
              </w:rPr>
              <w:t>[FEED IN EMAIL ADDRESS FROM INTRODUCTION/ REASSURANCES/ DATA SHEET]</w:t>
            </w:r>
          </w:p>
        </w:tc>
        <w:tc>
          <w:tcPr>
            <w:tcW w:w="443" w:type="pct"/>
            <w:tcBorders>
              <w:top w:val="single" w:sz="4" w:space="0" w:color="000000"/>
              <w:left w:val="single" w:sz="4" w:space="0" w:color="000000"/>
              <w:bottom w:val="single" w:sz="4" w:space="0" w:color="000000"/>
              <w:right w:val="single" w:sz="4" w:space="0" w:color="000000"/>
            </w:tcBorders>
            <w:hideMark/>
          </w:tcPr>
          <w:p w14:paraId="4ACFA987" w14:textId="77777777" w:rsidR="006E0879" w:rsidRPr="00925DF4" w:rsidRDefault="006E0879" w:rsidP="00AB3D40">
            <w:pPr>
              <w:ind w:left="993" w:hanging="993"/>
              <w:jc w:val="center"/>
              <w:rPr>
                <w:rFonts w:cs="Arial"/>
                <w:color w:val="1D1D1B" w:themeColor="text1"/>
              </w:rPr>
            </w:pPr>
            <w:r w:rsidRPr="00925DF4">
              <w:rPr>
                <w:rFonts w:cs="Arial"/>
                <w:color w:val="1D1D1B" w:themeColor="text1"/>
              </w:rPr>
              <w:t>1</w:t>
            </w:r>
          </w:p>
        </w:tc>
      </w:tr>
      <w:tr w:rsidR="006E0879" w:rsidRPr="00925DF4" w14:paraId="2E063443" w14:textId="77777777" w:rsidTr="00AB3D40">
        <w:tc>
          <w:tcPr>
            <w:tcW w:w="4557" w:type="pct"/>
            <w:tcBorders>
              <w:top w:val="single" w:sz="4" w:space="0" w:color="000000"/>
              <w:left w:val="single" w:sz="4" w:space="0" w:color="000000"/>
              <w:bottom w:val="single" w:sz="4" w:space="0" w:color="000000"/>
              <w:right w:val="single" w:sz="4" w:space="0" w:color="000000"/>
            </w:tcBorders>
            <w:vAlign w:val="center"/>
          </w:tcPr>
          <w:p w14:paraId="00B9DEC6" w14:textId="77777777" w:rsidR="006E0879" w:rsidRPr="00925DF4" w:rsidRDefault="006E0879" w:rsidP="00AB3D40">
            <w:pPr>
              <w:pStyle w:val="CommentText"/>
              <w:rPr>
                <w:rFonts w:cs="Arial"/>
                <w:color w:val="1D1D1B" w:themeColor="text1"/>
              </w:rPr>
            </w:pPr>
            <w:r w:rsidRPr="00925DF4">
              <w:rPr>
                <w:rFonts w:cs="Arial"/>
              </w:rPr>
              <w:t xml:space="preserve">Yes (different address) </w:t>
            </w:r>
            <w:r w:rsidRPr="00925DF4">
              <w:rPr>
                <w:rFonts w:cs="Arial"/>
                <w:color w:val="0070C0"/>
              </w:rPr>
              <w:t>[OPEN BOX FOR EMAIL ADDRESS]</w:t>
            </w:r>
          </w:p>
        </w:tc>
        <w:tc>
          <w:tcPr>
            <w:tcW w:w="443" w:type="pct"/>
            <w:tcBorders>
              <w:top w:val="single" w:sz="4" w:space="0" w:color="000000"/>
              <w:left w:val="single" w:sz="4" w:space="0" w:color="000000"/>
              <w:bottom w:val="single" w:sz="4" w:space="0" w:color="000000"/>
              <w:right w:val="single" w:sz="4" w:space="0" w:color="000000"/>
            </w:tcBorders>
          </w:tcPr>
          <w:p w14:paraId="75A3F54B" w14:textId="77777777" w:rsidR="006E0879" w:rsidRPr="00925DF4" w:rsidRDefault="006E0879" w:rsidP="00AB3D40">
            <w:pPr>
              <w:ind w:left="993" w:hanging="993"/>
              <w:jc w:val="center"/>
              <w:rPr>
                <w:rFonts w:cs="Arial"/>
                <w:color w:val="1D1D1B" w:themeColor="text1"/>
              </w:rPr>
            </w:pPr>
            <w:r w:rsidRPr="00925DF4">
              <w:rPr>
                <w:rFonts w:cs="Arial"/>
                <w:color w:val="1D1D1B" w:themeColor="text1"/>
              </w:rPr>
              <w:t>2</w:t>
            </w:r>
          </w:p>
        </w:tc>
      </w:tr>
      <w:tr w:rsidR="006E0879" w:rsidRPr="00925DF4" w14:paraId="7DF6CD52" w14:textId="77777777" w:rsidTr="00AB3D40">
        <w:tc>
          <w:tcPr>
            <w:tcW w:w="4557" w:type="pct"/>
            <w:tcBorders>
              <w:top w:val="single" w:sz="4" w:space="0" w:color="000000"/>
              <w:left w:val="single" w:sz="4" w:space="0" w:color="000000"/>
              <w:bottom w:val="single" w:sz="4" w:space="0" w:color="000000"/>
              <w:right w:val="single" w:sz="4" w:space="0" w:color="000000"/>
            </w:tcBorders>
            <w:vAlign w:val="center"/>
            <w:hideMark/>
          </w:tcPr>
          <w:p w14:paraId="3F0FB0A7" w14:textId="77777777" w:rsidR="006E0879" w:rsidRPr="00925DF4" w:rsidRDefault="006E0879" w:rsidP="00AB3D40">
            <w:pPr>
              <w:ind w:left="993" w:hanging="993"/>
              <w:rPr>
                <w:rFonts w:cs="Arial"/>
                <w:color w:val="1D1D1B" w:themeColor="text1"/>
              </w:rPr>
            </w:pPr>
            <w:r w:rsidRPr="00925DF4">
              <w:rPr>
                <w:rFonts w:cs="Arial"/>
                <w:color w:val="1D1D1B" w:themeColor="text1"/>
              </w:rPr>
              <w:t xml:space="preserve">No </w:t>
            </w:r>
          </w:p>
        </w:tc>
        <w:tc>
          <w:tcPr>
            <w:tcW w:w="443" w:type="pct"/>
            <w:tcBorders>
              <w:top w:val="single" w:sz="4" w:space="0" w:color="000000"/>
              <w:left w:val="single" w:sz="4" w:space="0" w:color="000000"/>
              <w:bottom w:val="single" w:sz="4" w:space="0" w:color="000000"/>
              <w:right w:val="single" w:sz="4" w:space="0" w:color="000000"/>
            </w:tcBorders>
            <w:hideMark/>
          </w:tcPr>
          <w:p w14:paraId="57F8C6FD" w14:textId="77777777" w:rsidR="006E0879" w:rsidRPr="00925DF4" w:rsidRDefault="006E0879" w:rsidP="00AB3D40">
            <w:pPr>
              <w:ind w:left="993" w:hanging="993"/>
              <w:jc w:val="center"/>
              <w:rPr>
                <w:rFonts w:cs="Arial"/>
                <w:color w:val="1D1D1B" w:themeColor="text1"/>
              </w:rPr>
            </w:pPr>
            <w:r w:rsidRPr="00925DF4">
              <w:rPr>
                <w:rFonts w:cs="Arial"/>
                <w:color w:val="1D1D1B" w:themeColor="text1"/>
              </w:rPr>
              <w:t>3</w:t>
            </w:r>
          </w:p>
        </w:tc>
      </w:tr>
    </w:tbl>
    <w:p w14:paraId="4139148A" w14:textId="77777777" w:rsidR="006E0879" w:rsidRPr="00925DF4" w:rsidRDefault="006E0879" w:rsidP="006E0879">
      <w:pPr>
        <w:rPr>
          <w:rFonts w:cs="Arial"/>
          <w:b/>
          <w:color w:val="1D1D1B" w:themeColor="text1"/>
        </w:rPr>
      </w:pPr>
    </w:p>
    <w:p w14:paraId="34022668" w14:textId="115773F5" w:rsidR="006E0879" w:rsidRPr="00C31D26" w:rsidRDefault="006E0879" w:rsidP="006E0879">
      <w:pPr>
        <w:rPr>
          <w:rFonts w:cs="Arial"/>
          <w:b/>
          <w:color w:val="1D1D1B" w:themeColor="text1"/>
        </w:rPr>
      </w:pPr>
      <w:r w:rsidRPr="00925DF4">
        <w:rPr>
          <w:rFonts w:cs="Arial"/>
          <w:b/>
          <w:color w:val="1D1D1B" w:themeColor="text1"/>
        </w:rPr>
        <w:t xml:space="preserve">Thank you for taking the time to participate in this study. You can access the privacy notice here: </w:t>
      </w:r>
      <w:r w:rsidRPr="00925DF4">
        <w:rPr>
          <w:rFonts w:cs="Arial"/>
          <w:b/>
          <w:color w:val="FF0000"/>
        </w:rPr>
        <w:t xml:space="preserve">&lt;link&gt;. </w:t>
      </w:r>
      <w:r w:rsidRPr="00925DF4">
        <w:rPr>
          <w:rFonts w:cs="Arial"/>
          <w:b/>
          <w:color w:val="1D1D1B" w:themeColor="text1"/>
        </w:rPr>
        <w:t>This explains the purposes for processing your personal data as well as your rights under data protection regulations to access your personal data, withdraw consent, object to processing of your personal data and other required information.</w:t>
      </w:r>
    </w:p>
    <w:p w14:paraId="71FBB694" w14:textId="411B7F1B" w:rsidR="006E0879" w:rsidRPr="00925DF4" w:rsidRDefault="006E0879" w:rsidP="1ED96058">
      <w:pPr>
        <w:rPr>
          <w:rFonts w:cs="Arial"/>
          <w:b/>
          <w:bCs/>
          <w:color w:val="1D1D1B" w:themeColor="text1"/>
        </w:rPr>
      </w:pPr>
      <w:r w:rsidRPr="1ED96058">
        <w:rPr>
          <w:rFonts w:cs="Arial"/>
          <w:b/>
          <w:bCs/>
          <w:color w:val="1D1D1B" w:themeColor="text1"/>
        </w:rPr>
        <w:t xml:space="preserve">If you do have any further comments or queries relating to this project, please contact </w:t>
      </w:r>
      <w:r w:rsidRPr="00095BB2">
        <w:rPr>
          <w:rFonts w:cs="Arial"/>
          <w:b/>
          <w:bCs/>
          <w:color w:val="FF0000"/>
        </w:rPr>
        <w:t>[Insert contact name]</w:t>
      </w:r>
      <w:r w:rsidRPr="00744E99">
        <w:rPr>
          <w:rFonts w:cs="Arial"/>
          <w:b/>
          <w:bCs/>
          <w:color w:val="FF0000"/>
        </w:rPr>
        <w:t>.</w:t>
      </w:r>
    </w:p>
    <w:p w14:paraId="4238AE87" w14:textId="6C36EFB9" w:rsidR="00937873" w:rsidRDefault="006E0879" w:rsidP="00937873">
      <w:r w:rsidRPr="00925DF4">
        <w:rPr>
          <w:rFonts w:cs="Arial"/>
          <w:color w:val="FF0000"/>
        </w:rPr>
        <w:t>THANK AND CLOSE</w:t>
      </w:r>
      <w:bookmarkStart w:id="93" w:name="_Ref94798571"/>
      <w:bookmarkStart w:id="94" w:name="_Ref94798638"/>
      <w:bookmarkStart w:id="95" w:name="_Ref94798727"/>
      <w:bookmarkStart w:id="96" w:name="_Ref94798738"/>
      <w:bookmarkStart w:id="97" w:name="_Ref94798744"/>
      <w:bookmarkStart w:id="98" w:name="_Ref94798752"/>
      <w:bookmarkStart w:id="99" w:name="_Ref94798760"/>
      <w:bookmarkStart w:id="100" w:name="_Ref94798808"/>
      <w:bookmarkStart w:id="101" w:name="_Ref94798814"/>
      <w:bookmarkStart w:id="102" w:name="_Ref94798821"/>
      <w:bookmarkStart w:id="103" w:name="_Ref94798826"/>
      <w:bookmarkStart w:id="104" w:name="_Ref94798835"/>
      <w:bookmarkStart w:id="105" w:name="_Ref94798844"/>
      <w:bookmarkStart w:id="106" w:name="_Ref94798856"/>
      <w:bookmarkStart w:id="107" w:name="_Ref94798863"/>
      <w:bookmarkStart w:id="108" w:name="_Ref94798869"/>
    </w:p>
    <w:p w14:paraId="0B80B95D" w14:textId="1ECB3A86" w:rsidR="005C35B0" w:rsidRDefault="00435380" w:rsidP="005C267D">
      <w:pPr>
        <w:pStyle w:val="Heading1"/>
      </w:pPr>
      <w:bookmarkStart w:id="109" w:name="_Ref149920057"/>
      <w:bookmarkStart w:id="110" w:name="_Ref149920071"/>
      <w:bookmarkStart w:id="111" w:name="_Ref149920083"/>
      <w:bookmarkStart w:id="112" w:name="_Ref149920091"/>
      <w:bookmarkStart w:id="113" w:name="_Ref149920098"/>
      <w:bookmarkStart w:id="114" w:name="_Ref149920103"/>
      <w:bookmarkStart w:id="115" w:name="_Ref149920110"/>
      <w:bookmarkStart w:id="116" w:name="_Ref149920115"/>
      <w:bookmarkStart w:id="117" w:name="_Ref149920134"/>
      <w:bookmarkStart w:id="118" w:name="_Ref149920142"/>
      <w:bookmarkStart w:id="119" w:name="_Ref149920149"/>
      <w:bookmarkStart w:id="120" w:name="_Ref149920170"/>
      <w:bookmarkStart w:id="121" w:name="_Toc161327598"/>
      <w:r w:rsidRPr="00B217EC">
        <w:t>Annex 3</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1E4E61">
        <w:t xml:space="preserve"> – Survey statistics</w:t>
      </w:r>
      <w:bookmarkEnd w:id="121"/>
    </w:p>
    <w:p w14:paraId="78D58883" w14:textId="08A1FB11" w:rsidR="001A0948" w:rsidRPr="00D0457A" w:rsidRDefault="001A0948" w:rsidP="00DF58BC">
      <w:r w:rsidRPr="00D0457A">
        <w:t xml:space="preserve">This annex section presents supplementary descriptive statistics </w:t>
      </w:r>
      <w:r w:rsidR="00CB4DDE">
        <w:t>from the quantitative survey.</w:t>
      </w:r>
    </w:p>
    <w:p w14:paraId="3F9A15B5" w14:textId="6B0FA48A" w:rsidR="002316D8" w:rsidRPr="00D0457A" w:rsidRDefault="002316D8" w:rsidP="002316D8">
      <w:pPr>
        <w:pStyle w:val="Heading5"/>
      </w:pPr>
      <w:bookmarkStart w:id="122" w:name="_Ref151988068"/>
      <w:bookmarkStart w:id="123" w:name="_Ref90981856"/>
      <w:r w:rsidRPr="00D0457A">
        <w:t xml:space="preserve">Table </w:t>
      </w:r>
      <w:r w:rsidRPr="00D0457A">
        <w:fldChar w:fldCharType="begin"/>
      </w:r>
      <w:r w:rsidRPr="00D0457A">
        <w:instrText>SEQ Table \* ARABIC</w:instrText>
      </w:r>
      <w:r w:rsidRPr="00D0457A">
        <w:fldChar w:fldCharType="separate"/>
      </w:r>
      <w:r w:rsidR="001525E9">
        <w:rPr>
          <w:noProof/>
        </w:rPr>
        <w:t>17</w:t>
      </w:r>
      <w:r w:rsidRPr="00D0457A">
        <w:fldChar w:fldCharType="end"/>
      </w:r>
      <w:bookmarkEnd w:id="122"/>
      <w:r w:rsidRPr="00D0457A">
        <w:t xml:space="preserve">: Turnover </w:t>
      </w:r>
      <w:r>
        <w:t>–</w:t>
      </w:r>
      <w:r w:rsidRPr="00D0457A">
        <w:t xml:space="preserve"> </w:t>
      </w:r>
      <w:r>
        <w:t>RLS 1.0 b</w:t>
      </w:r>
      <w:r w:rsidRPr="00D0457A">
        <w:t>orrowers</w:t>
      </w:r>
    </w:p>
    <w:tbl>
      <w:tblPr>
        <w:tblStyle w:val="TableGrid"/>
        <w:tblW w:w="5000" w:type="pct"/>
        <w:tblLayout w:type="fixed"/>
        <w:tblLook w:val="04A0" w:firstRow="1" w:lastRow="0" w:firstColumn="1" w:lastColumn="0" w:noHBand="0" w:noVBand="1"/>
        <w:tblCaption w:val="Turnover"/>
        <w:tblDescription w:val="Turnover in most recent financial year"/>
      </w:tblPr>
      <w:tblGrid>
        <w:gridCol w:w="3687"/>
        <w:gridCol w:w="2155"/>
        <w:gridCol w:w="2157"/>
        <w:gridCol w:w="2155"/>
      </w:tblGrid>
      <w:tr w:rsidR="002316D8" w:rsidRPr="00B21B8A" w14:paraId="7D97F254" w14:textId="77777777" w:rsidTr="00B217EC">
        <w:trPr>
          <w:cnfStyle w:val="100000000000" w:firstRow="1" w:lastRow="0" w:firstColumn="0" w:lastColumn="0" w:oddVBand="0" w:evenVBand="0" w:oddHBand="0" w:evenHBand="0" w:firstRowFirstColumn="0" w:firstRowLastColumn="0" w:lastRowFirstColumn="0" w:lastRowLastColumn="0"/>
          <w:trHeight w:val="530"/>
          <w:tblHeader/>
        </w:trPr>
        <w:tc>
          <w:tcPr>
            <w:tcW w:w="1816" w:type="pct"/>
            <w:vAlign w:val="center"/>
          </w:tcPr>
          <w:p w14:paraId="153FA370" w14:textId="77777777" w:rsidR="002316D8" w:rsidRPr="00B21B8A" w:rsidRDefault="002316D8" w:rsidP="00AB3D40">
            <w:pPr>
              <w:pStyle w:val="Tablecolumnheading-inkblue"/>
              <w:rPr>
                <w:color w:val="FFFFFF" w:themeColor="background1"/>
              </w:rPr>
            </w:pPr>
            <w:r>
              <w:rPr>
                <w:color w:val="FFFFFF" w:themeColor="background1"/>
              </w:rPr>
              <w:t>Turnover</w:t>
            </w:r>
          </w:p>
        </w:tc>
        <w:tc>
          <w:tcPr>
            <w:tcW w:w="1061" w:type="pct"/>
            <w:vAlign w:val="top"/>
          </w:tcPr>
          <w:p w14:paraId="456DBBA1" w14:textId="3438DD25" w:rsidR="002316D8" w:rsidRPr="00B21B8A" w:rsidRDefault="00B217EC" w:rsidP="00AB3D40">
            <w:pPr>
              <w:pStyle w:val="Tablecolumnheading-inkblue"/>
              <w:jc w:val="right"/>
              <w:rPr>
                <w:color w:val="FFFFFF" w:themeColor="background1"/>
              </w:rPr>
            </w:pPr>
            <w:r>
              <w:rPr>
                <w:color w:val="FFFFFF" w:themeColor="background1"/>
              </w:rPr>
              <w:t>Year before the pandemic</w:t>
            </w:r>
          </w:p>
        </w:tc>
        <w:tc>
          <w:tcPr>
            <w:tcW w:w="1062" w:type="pct"/>
            <w:vAlign w:val="top"/>
          </w:tcPr>
          <w:p w14:paraId="1DC3F551" w14:textId="4D776D73" w:rsidR="002316D8" w:rsidRPr="002316D8" w:rsidRDefault="00B217EC" w:rsidP="00AB3D40">
            <w:pPr>
              <w:pStyle w:val="Tablecolumnheading-inkblue"/>
              <w:jc w:val="right"/>
              <w:rPr>
                <w:color w:val="FFFFFF" w:themeColor="background1"/>
              </w:rPr>
            </w:pPr>
            <w:r>
              <w:rPr>
                <w:color w:val="FFFFFF" w:themeColor="background1"/>
              </w:rPr>
              <w:t>First year of pandemic</w:t>
            </w:r>
          </w:p>
        </w:tc>
        <w:tc>
          <w:tcPr>
            <w:tcW w:w="1062" w:type="pct"/>
            <w:vAlign w:val="top"/>
          </w:tcPr>
          <w:p w14:paraId="01A6F880" w14:textId="15CD5475" w:rsidR="002316D8" w:rsidRPr="002316D8" w:rsidRDefault="00B217EC" w:rsidP="00AB3D40">
            <w:pPr>
              <w:pStyle w:val="Tablecolumnheading-inkblue"/>
              <w:jc w:val="right"/>
              <w:rPr>
                <w:color w:val="FFFFFF" w:themeColor="background1"/>
              </w:rPr>
            </w:pPr>
            <w:r>
              <w:rPr>
                <w:color w:val="FFFFFF" w:themeColor="background1"/>
              </w:rPr>
              <w:t>Latest financial year</w:t>
            </w:r>
          </w:p>
        </w:tc>
      </w:tr>
      <w:tr w:rsidR="002316D8" w:rsidRPr="00B21B8A" w14:paraId="43B7904B" w14:textId="77777777"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12"/>
        </w:trPr>
        <w:tc>
          <w:tcPr>
            <w:tcW w:w="1816" w:type="pct"/>
            <w:vAlign w:val="top"/>
          </w:tcPr>
          <w:p w14:paraId="49388AAF" w14:textId="77777777" w:rsidR="002316D8" w:rsidRPr="00B21B8A" w:rsidRDefault="002316D8" w:rsidP="002316D8">
            <w:pPr>
              <w:pStyle w:val="Tabletext"/>
            </w:pPr>
            <w:r w:rsidRPr="007328D5">
              <w:t>Less than £100,000</w:t>
            </w:r>
          </w:p>
        </w:tc>
        <w:tc>
          <w:tcPr>
            <w:tcW w:w="1061" w:type="pct"/>
            <w:vAlign w:val="top"/>
          </w:tcPr>
          <w:p w14:paraId="192D3EDB" w14:textId="54084137" w:rsidR="002316D8" w:rsidRPr="00B21B8A" w:rsidRDefault="002316D8" w:rsidP="002316D8">
            <w:pPr>
              <w:pStyle w:val="Tabletext"/>
              <w:jc w:val="right"/>
            </w:pPr>
            <w:r w:rsidRPr="0041315C">
              <w:t>10%</w:t>
            </w:r>
          </w:p>
        </w:tc>
        <w:tc>
          <w:tcPr>
            <w:tcW w:w="1062" w:type="pct"/>
            <w:vAlign w:val="top"/>
          </w:tcPr>
          <w:p w14:paraId="77D124E2" w14:textId="271ED249" w:rsidR="002316D8" w:rsidRPr="00B21B8A" w:rsidRDefault="002316D8" w:rsidP="002316D8">
            <w:pPr>
              <w:pStyle w:val="Tabletext"/>
              <w:jc w:val="right"/>
              <w:rPr>
                <w:bCs/>
              </w:rPr>
            </w:pPr>
            <w:r w:rsidRPr="0041315C">
              <w:t>8%</w:t>
            </w:r>
          </w:p>
        </w:tc>
        <w:tc>
          <w:tcPr>
            <w:tcW w:w="1062" w:type="pct"/>
            <w:vAlign w:val="top"/>
          </w:tcPr>
          <w:p w14:paraId="2D80DD53" w14:textId="20F7DF19" w:rsidR="002316D8" w:rsidRPr="007328D5" w:rsidRDefault="002316D8" w:rsidP="002316D8">
            <w:pPr>
              <w:pStyle w:val="Tabletext"/>
              <w:jc w:val="right"/>
            </w:pPr>
            <w:r w:rsidRPr="0041315C">
              <w:t>4%</w:t>
            </w:r>
          </w:p>
        </w:tc>
      </w:tr>
      <w:tr w:rsidR="002316D8" w:rsidRPr="00B21B8A" w14:paraId="04CA936A" w14:textId="77777777" w:rsidTr="00B217EC">
        <w:tblPrEx>
          <w:tblCellMar>
            <w:left w:w="108" w:type="dxa"/>
            <w:right w:w="108" w:type="dxa"/>
          </w:tblCellMar>
        </w:tblPrEx>
        <w:trPr>
          <w:trHeight w:val="530"/>
        </w:trPr>
        <w:tc>
          <w:tcPr>
            <w:tcW w:w="1816" w:type="pct"/>
            <w:vAlign w:val="top"/>
          </w:tcPr>
          <w:p w14:paraId="74277099" w14:textId="77777777" w:rsidR="002316D8" w:rsidRPr="00B21B8A" w:rsidRDefault="002316D8" w:rsidP="002316D8">
            <w:pPr>
              <w:pStyle w:val="Tabletext"/>
            </w:pPr>
            <w:r w:rsidRPr="007328D5">
              <w:t>£100,000 - £250,000</w:t>
            </w:r>
          </w:p>
        </w:tc>
        <w:tc>
          <w:tcPr>
            <w:tcW w:w="1061" w:type="pct"/>
            <w:vAlign w:val="top"/>
          </w:tcPr>
          <w:p w14:paraId="2817983E" w14:textId="24378166" w:rsidR="002316D8" w:rsidRPr="00B21B8A" w:rsidRDefault="002316D8" w:rsidP="002316D8">
            <w:pPr>
              <w:pStyle w:val="Tabletext"/>
              <w:jc w:val="right"/>
            </w:pPr>
            <w:r w:rsidRPr="0041315C">
              <w:t>16%</w:t>
            </w:r>
          </w:p>
        </w:tc>
        <w:tc>
          <w:tcPr>
            <w:tcW w:w="1062" w:type="pct"/>
            <w:vAlign w:val="top"/>
          </w:tcPr>
          <w:p w14:paraId="2C384357" w14:textId="48285E2D" w:rsidR="002316D8" w:rsidRPr="00B21B8A" w:rsidRDefault="002316D8" w:rsidP="002316D8">
            <w:pPr>
              <w:pStyle w:val="Tabletext"/>
              <w:jc w:val="right"/>
              <w:rPr>
                <w:bCs/>
              </w:rPr>
            </w:pPr>
            <w:r w:rsidRPr="0041315C">
              <w:t>19%</w:t>
            </w:r>
          </w:p>
        </w:tc>
        <w:tc>
          <w:tcPr>
            <w:tcW w:w="1062" w:type="pct"/>
            <w:vAlign w:val="top"/>
          </w:tcPr>
          <w:p w14:paraId="057C18A8" w14:textId="71E8486A" w:rsidR="002316D8" w:rsidRPr="007328D5" w:rsidRDefault="002316D8" w:rsidP="002316D8">
            <w:pPr>
              <w:pStyle w:val="Tabletext"/>
              <w:jc w:val="right"/>
            </w:pPr>
            <w:r w:rsidRPr="0041315C">
              <w:t>16%</w:t>
            </w:r>
          </w:p>
        </w:tc>
      </w:tr>
      <w:tr w:rsidR="002316D8" w:rsidRPr="00B21B8A" w14:paraId="041CD7B9" w14:textId="77777777"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12"/>
        </w:trPr>
        <w:tc>
          <w:tcPr>
            <w:tcW w:w="1816" w:type="pct"/>
            <w:vAlign w:val="top"/>
          </w:tcPr>
          <w:p w14:paraId="6A860DB1" w14:textId="77777777" w:rsidR="002316D8" w:rsidRPr="00B21B8A" w:rsidRDefault="002316D8" w:rsidP="002316D8">
            <w:pPr>
              <w:pStyle w:val="Tabletext"/>
            </w:pPr>
            <w:r w:rsidRPr="007328D5">
              <w:t>£250,000 - £500,000</w:t>
            </w:r>
          </w:p>
        </w:tc>
        <w:tc>
          <w:tcPr>
            <w:tcW w:w="1061" w:type="pct"/>
            <w:vAlign w:val="top"/>
          </w:tcPr>
          <w:p w14:paraId="33C82461" w14:textId="60E62EDE" w:rsidR="002316D8" w:rsidRPr="00B21B8A" w:rsidRDefault="002316D8" w:rsidP="002316D8">
            <w:pPr>
              <w:pStyle w:val="Tabletext"/>
              <w:jc w:val="right"/>
            </w:pPr>
            <w:r w:rsidRPr="0041315C">
              <w:t>15%</w:t>
            </w:r>
          </w:p>
        </w:tc>
        <w:tc>
          <w:tcPr>
            <w:tcW w:w="1062" w:type="pct"/>
            <w:vAlign w:val="top"/>
          </w:tcPr>
          <w:p w14:paraId="2028785A" w14:textId="2CE46FFA" w:rsidR="002316D8" w:rsidRPr="00B21B8A" w:rsidRDefault="002316D8" w:rsidP="002316D8">
            <w:pPr>
              <w:pStyle w:val="Tabletext"/>
              <w:jc w:val="right"/>
              <w:rPr>
                <w:bCs/>
              </w:rPr>
            </w:pPr>
            <w:r w:rsidRPr="0041315C">
              <w:t>20%</w:t>
            </w:r>
          </w:p>
        </w:tc>
        <w:tc>
          <w:tcPr>
            <w:tcW w:w="1062" w:type="pct"/>
            <w:vAlign w:val="top"/>
          </w:tcPr>
          <w:p w14:paraId="4B9DE9BD" w14:textId="27AFFDB1" w:rsidR="002316D8" w:rsidRPr="007328D5" w:rsidRDefault="002316D8" w:rsidP="002316D8">
            <w:pPr>
              <w:pStyle w:val="Tabletext"/>
              <w:jc w:val="right"/>
            </w:pPr>
            <w:r w:rsidRPr="0041315C">
              <w:t>17%</w:t>
            </w:r>
          </w:p>
        </w:tc>
      </w:tr>
      <w:tr w:rsidR="002316D8" w:rsidRPr="00B21B8A" w14:paraId="340B99BE" w14:textId="77777777" w:rsidTr="00B217EC">
        <w:tblPrEx>
          <w:tblCellMar>
            <w:left w:w="108" w:type="dxa"/>
            <w:right w:w="108" w:type="dxa"/>
          </w:tblCellMar>
        </w:tblPrEx>
        <w:trPr>
          <w:trHeight w:val="530"/>
        </w:trPr>
        <w:tc>
          <w:tcPr>
            <w:tcW w:w="1816" w:type="pct"/>
            <w:vAlign w:val="top"/>
          </w:tcPr>
          <w:p w14:paraId="618C8270" w14:textId="77777777" w:rsidR="002316D8" w:rsidRPr="00B21B8A" w:rsidRDefault="002316D8" w:rsidP="002316D8">
            <w:pPr>
              <w:pStyle w:val="Tabletext"/>
            </w:pPr>
            <w:r w:rsidRPr="007328D5">
              <w:t>£500,000 - £1 million</w:t>
            </w:r>
          </w:p>
        </w:tc>
        <w:tc>
          <w:tcPr>
            <w:tcW w:w="1061" w:type="pct"/>
            <w:vAlign w:val="top"/>
          </w:tcPr>
          <w:p w14:paraId="6674DF4C" w14:textId="2A1E012F" w:rsidR="002316D8" w:rsidRPr="00B21B8A" w:rsidRDefault="002316D8" w:rsidP="002316D8">
            <w:pPr>
              <w:pStyle w:val="Tabletext"/>
              <w:jc w:val="right"/>
            </w:pPr>
            <w:r w:rsidRPr="0041315C">
              <w:t>21%</w:t>
            </w:r>
          </w:p>
        </w:tc>
        <w:tc>
          <w:tcPr>
            <w:tcW w:w="1062" w:type="pct"/>
            <w:vAlign w:val="top"/>
          </w:tcPr>
          <w:p w14:paraId="2CA753EE" w14:textId="59ADA0C9" w:rsidR="002316D8" w:rsidRPr="00B21B8A" w:rsidRDefault="002316D8" w:rsidP="002316D8">
            <w:pPr>
              <w:pStyle w:val="Tabletext"/>
              <w:jc w:val="right"/>
              <w:rPr>
                <w:bCs/>
              </w:rPr>
            </w:pPr>
            <w:r w:rsidRPr="0041315C">
              <w:t>23%</w:t>
            </w:r>
          </w:p>
        </w:tc>
        <w:tc>
          <w:tcPr>
            <w:tcW w:w="1062" w:type="pct"/>
            <w:vAlign w:val="top"/>
          </w:tcPr>
          <w:p w14:paraId="2A4BABD3" w14:textId="55DB2143" w:rsidR="002316D8" w:rsidRPr="007328D5" w:rsidRDefault="002316D8" w:rsidP="002316D8">
            <w:pPr>
              <w:pStyle w:val="Tabletext"/>
              <w:jc w:val="right"/>
            </w:pPr>
            <w:r w:rsidRPr="0041315C">
              <w:t>19%</w:t>
            </w:r>
          </w:p>
        </w:tc>
      </w:tr>
      <w:tr w:rsidR="002316D8" w:rsidRPr="00B21B8A" w14:paraId="00F793DA" w14:textId="77777777"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12"/>
        </w:trPr>
        <w:tc>
          <w:tcPr>
            <w:tcW w:w="1816" w:type="pct"/>
            <w:vAlign w:val="top"/>
          </w:tcPr>
          <w:p w14:paraId="3C15CA91" w14:textId="77777777" w:rsidR="002316D8" w:rsidRPr="00B21B8A" w:rsidRDefault="002316D8" w:rsidP="002316D8">
            <w:pPr>
              <w:pStyle w:val="Tabletext"/>
            </w:pPr>
            <w:r w:rsidRPr="007328D5">
              <w:t>£1 million - £5 million</w:t>
            </w:r>
          </w:p>
        </w:tc>
        <w:tc>
          <w:tcPr>
            <w:tcW w:w="1061" w:type="pct"/>
            <w:vAlign w:val="top"/>
          </w:tcPr>
          <w:p w14:paraId="2B08ED86" w14:textId="2869EA97" w:rsidR="002316D8" w:rsidRPr="00B21B8A" w:rsidRDefault="002316D8" w:rsidP="002316D8">
            <w:pPr>
              <w:pStyle w:val="Tabletext"/>
              <w:jc w:val="right"/>
            </w:pPr>
            <w:r w:rsidRPr="0041315C">
              <w:t>23%</w:t>
            </w:r>
          </w:p>
        </w:tc>
        <w:tc>
          <w:tcPr>
            <w:tcW w:w="1062" w:type="pct"/>
            <w:vAlign w:val="top"/>
          </w:tcPr>
          <w:p w14:paraId="108D0726" w14:textId="3C3FDF4A" w:rsidR="002316D8" w:rsidRPr="00B21B8A" w:rsidRDefault="002316D8" w:rsidP="002316D8">
            <w:pPr>
              <w:pStyle w:val="Tabletext"/>
              <w:jc w:val="right"/>
              <w:rPr>
                <w:bCs/>
              </w:rPr>
            </w:pPr>
            <w:r w:rsidRPr="0041315C">
              <w:t>18%</w:t>
            </w:r>
          </w:p>
        </w:tc>
        <w:tc>
          <w:tcPr>
            <w:tcW w:w="1062" w:type="pct"/>
            <w:vAlign w:val="top"/>
          </w:tcPr>
          <w:p w14:paraId="0D57EBA3" w14:textId="53C3113B" w:rsidR="002316D8" w:rsidRPr="007328D5" w:rsidRDefault="002316D8" w:rsidP="002316D8">
            <w:pPr>
              <w:pStyle w:val="Tabletext"/>
              <w:jc w:val="right"/>
            </w:pPr>
            <w:r w:rsidRPr="0041315C">
              <w:t>30%</w:t>
            </w:r>
          </w:p>
        </w:tc>
      </w:tr>
      <w:tr w:rsidR="002316D8" w:rsidRPr="00B21B8A" w14:paraId="724243B8" w14:textId="77777777" w:rsidTr="00B217EC">
        <w:tblPrEx>
          <w:tblCellMar>
            <w:left w:w="108" w:type="dxa"/>
            <w:right w:w="108" w:type="dxa"/>
          </w:tblCellMar>
        </w:tblPrEx>
        <w:trPr>
          <w:trHeight w:val="530"/>
        </w:trPr>
        <w:tc>
          <w:tcPr>
            <w:tcW w:w="1816" w:type="pct"/>
            <w:vAlign w:val="top"/>
          </w:tcPr>
          <w:p w14:paraId="34EFB82F" w14:textId="77777777" w:rsidR="002316D8" w:rsidRPr="00B21B8A" w:rsidRDefault="002316D8" w:rsidP="002316D8">
            <w:pPr>
              <w:pStyle w:val="Tabletext"/>
            </w:pPr>
            <w:r w:rsidRPr="007328D5">
              <w:t>£5 million or more</w:t>
            </w:r>
          </w:p>
        </w:tc>
        <w:tc>
          <w:tcPr>
            <w:tcW w:w="1061" w:type="pct"/>
            <w:vAlign w:val="top"/>
          </w:tcPr>
          <w:p w14:paraId="6B79C06F" w14:textId="2280A342" w:rsidR="002316D8" w:rsidRPr="00B21B8A" w:rsidRDefault="002316D8" w:rsidP="002316D8">
            <w:pPr>
              <w:pStyle w:val="Tabletext"/>
              <w:jc w:val="right"/>
            </w:pPr>
            <w:r w:rsidRPr="0041315C">
              <w:t>8%</w:t>
            </w:r>
          </w:p>
        </w:tc>
        <w:tc>
          <w:tcPr>
            <w:tcW w:w="1062" w:type="pct"/>
            <w:vAlign w:val="top"/>
          </w:tcPr>
          <w:p w14:paraId="38D8541B" w14:textId="7A057EF2" w:rsidR="002316D8" w:rsidRPr="00B21B8A" w:rsidRDefault="002316D8" w:rsidP="002316D8">
            <w:pPr>
              <w:pStyle w:val="Tabletext"/>
              <w:jc w:val="right"/>
              <w:rPr>
                <w:bCs/>
              </w:rPr>
            </w:pPr>
            <w:r w:rsidRPr="0041315C">
              <w:t>8%</w:t>
            </w:r>
          </w:p>
        </w:tc>
        <w:tc>
          <w:tcPr>
            <w:tcW w:w="1062" w:type="pct"/>
            <w:vAlign w:val="top"/>
          </w:tcPr>
          <w:p w14:paraId="5E1F4FB9" w14:textId="2A3134FA" w:rsidR="002316D8" w:rsidRPr="007328D5" w:rsidRDefault="002316D8" w:rsidP="002316D8">
            <w:pPr>
              <w:pStyle w:val="Tabletext"/>
              <w:jc w:val="right"/>
            </w:pPr>
            <w:r w:rsidRPr="0041315C">
              <w:t>10%</w:t>
            </w:r>
          </w:p>
        </w:tc>
      </w:tr>
      <w:tr w:rsidR="002316D8" w:rsidRPr="00B21B8A" w14:paraId="25803E1C" w14:textId="77777777"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12"/>
        </w:trPr>
        <w:tc>
          <w:tcPr>
            <w:tcW w:w="1816" w:type="pct"/>
            <w:tcBorders>
              <w:bottom w:val="single" w:sz="4" w:space="0" w:color="0054BA" w:themeColor="accent2"/>
            </w:tcBorders>
            <w:vAlign w:val="top"/>
          </w:tcPr>
          <w:p w14:paraId="732CF00A" w14:textId="77777777" w:rsidR="002316D8" w:rsidRPr="00B21B8A" w:rsidRDefault="002316D8" w:rsidP="002316D8">
            <w:pPr>
              <w:pStyle w:val="Tabletext"/>
            </w:pPr>
            <w:r w:rsidRPr="007328D5">
              <w:t>Unknown</w:t>
            </w:r>
          </w:p>
        </w:tc>
        <w:tc>
          <w:tcPr>
            <w:tcW w:w="1061" w:type="pct"/>
            <w:tcBorders>
              <w:bottom w:val="single" w:sz="4" w:space="0" w:color="0054BA" w:themeColor="accent2"/>
            </w:tcBorders>
            <w:vAlign w:val="top"/>
          </w:tcPr>
          <w:p w14:paraId="1E0195C3" w14:textId="2F2BA46E" w:rsidR="002316D8" w:rsidRPr="00B21B8A" w:rsidRDefault="002316D8" w:rsidP="002316D8">
            <w:pPr>
              <w:pStyle w:val="Tabletext"/>
              <w:jc w:val="right"/>
            </w:pPr>
            <w:r w:rsidRPr="0041315C">
              <w:t>7%</w:t>
            </w:r>
          </w:p>
        </w:tc>
        <w:tc>
          <w:tcPr>
            <w:tcW w:w="1062" w:type="pct"/>
            <w:tcBorders>
              <w:bottom w:val="single" w:sz="4" w:space="0" w:color="0054BA" w:themeColor="accent2"/>
            </w:tcBorders>
            <w:vAlign w:val="top"/>
          </w:tcPr>
          <w:p w14:paraId="3DDB237F" w14:textId="68BB7DD4" w:rsidR="002316D8" w:rsidRPr="00B21B8A" w:rsidRDefault="002316D8" w:rsidP="002316D8">
            <w:pPr>
              <w:pStyle w:val="Tabletext"/>
              <w:jc w:val="right"/>
              <w:rPr>
                <w:bCs/>
              </w:rPr>
            </w:pPr>
            <w:r w:rsidRPr="0041315C">
              <w:t>4%</w:t>
            </w:r>
          </w:p>
        </w:tc>
        <w:tc>
          <w:tcPr>
            <w:tcW w:w="1062" w:type="pct"/>
            <w:tcBorders>
              <w:bottom w:val="single" w:sz="4" w:space="0" w:color="0054BA" w:themeColor="accent2"/>
            </w:tcBorders>
            <w:vAlign w:val="top"/>
          </w:tcPr>
          <w:p w14:paraId="1AED87D2" w14:textId="07BEDB69" w:rsidR="002316D8" w:rsidRPr="007328D5" w:rsidRDefault="002316D8" w:rsidP="002316D8">
            <w:pPr>
              <w:pStyle w:val="Tabletext"/>
              <w:jc w:val="right"/>
            </w:pPr>
            <w:r w:rsidRPr="0041315C">
              <w:t>3%</w:t>
            </w:r>
          </w:p>
        </w:tc>
      </w:tr>
    </w:tbl>
    <w:p w14:paraId="43DB8233" w14:textId="24BFE52A" w:rsidR="002316D8" w:rsidRPr="00D0457A" w:rsidRDefault="002316D8" w:rsidP="002316D8">
      <w:pPr>
        <w:pStyle w:val="Caption"/>
      </w:pPr>
      <w:r w:rsidRPr="00D0457A">
        <w:t xml:space="preserve">Base: All RLS </w:t>
      </w:r>
      <w:r w:rsidR="002B18A5">
        <w:t xml:space="preserve">1.0 </w:t>
      </w:r>
      <w:r w:rsidRPr="00D0457A">
        <w:t>borrowers (242). Source: London Economics’ and Ipsos’ analysis of survey data</w:t>
      </w:r>
    </w:p>
    <w:p w14:paraId="3D69EC08" w14:textId="7C017201" w:rsidR="006A3362" w:rsidRPr="00D0457A" w:rsidRDefault="006A3362" w:rsidP="006A3362">
      <w:pPr>
        <w:pStyle w:val="Heading5"/>
      </w:pPr>
      <w:bookmarkStart w:id="124" w:name="_Ref151988072"/>
      <w:r w:rsidRPr="00D0457A">
        <w:t xml:space="preserve">Table </w:t>
      </w:r>
      <w:r w:rsidRPr="00D0457A">
        <w:fldChar w:fldCharType="begin"/>
      </w:r>
      <w:r w:rsidRPr="00D0457A">
        <w:instrText>SEQ Table \* ARABIC</w:instrText>
      </w:r>
      <w:r w:rsidRPr="00D0457A">
        <w:fldChar w:fldCharType="separate"/>
      </w:r>
      <w:r w:rsidR="001525E9">
        <w:rPr>
          <w:noProof/>
        </w:rPr>
        <w:t>18</w:t>
      </w:r>
      <w:r w:rsidRPr="00D0457A">
        <w:fldChar w:fldCharType="end"/>
      </w:r>
      <w:bookmarkEnd w:id="123"/>
      <w:bookmarkEnd w:id="124"/>
      <w:r w:rsidRPr="00D0457A">
        <w:t xml:space="preserve">: Turnover </w:t>
      </w:r>
      <w:r w:rsidR="002316D8">
        <w:t>–</w:t>
      </w:r>
      <w:r w:rsidRPr="00D0457A">
        <w:t xml:space="preserve"> </w:t>
      </w:r>
      <w:r w:rsidR="002316D8">
        <w:t>non-b</w:t>
      </w:r>
      <w:r w:rsidR="00B4158C" w:rsidRPr="00D0457A">
        <w:t>orrowers</w:t>
      </w:r>
    </w:p>
    <w:tbl>
      <w:tblPr>
        <w:tblStyle w:val="TableGrid"/>
        <w:tblW w:w="5000" w:type="pct"/>
        <w:tblLayout w:type="fixed"/>
        <w:tblLook w:val="04A0" w:firstRow="1" w:lastRow="0" w:firstColumn="1" w:lastColumn="0" w:noHBand="0" w:noVBand="1"/>
        <w:tblCaption w:val="Turnover"/>
        <w:tblDescription w:val="Turnover in most recent financial year"/>
      </w:tblPr>
      <w:tblGrid>
        <w:gridCol w:w="3685"/>
        <w:gridCol w:w="2157"/>
        <w:gridCol w:w="2157"/>
        <w:gridCol w:w="2155"/>
      </w:tblGrid>
      <w:tr w:rsidR="00B217EC" w:rsidRPr="00B21B8A" w14:paraId="4A24677B" w14:textId="5BB5070B" w:rsidTr="00B217EC">
        <w:trPr>
          <w:cnfStyle w:val="100000000000" w:firstRow="1" w:lastRow="0" w:firstColumn="0" w:lastColumn="0" w:oddVBand="0" w:evenVBand="0" w:oddHBand="0" w:evenHBand="0" w:firstRowFirstColumn="0" w:firstRowLastColumn="0" w:lastRowFirstColumn="0" w:lastRowLastColumn="0"/>
          <w:trHeight w:val="530"/>
          <w:tblHeader/>
        </w:trPr>
        <w:tc>
          <w:tcPr>
            <w:tcW w:w="1815" w:type="pct"/>
            <w:vAlign w:val="center"/>
          </w:tcPr>
          <w:p w14:paraId="2390C141" w14:textId="1C8C9E54" w:rsidR="00B217EC" w:rsidRPr="00B21B8A" w:rsidRDefault="00B217EC" w:rsidP="00B217EC">
            <w:pPr>
              <w:pStyle w:val="Tablecolumnheading-inkblue"/>
              <w:rPr>
                <w:color w:val="FFFFFF" w:themeColor="background1"/>
              </w:rPr>
            </w:pPr>
            <w:r>
              <w:rPr>
                <w:color w:val="FFFFFF" w:themeColor="background1"/>
              </w:rPr>
              <w:t>Turnover</w:t>
            </w:r>
          </w:p>
        </w:tc>
        <w:tc>
          <w:tcPr>
            <w:tcW w:w="1062" w:type="pct"/>
            <w:vAlign w:val="top"/>
          </w:tcPr>
          <w:p w14:paraId="0352A5FF" w14:textId="730123C9" w:rsidR="00B217EC" w:rsidRPr="00B21B8A" w:rsidRDefault="00B217EC" w:rsidP="00B217EC">
            <w:pPr>
              <w:pStyle w:val="Tablecolumnheading-inkblue"/>
              <w:jc w:val="right"/>
              <w:rPr>
                <w:color w:val="FFFFFF" w:themeColor="background1"/>
              </w:rPr>
            </w:pPr>
            <w:r>
              <w:rPr>
                <w:color w:val="FFFFFF" w:themeColor="background1"/>
              </w:rPr>
              <w:t>Year before the pandemic</w:t>
            </w:r>
          </w:p>
        </w:tc>
        <w:tc>
          <w:tcPr>
            <w:tcW w:w="1062" w:type="pct"/>
            <w:vAlign w:val="top"/>
          </w:tcPr>
          <w:p w14:paraId="14B6D0C6" w14:textId="1BDF2AE1" w:rsidR="00B217EC" w:rsidRPr="002316D8" w:rsidRDefault="00B217EC" w:rsidP="00B217EC">
            <w:pPr>
              <w:pStyle w:val="Tablecolumnheading-inkblue"/>
              <w:jc w:val="right"/>
              <w:rPr>
                <w:color w:val="FFFFFF" w:themeColor="background1"/>
              </w:rPr>
            </w:pPr>
            <w:r>
              <w:rPr>
                <w:color w:val="FFFFFF" w:themeColor="background1"/>
              </w:rPr>
              <w:t>First year of pandemic</w:t>
            </w:r>
          </w:p>
        </w:tc>
        <w:tc>
          <w:tcPr>
            <w:tcW w:w="1062" w:type="pct"/>
            <w:vAlign w:val="top"/>
          </w:tcPr>
          <w:p w14:paraId="4ADC0571" w14:textId="5A9D76AD" w:rsidR="00B217EC" w:rsidRPr="002316D8" w:rsidRDefault="00B217EC" w:rsidP="00B217EC">
            <w:pPr>
              <w:pStyle w:val="Tablecolumnheading-inkblue"/>
              <w:jc w:val="right"/>
              <w:rPr>
                <w:color w:val="FFFFFF" w:themeColor="background1"/>
              </w:rPr>
            </w:pPr>
            <w:r>
              <w:rPr>
                <w:color w:val="FFFFFF" w:themeColor="background1"/>
              </w:rPr>
              <w:t>Latest financial year</w:t>
            </w:r>
          </w:p>
        </w:tc>
      </w:tr>
      <w:tr w:rsidR="002316D8" w:rsidRPr="00B21B8A" w14:paraId="451BFFD3" w14:textId="75C98EB9"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12"/>
        </w:trPr>
        <w:tc>
          <w:tcPr>
            <w:tcW w:w="1815" w:type="pct"/>
            <w:vAlign w:val="top"/>
          </w:tcPr>
          <w:p w14:paraId="71A2BFE2" w14:textId="30ADEAE9" w:rsidR="002316D8" w:rsidRPr="00B21B8A" w:rsidRDefault="002316D8" w:rsidP="002316D8">
            <w:pPr>
              <w:pStyle w:val="Tabletext"/>
            </w:pPr>
            <w:r w:rsidRPr="007328D5">
              <w:t>Less than £100,000</w:t>
            </w:r>
          </w:p>
        </w:tc>
        <w:tc>
          <w:tcPr>
            <w:tcW w:w="1062" w:type="pct"/>
            <w:vAlign w:val="top"/>
          </w:tcPr>
          <w:p w14:paraId="0BA83804" w14:textId="129555A2" w:rsidR="002316D8" w:rsidRPr="00B21B8A" w:rsidRDefault="002316D8" w:rsidP="002316D8">
            <w:pPr>
              <w:pStyle w:val="Tabletext"/>
              <w:jc w:val="right"/>
            </w:pPr>
            <w:r w:rsidRPr="00802666">
              <w:t>7%</w:t>
            </w:r>
          </w:p>
        </w:tc>
        <w:tc>
          <w:tcPr>
            <w:tcW w:w="1062" w:type="pct"/>
            <w:vAlign w:val="top"/>
          </w:tcPr>
          <w:p w14:paraId="4F79AF1E" w14:textId="3A0BF001" w:rsidR="002316D8" w:rsidRPr="00B21B8A" w:rsidRDefault="002316D8" w:rsidP="002316D8">
            <w:pPr>
              <w:pStyle w:val="Tabletext"/>
              <w:jc w:val="right"/>
              <w:rPr>
                <w:bCs/>
              </w:rPr>
            </w:pPr>
            <w:r w:rsidRPr="00802666">
              <w:t>10%</w:t>
            </w:r>
          </w:p>
        </w:tc>
        <w:tc>
          <w:tcPr>
            <w:tcW w:w="1062" w:type="pct"/>
            <w:vAlign w:val="top"/>
          </w:tcPr>
          <w:p w14:paraId="507544C5" w14:textId="4D2411AE" w:rsidR="002316D8" w:rsidRPr="007328D5" w:rsidRDefault="002316D8" w:rsidP="002316D8">
            <w:pPr>
              <w:pStyle w:val="Tabletext"/>
              <w:jc w:val="right"/>
            </w:pPr>
            <w:r w:rsidRPr="00802666">
              <w:t>4%</w:t>
            </w:r>
          </w:p>
        </w:tc>
      </w:tr>
      <w:tr w:rsidR="002316D8" w:rsidRPr="00B21B8A" w14:paraId="09EFCD8C" w14:textId="3DDC1342" w:rsidTr="00B217EC">
        <w:tblPrEx>
          <w:tblCellMar>
            <w:left w:w="108" w:type="dxa"/>
            <w:right w:w="108" w:type="dxa"/>
          </w:tblCellMar>
        </w:tblPrEx>
        <w:trPr>
          <w:trHeight w:val="530"/>
        </w:trPr>
        <w:tc>
          <w:tcPr>
            <w:tcW w:w="1815" w:type="pct"/>
            <w:vAlign w:val="top"/>
          </w:tcPr>
          <w:p w14:paraId="5E32212F" w14:textId="4740C8C0" w:rsidR="002316D8" w:rsidRPr="00B21B8A" w:rsidRDefault="002316D8" w:rsidP="002316D8">
            <w:pPr>
              <w:pStyle w:val="Tabletext"/>
            </w:pPr>
            <w:r w:rsidRPr="007328D5">
              <w:t>£100,000 - £250,000</w:t>
            </w:r>
          </w:p>
        </w:tc>
        <w:tc>
          <w:tcPr>
            <w:tcW w:w="1062" w:type="pct"/>
            <w:vAlign w:val="top"/>
          </w:tcPr>
          <w:p w14:paraId="442FF89E" w14:textId="1F36C24B" w:rsidR="002316D8" w:rsidRPr="00B21B8A" w:rsidRDefault="002316D8" w:rsidP="002316D8">
            <w:pPr>
              <w:pStyle w:val="Tabletext"/>
              <w:jc w:val="right"/>
            </w:pPr>
            <w:r w:rsidRPr="00802666">
              <w:t>16%</w:t>
            </w:r>
          </w:p>
        </w:tc>
        <w:tc>
          <w:tcPr>
            <w:tcW w:w="1062" w:type="pct"/>
            <w:vAlign w:val="top"/>
          </w:tcPr>
          <w:p w14:paraId="7F61987E" w14:textId="32BAD2F1" w:rsidR="002316D8" w:rsidRPr="00B21B8A" w:rsidRDefault="002316D8" w:rsidP="002316D8">
            <w:pPr>
              <w:pStyle w:val="Tabletext"/>
              <w:jc w:val="right"/>
              <w:rPr>
                <w:bCs/>
              </w:rPr>
            </w:pPr>
            <w:r w:rsidRPr="00802666">
              <w:t>17%</w:t>
            </w:r>
          </w:p>
        </w:tc>
        <w:tc>
          <w:tcPr>
            <w:tcW w:w="1062" w:type="pct"/>
            <w:vAlign w:val="top"/>
          </w:tcPr>
          <w:p w14:paraId="3EDB8EB6" w14:textId="2F7F340E" w:rsidR="002316D8" w:rsidRPr="007328D5" w:rsidRDefault="002316D8" w:rsidP="002316D8">
            <w:pPr>
              <w:pStyle w:val="Tabletext"/>
              <w:jc w:val="right"/>
            </w:pPr>
            <w:r w:rsidRPr="00802666">
              <w:t>16%</w:t>
            </w:r>
          </w:p>
        </w:tc>
      </w:tr>
      <w:tr w:rsidR="002316D8" w:rsidRPr="00B21B8A" w14:paraId="16742A7E" w14:textId="07FEBDC1"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12"/>
        </w:trPr>
        <w:tc>
          <w:tcPr>
            <w:tcW w:w="1815" w:type="pct"/>
            <w:vAlign w:val="top"/>
          </w:tcPr>
          <w:p w14:paraId="4FAD234A" w14:textId="50D87B0D" w:rsidR="002316D8" w:rsidRPr="00B21B8A" w:rsidRDefault="002316D8" w:rsidP="002316D8">
            <w:pPr>
              <w:pStyle w:val="Tabletext"/>
            </w:pPr>
            <w:r w:rsidRPr="007328D5">
              <w:t>£250,000 - £500,000</w:t>
            </w:r>
          </w:p>
        </w:tc>
        <w:tc>
          <w:tcPr>
            <w:tcW w:w="1062" w:type="pct"/>
            <w:vAlign w:val="top"/>
          </w:tcPr>
          <w:p w14:paraId="402FA6E6" w14:textId="24F9B45D" w:rsidR="002316D8" w:rsidRPr="00B21B8A" w:rsidRDefault="002316D8" w:rsidP="002316D8">
            <w:pPr>
              <w:pStyle w:val="Tabletext"/>
              <w:jc w:val="right"/>
            </w:pPr>
            <w:r w:rsidRPr="00802666">
              <w:t>11%</w:t>
            </w:r>
          </w:p>
        </w:tc>
        <w:tc>
          <w:tcPr>
            <w:tcW w:w="1062" w:type="pct"/>
            <w:vAlign w:val="top"/>
          </w:tcPr>
          <w:p w14:paraId="7F22974C" w14:textId="163EA323" w:rsidR="002316D8" w:rsidRPr="00B21B8A" w:rsidRDefault="002316D8" w:rsidP="002316D8">
            <w:pPr>
              <w:pStyle w:val="Tabletext"/>
              <w:jc w:val="right"/>
              <w:rPr>
                <w:bCs/>
              </w:rPr>
            </w:pPr>
            <w:r w:rsidRPr="00802666">
              <w:t>12%</w:t>
            </w:r>
          </w:p>
        </w:tc>
        <w:tc>
          <w:tcPr>
            <w:tcW w:w="1062" w:type="pct"/>
            <w:vAlign w:val="top"/>
          </w:tcPr>
          <w:p w14:paraId="52C23C3A" w14:textId="6BB11DFD" w:rsidR="002316D8" w:rsidRPr="007328D5" w:rsidRDefault="002316D8" w:rsidP="002316D8">
            <w:pPr>
              <w:pStyle w:val="Tabletext"/>
              <w:jc w:val="right"/>
            </w:pPr>
            <w:r w:rsidRPr="00802666">
              <w:t>16%</w:t>
            </w:r>
          </w:p>
        </w:tc>
      </w:tr>
      <w:tr w:rsidR="002316D8" w:rsidRPr="00B21B8A" w14:paraId="0B5040EC" w14:textId="008D4FDF" w:rsidTr="00B217EC">
        <w:tblPrEx>
          <w:tblCellMar>
            <w:left w:w="108" w:type="dxa"/>
            <w:right w:w="108" w:type="dxa"/>
          </w:tblCellMar>
        </w:tblPrEx>
        <w:trPr>
          <w:trHeight w:val="530"/>
        </w:trPr>
        <w:tc>
          <w:tcPr>
            <w:tcW w:w="1815" w:type="pct"/>
            <w:vAlign w:val="top"/>
          </w:tcPr>
          <w:p w14:paraId="018EEAF6" w14:textId="74A167EE" w:rsidR="002316D8" w:rsidRPr="00B21B8A" w:rsidRDefault="002316D8" w:rsidP="002316D8">
            <w:pPr>
              <w:pStyle w:val="Tabletext"/>
            </w:pPr>
            <w:r w:rsidRPr="007328D5">
              <w:t>£500,000 - £1 million</w:t>
            </w:r>
          </w:p>
        </w:tc>
        <w:tc>
          <w:tcPr>
            <w:tcW w:w="1062" w:type="pct"/>
            <w:vAlign w:val="top"/>
          </w:tcPr>
          <w:p w14:paraId="62D881E8" w14:textId="7E18790A" w:rsidR="002316D8" w:rsidRPr="00B21B8A" w:rsidRDefault="002316D8" w:rsidP="002316D8">
            <w:pPr>
              <w:pStyle w:val="Tabletext"/>
              <w:jc w:val="right"/>
            </w:pPr>
            <w:r w:rsidRPr="00802666">
              <w:t>24%</w:t>
            </w:r>
          </w:p>
        </w:tc>
        <w:tc>
          <w:tcPr>
            <w:tcW w:w="1062" w:type="pct"/>
            <w:vAlign w:val="top"/>
          </w:tcPr>
          <w:p w14:paraId="26FC975F" w14:textId="6DA0C10A" w:rsidR="002316D8" w:rsidRPr="00B21B8A" w:rsidRDefault="002316D8" w:rsidP="002316D8">
            <w:pPr>
              <w:pStyle w:val="Tabletext"/>
              <w:jc w:val="right"/>
              <w:rPr>
                <w:bCs/>
              </w:rPr>
            </w:pPr>
            <w:r w:rsidRPr="00802666">
              <w:t>19%</w:t>
            </w:r>
          </w:p>
        </w:tc>
        <w:tc>
          <w:tcPr>
            <w:tcW w:w="1062" w:type="pct"/>
            <w:vAlign w:val="top"/>
          </w:tcPr>
          <w:p w14:paraId="483DC679" w14:textId="5433CFC4" w:rsidR="002316D8" w:rsidRPr="007328D5" w:rsidRDefault="002316D8" w:rsidP="002316D8">
            <w:pPr>
              <w:pStyle w:val="Tabletext"/>
              <w:jc w:val="right"/>
            </w:pPr>
            <w:r w:rsidRPr="00802666">
              <w:t>19%</w:t>
            </w:r>
          </w:p>
        </w:tc>
      </w:tr>
      <w:tr w:rsidR="002316D8" w:rsidRPr="00B21B8A" w14:paraId="0ABDC969" w14:textId="04F3ED19"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12"/>
        </w:trPr>
        <w:tc>
          <w:tcPr>
            <w:tcW w:w="1815" w:type="pct"/>
            <w:vAlign w:val="top"/>
          </w:tcPr>
          <w:p w14:paraId="20D76525" w14:textId="78AC5F60" w:rsidR="002316D8" w:rsidRPr="00B21B8A" w:rsidRDefault="002316D8" w:rsidP="002316D8">
            <w:pPr>
              <w:pStyle w:val="Tabletext"/>
            </w:pPr>
            <w:r w:rsidRPr="007328D5">
              <w:t>£1 million - £5 million</w:t>
            </w:r>
          </w:p>
        </w:tc>
        <w:tc>
          <w:tcPr>
            <w:tcW w:w="1062" w:type="pct"/>
            <w:vAlign w:val="top"/>
          </w:tcPr>
          <w:p w14:paraId="024FF3E4" w14:textId="0BEE4D13" w:rsidR="002316D8" w:rsidRPr="00B21B8A" w:rsidRDefault="002316D8" w:rsidP="002316D8">
            <w:pPr>
              <w:pStyle w:val="Tabletext"/>
              <w:jc w:val="right"/>
            </w:pPr>
            <w:r w:rsidRPr="00802666">
              <w:t>28%</w:t>
            </w:r>
          </w:p>
        </w:tc>
        <w:tc>
          <w:tcPr>
            <w:tcW w:w="1062" w:type="pct"/>
            <w:vAlign w:val="top"/>
          </w:tcPr>
          <w:p w14:paraId="504C3530" w14:textId="016AEA29" w:rsidR="002316D8" w:rsidRPr="00B21B8A" w:rsidRDefault="002316D8" w:rsidP="002316D8">
            <w:pPr>
              <w:pStyle w:val="Tabletext"/>
              <w:jc w:val="right"/>
              <w:rPr>
                <w:bCs/>
              </w:rPr>
            </w:pPr>
            <w:r w:rsidRPr="00802666">
              <w:t>28%</w:t>
            </w:r>
          </w:p>
        </w:tc>
        <w:tc>
          <w:tcPr>
            <w:tcW w:w="1062" w:type="pct"/>
            <w:vAlign w:val="top"/>
          </w:tcPr>
          <w:p w14:paraId="1CDB8E8F" w14:textId="5E6F636B" w:rsidR="002316D8" w:rsidRPr="007328D5" w:rsidRDefault="002316D8" w:rsidP="002316D8">
            <w:pPr>
              <w:pStyle w:val="Tabletext"/>
              <w:jc w:val="right"/>
            </w:pPr>
            <w:r w:rsidRPr="00802666">
              <w:t>29%</w:t>
            </w:r>
          </w:p>
        </w:tc>
      </w:tr>
      <w:tr w:rsidR="002316D8" w:rsidRPr="00B21B8A" w14:paraId="421E8FF1" w14:textId="2DF8B973" w:rsidTr="00B217EC">
        <w:tblPrEx>
          <w:tblCellMar>
            <w:left w:w="108" w:type="dxa"/>
            <w:right w:w="108" w:type="dxa"/>
          </w:tblCellMar>
        </w:tblPrEx>
        <w:trPr>
          <w:trHeight w:val="530"/>
        </w:trPr>
        <w:tc>
          <w:tcPr>
            <w:tcW w:w="1815" w:type="pct"/>
            <w:vAlign w:val="top"/>
          </w:tcPr>
          <w:p w14:paraId="2DE47C0A" w14:textId="74D796DE" w:rsidR="002316D8" w:rsidRPr="00B21B8A" w:rsidRDefault="002316D8" w:rsidP="002316D8">
            <w:pPr>
              <w:pStyle w:val="Tabletext"/>
            </w:pPr>
            <w:r w:rsidRPr="007328D5">
              <w:t>£5 million or more</w:t>
            </w:r>
          </w:p>
        </w:tc>
        <w:tc>
          <w:tcPr>
            <w:tcW w:w="1062" w:type="pct"/>
            <w:vAlign w:val="top"/>
          </w:tcPr>
          <w:p w14:paraId="31775CA2" w14:textId="7C9B6E56" w:rsidR="002316D8" w:rsidRPr="00B21B8A" w:rsidRDefault="002316D8" w:rsidP="002316D8">
            <w:pPr>
              <w:pStyle w:val="Tabletext"/>
              <w:jc w:val="right"/>
            </w:pPr>
            <w:r w:rsidRPr="00802666">
              <w:t>9%</w:t>
            </w:r>
          </w:p>
        </w:tc>
        <w:tc>
          <w:tcPr>
            <w:tcW w:w="1062" w:type="pct"/>
            <w:vAlign w:val="top"/>
          </w:tcPr>
          <w:p w14:paraId="4B2973E4" w14:textId="7514A989" w:rsidR="002316D8" w:rsidRPr="00B21B8A" w:rsidRDefault="002316D8" w:rsidP="002316D8">
            <w:pPr>
              <w:pStyle w:val="Tabletext"/>
              <w:jc w:val="right"/>
              <w:rPr>
                <w:bCs/>
              </w:rPr>
            </w:pPr>
            <w:r w:rsidRPr="00802666">
              <w:t>9%</w:t>
            </w:r>
          </w:p>
        </w:tc>
        <w:tc>
          <w:tcPr>
            <w:tcW w:w="1062" w:type="pct"/>
            <w:vAlign w:val="top"/>
          </w:tcPr>
          <w:p w14:paraId="39EF3EC7" w14:textId="33B2F1DD" w:rsidR="002316D8" w:rsidRPr="007328D5" w:rsidRDefault="002316D8" w:rsidP="002316D8">
            <w:pPr>
              <w:pStyle w:val="Tabletext"/>
              <w:jc w:val="right"/>
            </w:pPr>
            <w:r w:rsidRPr="00802666">
              <w:t>10%</w:t>
            </w:r>
          </w:p>
        </w:tc>
      </w:tr>
      <w:tr w:rsidR="002316D8" w:rsidRPr="00B21B8A" w14:paraId="05A791AD" w14:textId="2A483581"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12"/>
        </w:trPr>
        <w:tc>
          <w:tcPr>
            <w:tcW w:w="1815" w:type="pct"/>
            <w:tcBorders>
              <w:bottom w:val="single" w:sz="4" w:space="0" w:color="0054BA" w:themeColor="accent2"/>
            </w:tcBorders>
            <w:vAlign w:val="top"/>
          </w:tcPr>
          <w:p w14:paraId="2984EB11" w14:textId="057D59A0" w:rsidR="002316D8" w:rsidRPr="00B21B8A" w:rsidRDefault="002316D8" w:rsidP="002316D8">
            <w:pPr>
              <w:pStyle w:val="Tabletext"/>
            </w:pPr>
            <w:r w:rsidRPr="007328D5">
              <w:t>Unknown</w:t>
            </w:r>
          </w:p>
        </w:tc>
        <w:tc>
          <w:tcPr>
            <w:tcW w:w="1062" w:type="pct"/>
            <w:tcBorders>
              <w:bottom w:val="single" w:sz="4" w:space="0" w:color="0054BA" w:themeColor="accent2"/>
            </w:tcBorders>
            <w:vAlign w:val="top"/>
          </w:tcPr>
          <w:p w14:paraId="6B3AAED5" w14:textId="4D1E2F88" w:rsidR="002316D8" w:rsidRPr="00B21B8A" w:rsidRDefault="002316D8" w:rsidP="002316D8">
            <w:pPr>
              <w:pStyle w:val="Tabletext"/>
              <w:jc w:val="right"/>
            </w:pPr>
            <w:r w:rsidRPr="00802666">
              <w:t>5%</w:t>
            </w:r>
          </w:p>
        </w:tc>
        <w:tc>
          <w:tcPr>
            <w:tcW w:w="1062" w:type="pct"/>
            <w:tcBorders>
              <w:bottom w:val="single" w:sz="4" w:space="0" w:color="0054BA" w:themeColor="accent2"/>
            </w:tcBorders>
            <w:vAlign w:val="top"/>
          </w:tcPr>
          <w:p w14:paraId="45522268" w14:textId="4EC030FC" w:rsidR="002316D8" w:rsidRPr="00B21B8A" w:rsidRDefault="002316D8" w:rsidP="002316D8">
            <w:pPr>
              <w:pStyle w:val="Tabletext"/>
              <w:jc w:val="right"/>
              <w:rPr>
                <w:bCs/>
              </w:rPr>
            </w:pPr>
            <w:r w:rsidRPr="00802666">
              <w:t>6%</w:t>
            </w:r>
          </w:p>
        </w:tc>
        <w:tc>
          <w:tcPr>
            <w:tcW w:w="1062" w:type="pct"/>
            <w:tcBorders>
              <w:bottom w:val="single" w:sz="4" w:space="0" w:color="0054BA" w:themeColor="accent2"/>
            </w:tcBorders>
            <w:vAlign w:val="top"/>
          </w:tcPr>
          <w:p w14:paraId="2F396E35" w14:textId="08CED8E1" w:rsidR="002316D8" w:rsidRPr="007328D5" w:rsidRDefault="002316D8" w:rsidP="002316D8">
            <w:pPr>
              <w:pStyle w:val="Tabletext"/>
              <w:jc w:val="right"/>
            </w:pPr>
            <w:r w:rsidRPr="00802666">
              <w:t>6%</w:t>
            </w:r>
          </w:p>
        </w:tc>
      </w:tr>
    </w:tbl>
    <w:p w14:paraId="6A348B7C" w14:textId="4B073A28" w:rsidR="00D0457A" w:rsidRPr="00D0457A" w:rsidRDefault="00D0457A" w:rsidP="00D0457A">
      <w:pPr>
        <w:pStyle w:val="Caption"/>
      </w:pPr>
      <w:r w:rsidRPr="00D0457A">
        <w:t>B</w:t>
      </w:r>
      <w:r w:rsidR="006A3362" w:rsidRPr="00D0457A">
        <w:t xml:space="preserve">ase: All </w:t>
      </w:r>
      <w:r w:rsidRPr="00D0457A">
        <w:t>non-borrowers (236).</w:t>
      </w:r>
      <w:r w:rsidR="006A3362" w:rsidRPr="00D0457A">
        <w:t xml:space="preserve"> Source: London Economics’ and </w:t>
      </w:r>
      <w:r w:rsidR="00BE4C3E" w:rsidRPr="00D0457A">
        <w:t>Ipsos</w:t>
      </w:r>
      <w:r w:rsidR="00534F00" w:rsidRPr="00D0457A">
        <w:t xml:space="preserve">’ </w:t>
      </w:r>
      <w:r w:rsidR="006A3362" w:rsidRPr="00D0457A">
        <w:t>analysis</w:t>
      </w:r>
      <w:r w:rsidR="00C17687" w:rsidRPr="00D0457A">
        <w:t xml:space="preserve"> of survey data</w:t>
      </w:r>
    </w:p>
    <w:p w14:paraId="643D2A13" w14:textId="5734B0AB" w:rsidR="006A3362" w:rsidRPr="00D0457A" w:rsidRDefault="006A3362" w:rsidP="006A3362">
      <w:pPr>
        <w:pStyle w:val="Heading5"/>
      </w:pPr>
      <w:bookmarkStart w:id="125" w:name="_Ref90981830"/>
      <w:r w:rsidRPr="00D0457A">
        <w:t xml:space="preserve">Table </w:t>
      </w:r>
      <w:r w:rsidRPr="00D0457A">
        <w:fldChar w:fldCharType="begin"/>
      </w:r>
      <w:r w:rsidRPr="00D0457A">
        <w:instrText>SEQ Table \* ARABIC</w:instrText>
      </w:r>
      <w:r w:rsidRPr="00D0457A">
        <w:fldChar w:fldCharType="separate"/>
      </w:r>
      <w:r w:rsidR="001525E9">
        <w:rPr>
          <w:noProof/>
        </w:rPr>
        <w:t>19</w:t>
      </w:r>
      <w:r w:rsidRPr="00D0457A">
        <w:fldChar w:fldCharType="end"/>
      </w:r>
      <w:bookmarkEnd w:id="125"/>
      <w:r w:rsidRPr="00D0457A">
        <w:t>: Business size</w:t>
      </w:r>
      <w:r w:rsidR="00B217EC">
        <w:t xml:space="preserve"> </w:t>
      </w:r>
      <w:r w:rsidR="002316D8">
        <w:t>–</w:t>
      </w:r>
      <w:r w:rsidRPr="00D0457A">
        <w:t xml:space="preserve"> </w:t>
      </w:r>
      <w:r w:rsidR="002316D8">
        <w:t>RLS 1.0 b</w:t>
      </w:r>
      <w:r w:rsidR="00B4158C" w:rsidRPr="00D0457A">
        <w:t>orrowers</w:t>
      </w:r>
    </w:p>
    <w:tbl>
      <w:tblPr>
        <w:tblStyle w:val="TableGrid"/>
        <w:tblW w:w="5000" w:type="pct"/>
        <w:tblLayout w:type="fixed"/>
        <w:tblLook w:val="04A0" w:firstRow="1" w:lastRow="0" w:firstColumn="1" w:lastColumn="0" w:noHBand="0" w:noVBand="1"/>
        <w:tblCaption w:val="Business size"/>
        <w:tblDescription w:val="Business size"/>
      </w:tblPr>
      <w:tblGrid>
        <w:gridCol w:w="3687"/>
        <w:gridCol w:w="2155"/>
        <w:gridCol w:w="2157"/>
        <w:gridCol w:w="2155"/>
      </w:tblGrid>
      <w:tr w:rsidR="00B217EC" w:rsidRPr="000056E7" w14:paraId="5AE2D634" w14:textId="0F864693" w:rsidTr="00B217EC">
        <w:trPr>
          <w:cnfStyle w:val="100000000000" w:firstRow="1" w:lastRow="0" w:firstColumn="0" w:lastColumn="0" w:oddVBand="0" w:evenVBand="0" w:oddHBand="0" w:evenHBand="0" w:firstRowFirstColumn="0" w:firstRowLastColumn="0" w:lastRowFirstColumn="0" w:lastRowLastColumn="0"/>
          <w:trHeight w:val="567"/>
          <w:tblHeader/>
        </w:trPr>
        <w:tc>
          <w:tcPr>
            <w:tcW w:w="1816" w:type="pct"/>
            <w:vAlign w:val="top"/>
            <w:hideMark/>
          </w:tcPr>
          <w:p w14:paraId="643F8D33" w14:textId="77777777" w:rsidR="00B217EC" w:rsidRPr="00B21B8A" w:rsidRDefault="00B217EC" w:rsidP="00B217EC">
            <w:pPr>
              <w:pStyle w:val="Tablecolumnheading-inkblue"/>
              <w:rPr>
                <w:color w:val="FFFFFF" w:themeColor="background1"/>
              </w:rPr>
            </w:pPr>
            <w:r w:rsidRPr="00B21B8A">
              <w:rPr>
                <w:color w:val="FFFFFF" w:themeColor="background1"/>
              </w:rPr>
              <w:t>Business size</w:t>
            </w:r>
          </w:p>
        </w:tc>
        <w:tc>
          <w:tcPr>
            <w:tcW w:w="1061" w:type="pct"/>
            <w:vAlign w:val="top"/>
            <w:hideMark/>
          </w:tcPr>
          <w:p w14:paraId="7518D0C4" w14:textId="21744A8A" w:rsidR="00B217EC" w:rsidRPr="00B21B8A" w:rsidRDefault="00B217EC" w:rsidP="00B217EC">
            <w:pPr>
              <w:pStyle w:val="Tablecolumnheading-inkblue"/>
              <w:jc w:val="right"/>
              <w:rPr>
                <w:color w:val="FFFFFF" w:themeColor="background1"/>
              </w:rPr>
            </w:pPr>
            <w:r>
              <w:rPr>
                <w:color w:val="FFFFFF" w:themeColor="background1"/>
              </w:rPr>
              <w:t>Year before the pandemic</w:t>
            </w:r>
          </w:p>
        </w:tc>
        <w:tc>
          <w:tcPr>
            <w:tcW w:w="1062" w:type="pct"/>
            <w:vAlign w:val="top"/>
          </w:tcPr>
          <w:p w14:paraId="540DD6FA" w14:textId="433DDF71" w:rsidR="00B217EC" w:rsidRPr="00B21B8A" w:rsidRDefault="00B217EC" w:rsidP="00B217EC">
            <w:pPr>
              <w:pStyle w:val="Tablecolumnheading-inkblue"/>
              <w:jc w:val="right"/>
              <w:rPr>
                <w:color w:val="FFFFFF" w:themeColor="background1"/>
              </w:rPr>
            </w:pPr>
            <w:r>
              <w:rPr>
                <w:color w:val="FFFFFF" w:themeColor="background1"/>
              </w:rPr>
              <w:t>First year of pandemic</w:t>
            </w:r>
          </w:p>
        </w:tc>
        <w:tc>
          <w:tcPr>
            <w:tcW w:w="1061" w:type="pct"/>
            <w:vAlign w:val="top"/>
          </w:tcPr>
          <w:p w14:paraId="2D4E3AB6" w14:textId="3BF5EF58" w:rsidR="00B217EC" w:rsidRDefault="00B217EC" w:rsidP="00B217EC">
            <w:pPr>
              <w:pStyle w:val="Tablecolumnheading-inkblue"/>
              <w:jc w:val="right"/>
              <w:rPr>
                <w:color w:val="FFFFFF" w:themeColor="background1"/>
              </w:rPr>
            </w:pPr>
            <w:r>
              <w:rPr>
                <w:color w:val="FFFFFF" w:themeColor="background1"/>
              </w:rPr>
              <w:t>Latest financial year</w:t>
            </w:r>
          </w:p>
        </w:tc>
      </w:tr>
      <w:tr w:rsidR="002316D8" w:rsidRPr="000056E7" w14:paraId="2DDE0956" w14:textId="2D2F32A2"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0"/>
        </w:trPr>
        <w:tc>
          <w:tcPr>
            <w:tcW w:w="1816" w:type="pct"/>
            <w:vAlign w:val="top"/>
          </w:tcPr>
          <w:p w14:paraId="4E81A884" w14:textId="1EDDBE0F" w:rsidR="002316D8" w:rsidRPr="000056E7" w:rsidRDefault="002316D8" w:rsidP="002316D8">
            <w:pPr>
              <w:pStyle w:val="Tabletext"/>
              <w:rPr>
                <w:highlight w:val="yellow"/>
              </w:rPr>
            </w:pPr>
            <w:r w:rsidRPr="00B11923">
              <w:t>Micro (1-9 employees)</w:t>
            </w:r>
          </w:p>
        </w:tc>
        <w:tc>
          <w:tcPr>
            <w:tcW w:w="1061" w:type="pct"/>
            <w:vAlign w:val="top"/>
          </w:tcPr>
          <w:p w14:paraId="5F2A9C27" w14:textId="06FFC354" w:rsidR="002316D8" w:rsidRPr="000056E7" w:rsidRDefault="002316D8" w:rsidP="002316D8">
            <w:pPr>
              <w:pStyle w:val="Tabletext"/>
              <w:jc w:val="right"/>
              <w:rPr>
                <w:highlight w:val="yellow"/>
              </w:rPr>
            </w:pPr>
            <w:r w:rsidRPr="009F30A5">
              <w:t>59%</w:t>
            </w:r>
          </w:p>
        </w:tc>
        <w:tc>
          <w:tcPr>
            <w:tcW w:w="1062" w:type="pct"/>
            <w:vAlign w:val="top"/>
          </w:tcPr>
          <w:p w14:paraId="00B579F6" w14:textId="04DCAC7B" w:rsidR="002316D8" w:rsidRPr="000056E7" w:rsidRDefault="002316D8" w:rsidP="002316D8">
            <w:pPr>
              <w:pStyle w:val="Tabletext"/>
              <w:jc w:val="right"/>
              <w:rPr>
                <w:highlight w:val="yellow"/>
              </w:rPr>
            </w:pPr>
            <w:r w:rsidRPr="009F30A5">
              <w:t>61%</w:t>
            </w:r>
          </w:p>
        </w:tc>
        <w:tc>
          <w:tcPr>
            <w:tcW w:w="1061" w:type="pct"/>
            <w:vAlign w:val="top"/>
          </w:tcPr>
          <w:p w14:paraId="06B63484" w14:textId="20D1A428" w:rsidR="002316D8" w:rsidRPr="00B11923" w:rsidRDefault="002316D8" w:rsidP="002316D8">
            <w:pPr>
              <w:pStyle w:val="Tabletext"/>
              <w:jc w:val="right"/>
            </w:pPr>
            <w:r w:rsidRPr="009F30A5">
              <w:t>59%</w:t>
            </w:r>
          </w:p>
        </w:tc>
      </w:tr>
      <w:tr w:rsidR="002316D8" w:rsidRPr="000056E7" w14:paraId="05F9B4A9" w14:textId="17096042" w:rsidTr="00B217EC">
        <w:tblPrEx>
          <w:tblCellMar>
            <w:left w:w="108" w:type="dxa"/>
            <w:right w:w="108" w:type="dxa"/>
          </w:tblCellMar>
        </w:tblPrEx>
        <w:trPr>
          <w:trHeight w:val="559"/>
        </w:trPr>
        <w:tc>
          <w:tcPr>
            <w:tcW w:w="1816" w:type="pct"/>
            <w:vAlign w:val="top"/>
            <w:hideMark/>
          </w:tcPr>
          <w:p w14:paraId="488A752E" w14:textId="70F10AD9" w:rsidR="002316D8" w:rsidRPr="000056E7" w:rsidRDefault="002316D8" w:rsidP="002316D8">
            <w:pPr>
              <w:pStyle w:val="Tabletext"/>
              <w:rPr>
                <w:highlight w:val="yellow"/>
              </w:rPr>
            </w:pPr>
            <w:r w:rsidRPr="00B11923">
              <w:t>Small (10-49 employees)</w:t>
            </w:r>
          </w:p>
        </w:tc>
        <w:tc>
          <w:tcPr>
            <w:tcW w:w="1061" w:type="pct"/>
            <w:vAlign w:val="top"/>
            <w:hideMark/>
          </w:tcPr>
          <w:p w14:paraId="02BE3A4F" w14:textId="1FC61752" w:rsidR="002316D8" w:rsidRPr="000056E7" w:rsidRDefault="002316D8" w:rsidP="002316D8">
            <w:pPr>
              <w:pStyle w:val="Tabletext"/>
              <w:jc w:val="right"/>
              <w:rPr>
                <w:highlight w:val="yellow"/>
              </w:rPr>
            </w:pPr>
            <w:r w:rsidRPr="009F30A5">
              <w:t>34%</w:t>
            </w:r>
          </w:p>
        </w:tc>
        <w:tc>
          <w:tcPr>
            <w:tcW w:w="1062" w:type="pct"/>
            <w:vAlign w:val="top"/>
          </w:tcPr>
          <w:p w14:paraId="56CF9EF2" w14:textId="05FC3AB2" w:rsidR="002316D8" w:rsidRPr="000056E7" w:rsidRDefault="002316D8" w:rsidP="002316D8">
            <w:pPr>
              <w:pStyle w:val="Tabletext"/>
              <w:jc w:val="right"/>
              <w:rPr>
                <w:bCs/>
                <w:highlight w:val="yellow"/>
              </w:rPr>
            </w:pPr>
            <w:r w:rsidRPr="009F30A5">
              <w:t>34%</w:t>
            </w:r>
          </w:p>
        </w:tc>
        <w:tc>
          <w:tcPr>
            <w:tcW w:w="1061" w:type="pct"/>
            <w:vAlign w:val="top"/>
          </w:tcPr>
          <w:p w14:paraId="5DBE6F35" w14:textId="3864657A" w:rsidR="002316D8" w:rsidRPr="00B11923" w:rsidRDefault="002316D8" w:rsidP="002316D8">
            <w:pPr>
              <w:pStyle w:val="Tabletext"/>
              <w:jc w:val="right"/>
            </w:pPr>
            <w:r w:rsidRPr="009F30A5">
              <w:t>37%</w:t>
            </w:r>
          </w:p>
        </w:tc>
      </w:tr>
      <w:tr w:rsidR="002316D8" w:rsidRPr="000056E7" w14:paraId="2815D0E8" w14:textId="6DBD3D09" w:rsidTr="00B217EC">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65"/>
        </w:trPr>
        <w:tc>
          <w:tcPr>
            <w:tcW w:w="1816" w:type="pct"/>
            <w:vAlign w:val="top"/>
            <w:hideMark/>
          </w:tcPr>
          <w:p w14:paraId="0F7BE766" w14:textId="4283CC3B" w:rsidR="002316D8" w:rsidRPr="000056E7" w:rsidRDefault="002316D8" w:rsidP="002316D8">
            <w:pPr>
              <w:pStyle w:val="Tabletext"/>
              <w:rPr>
                <w:highlight w:val="yellow"/>
              </w:rPr>
            </w:pPr>
            <w:r w:rsidRPr="00B11923">
              <w:t>Medium (50-249 employees)</w:t>
            </w:r>
          </w:p>
        </w:tc>
        <w:tc>
          <w:tcPr>
            <w:tcW w:w="1061" w:type="pct"/>
            <w:vAlign w:val="top"/>
            <w:hideMark/>
          </w:tcPr>
          <w:p w14:paraId="1F68DA58" w14:textId="5556D79E" w:rsidR="002316D8" w:rsidRPr="000056E7" w:rsidRDefault="002316D8" w:rsidP="002316D8">
            <w:pPr>
              <w:pStyle w:val="Tabletext"/>
              <w:jc w:val="right"/>
              <w:rPr>
                <w:highlight w:val="yellow"/>
              </w:rPr>
            </w:pPr>
            <w:r w:rsidRPr="009F30A5">
              <w:t>5%</w:t>
            </w:r>
          </w:p>
        </w:tc>
        <w:tc>
          <w:tcPr>
            <w:tcW w:w="1062" w:type="pct"/>
            <w:vAlign w:val="top"/>
          </w:tcPr>
          <w:p w14:paraId="148D34D8" w14:textId="6A93CCBA" w:rsidR="002316D8" w:rsidRPr="000056E7" w:rsidRDefault="002316D8" w:rsidP="002316D8">
            <w:pPr>
              <w:pStyle w:val="Tabletext"/>
              <w:jc w:val="right"/>
              <w:rPr>
                <w:bCs/>
                <w:highlight w:val="yellow"/>
              </w:rPr>
            </w:pPr>
            <w:r w:rsidRPr="009F30A5">
              <w:t>5%</w:t>
            </w:r>
          </w:p>
        </w:tc>
        <w:tc>
          <w:tcPr>
            <w:tcW w:w="1061" w:type="pct"/>
            <w:vAlign w:val="top"/>
          </w:tcPr>
          <w:p w14:paraId="0FDB7AFB" w14:textId="4321E54B" w:rsidR="002316D8" w:rsidRPr="00B11923" w:rsidRDefault="002316D8" w:rsidP="002316D8">
            <w:pPr>
              <w:pStyle w:val="Tabletext"/>
              <w:jc w:val="right"/>
            </w:pPr>
            <w:r w:rsidRPr="009F30A5">
              <w:t>4%</w:t>
            </w:r>
          </w:p>
        </w:tc>
      </w:tr>
      <w:tr w:rsidR="002316D8" w:rsidRPr="000056E7" w14:paraId="194097B5" w14:textId="7209BAA2" w:rsidTr="00B217EC">
        <w:tblPrEx>
          <w:tblCellMar>
            <w:left w:w="108" w:type="dxa"/>
            <w:right w:w="108" w:type="dxa"/>
          </w:tblCellMar>
        </w:tblPrEx>
        <w:trPr>
          <w:trHeight w:val="559"/>
        </w:trPr>
        <w:tc>
          <w:tcPr>
            <w:tcW w:w="1816" w:type="pct"/>
            <w:tcBorders>
              <w:bottom w:val="single" w:sz="4" w:space="0" w:color="0054BA" w:themeColor="accent2"/>
            </w:tcBorders>
            <w:vAlign w:val="top"/>
            <w:hideMark/>
          </w:tcPr>
          <w:p w14:paraId="1BA42E61" w14:textId="166E86D7" w:rsidR="002316D8" w:rsidRPr="000056E7" w:rsidRDefault="002316D8" w:rsidP="002316D8">
            <w:pPr>
              <w:pStyle w:val="Tabletext"/>
              <w:rPr>
                <w:highlight w:val="yellow"/>
              </w:rPr>
            </w:pPr>
            <w:r w:rsidRPr="00B11923">
              <w:t>Unknown</w:t>
            </w:r>
          </w:p>
        </w:tc>
        <w:tc>
          <w:tcPr>
            <w:tcW w:w="1061" w:type="pct"/>
            <w:tcBorders>
              <w:bottom w:val="single" w:sz="4" w:space="0" w:color="0054BA" w:themeColor="accent2"/>
            </w:tcBorders>
            <w:vAlign w:val="top"/>
            <w:hideMark/>
          </w:tcPr>
          <w:p w14:paraId="04940959" w14:textId="1E9A5223" w:rsidR="002316D8" w:rsidRPr="000056E7" w:rsidRDefault="002316D8" w:rsidP="002316D8">
            <w:pPr>
              <w:pStyle w:val="Tabletext"/>
              <w:jc w:val="right"/>
              <w:rPr>
                <w:highlight w:val="yellow"/>
              </w:rPr>
            </w:pPr>
            <w:r w:rsidRPr="009F30A5">
              <w:t>2%</w:t>
            </w:r>
          </w:p>
        </w:tc>
        <w:tc>
          <w:tcPr>
            <w:tcW w:w="1062" w:type="pct"/>
            <w:tcBorders>
              <w:bottom w:val="single" w:sz="4" w:space="0" w:color="0054BA" w:themeColor="accent2"/>
            </w:tcBorders>
            <w:vAlign w:val="top"/>
          </w:tcPr>
          <w:p w14:paraId="3E374119" w14:textId="42A322A6" w:rsidR="002316D8" w:rsidRPr="000056E7" w:rsidRDefault="002316D8" w:rsidP="002316D8">
            <w:pPr>
              <w:pStyle w:val="Tabletext"/>
              <w:jc w:val="right"/>
              <w:rPr>
                <w:bCs/>
                <w:highlight w:val="yellow"/>
              </w:rPr>
            </w:pPr>
            <w:r w:rsidRPr="009F30A5">
              <w:t>0%</w:t>
            </w:r>
          </w:p>
        </w:tc>
        <w:tc>
          <w:tcPr>
            <w:tcW w:w="1061" w:type="pct"/>
            <w:tcBorders>
              <w:bottom w:val="single" w:sz="4" w:space="0" w:color="0054BA" w:themeColor="accent2"/>
            </w:tcBorders>
            <w:vAlign w:val="top"/>
          </w:tcPr>
          <w:p w14:paraId="7A49D5AE" w14:textId="07750B62" w:rsidR="002316D8" w:rsidRPr="00B11923" w:rsidRDefault="002316D8" w:rsidP="002316D8">
            <w:pPr>
              <w:pStyle w:val="Tabletext"/>
              <w:jc w:val="right"/>
            </w:pPr>
            <w:r w:rsidRPr="009F30A5">
              <w:t>0%</w:t>
            </w:r>
          </w:p>
        </w:tc>
      </w:tr>
    </w:tbl>
    <w:p w14:paraId="750064AB" w14:textId="0EA69BB8" w:rsidR="006812C7" w:rsidRPr="00D0457A" w:rsidRDefault="006812C7" w:rsidP="006812C7">
      <w:pPr>
        <w:pStyle w:val="Caption"/>
      </w:pPr>
      <w:r w:rsidRPr="00D0457A">
        <w:t xml:space="preserve">Base: </w:t>
      </w:r>
      <w:r w:rsidR="00D0457A" w:rsidRPr="00D0457A">
        <w:t xml:space="preserve">All RLS </w:t>
      </w:r>
      <w:r w:rsidR="002B18A5">
        <w:t xml:space="preserve">1.0 </w:t>
      </w:r>
      <w:r w:rsidR="00D0457A" w:rsidRPr="00D0457A">
        <w:t>borrowers (242)</w:t>
      </w:r>
      <w:r w:rsidRPr="00D0457A">
        <w:t xml:space="preserve">. Source: London Economics’ and Ipsos’ analysis of survey data </w:t>
      </w:r>
    </w:p>
    <w:p w14:paraId="37F09CD8" w14:textId="3E94E308" w:rsidR="002316D8" w:rsidRPr="00D0457A" w:rsidRDefault="002316D8" w:rsidP="002316D8">
      <w:pPr>
        <w:pStyle w:val="Heading5"/>
      </w:pPr>
      <w:bookmarkStart w:id="126" w:name="_Ref151988211"/>
      <w:bookmarkStart w:id="127" w:name="_Ref90981777"/>
      <w:r w:rsidRPr="00D0457A">
        <w:t xml:space="preserve">Table </w:t>
      </w:r>
      <w:r w:rsidRPr="00D0457A">
        <w:fldChar w:fldCharType="begin"/>
      </w:r>
      <w:r w:rsidRPr="00D0457A">
        <w:instrText>SEQ Table \* ARABIC</w:instrText>
      </w:r>
      <w:r w:rsidRPr="00D0457A">
        <w:fldChar w:fldCharType="separate"/>
      </w:r>
      <w:r w:rsidR="001525E9">
        <w:rPr>
          <w:noProof/>
        </w:rPr>
        <w:t>20</w:t>
      </w:r>
      <w:r w:rsidRPr="00D0457A">
        <w:fldChar w:fldCharType="end"/>
      </w:r>
      <w:bookmarkEnd w:id="126"/>
      <w:r w:rsidRPr="00D0457A">
        <w:t xml:space="preserve">: Business size </w:t>
      </w:r>
      <w:r>
        <w:t>–</w:t>
      </w:r>
      <w:r w:rsidRPr="00D0457A">
        <w:t xml:space="preserve"> </w:t>
      </w:r>
      <w:r>
        <w:t>non-b</w:t>
      </w:r>
      <w:r w:rsidRPr="00D0457A">
        <w:t>orrowers</w:t>
      </w:r>
    </w:p>
    <w:tbl>
      <w:tblPr>
        <w:tblStyle w:val="TableGrid"/>
        <w:tblW w:w="5000" w:type="pct"/>
        <w:tblLayout w:type="fixed"/>
        <w:tblLook w:val="04A0" w:firstRow="1" w:lastRow="0" w:firstColumn="1" w:lastColumn="0" w:noHBand="0" w:noVBand="1"/>
        <w:tblCaption w:val="Business size"/>
        <w:tblDescription w:val="Business size"/>
      </w:tblPr>
      <w:tblGrid>
        <w:gridCol w:w="3687"/>
        <w:gridCol w:w="2155"/>
        <w:gridCol w:w="2157"/>
        <w:gridCol w:w="2155"/>
      </w:tblGrid>
      <w:tr w:rsidR="00B217EC" w:rsidRPr="000056E7" w14:paraId="15943EA2" w14:textId="77777777" w:rsidTr="002316D8">
        <w:trPr>
          <w:cnfStyle w:val="100000000000" w:firstRow="1" w:lastRow="0" w:firstColumn="0" w:lastColumn="0" w:oddVBand="0" w:evenVBand="0" w:oddHBand="0" w:evenHBand="0" w:firstRowFirstColumn="0" w:firstRowLastColumn="0" w:lastRowFirstColumn="0" w:lastRowLastColumn="0"/>
          <w:trHeight w:val="567"/>
          <w:tblHeader/>
        </w:trPr>
        <w:tc>
          <w:tcPr>
            <w:tcW w:w="1816" w:type="pct"/>
            <w:vAlign w:val="top"/>
            <w:hideMark/>
          </w:tcPr>
          <w:p w14:paraId="24BDD89F" w14:textId="77777777" w:rsidR="00B217EC" w:rsidRPr="00B21B8A" w:rsidRDefault="00B217EC" w:rsidP="00B217EC">
            <w:pPr>
              <w:pStyle w:val="Tablecolumnheading-inkblue"/>
              <w:rPr>
                <w:color w:val="FFFFFF" w:themeColor="background1"/>
              </w:rPr>
            </w:pPr>
            <w:r w:rsidRPr="00B21B8A">
              <w:rPr>
                <w:color w:val="FFFFFF" w:themeColor="background1"/>
              </w:rPr>
              <w:t>Business size</w:t>
            </w:r>
          </w:p>
        </w:tc>
        <w:tc>
          <w:tcPr>
            <w:tcW w:w="1061" w:type="pct"/>
            <w:vAlign w:val="top"/>
            <w:hideMark/>
          </w:tcPr>
          <w:p w14:paraId="222C108C" w14:textId="4124B3F9" w:rsidR="00B217EC" w:rsidRPr="00B21B8A" w:rsidRDefault="00B217EC" w:rsidP="00B217EC">
            <w:pPr>
              <w:pStyle w:val="Tablecolumnheading-inkblue"/>
              <w:jc w:val="right"/>
              <w:rPr>
                <w:color w:val="FFFFFF" w:themeColor="background1"/>
              </w:rPr>
            </w:pPr>
            <w:r>
              <w:rPr>
                <w:color w:val="FFFFFF" w:themeColor="background1"/>
              </w:rPr>
              <w:t>Year before the pandemic</w:t>
            </w:r>
          </w:p>
        </w:tc>
        <w:tc>
          <w:tcPr>
            <w:tcW w:w="1062" w:type="pct"/>
            <w:vAlign w:val="top"/>
          </w:tcPr>
          <w:p w14:paraId="0F839AF6" w14:textId="3A42B9BF" w:rsidR="00B217EC" w:rsidRPr="00B21B8A" w:rsidRDefault="00B217EC" w:rsidP="00B217EC">
            <w:pPr>
              <w:pStyle w:val="Tablecolumnheading-inkblue"/>
              <w:jc w:val="right"/>
              <w:rPr>
                <w:color w:val="FFFFFF" w:themeColor="background1"/>
              </w:rPr>
            </w:pPr>
            <w:r>
              <w:rPr>
                <w:color w:val="FFFFFF" w:themeColor="background1"/>
              </w:rPr>
              <w:t>First year of pandemic</w:t>
            </w:r>
          </w:p>
        </w:tc>
        <w:tc>
          <w:tcPr>
            <w:tcW w:w="1061" w:type="pct"/>
            <w:vAlign w:val="top"/>
          </w:tcPr>
          <w:p w14:paraId="46DC8983" w14:textId="287F3F78" w:rsidR="00B217EC" w:rsidRDefault="00B217EC" w:rsidP="00B217EC">
            <w:pPr>
              <w:pStyle w:val="Tablecolumnheading-inkblue"/>
              <w:jc w:val="right"/>
              <w:rPr>
                <w:color w:val="FFFFFF" w:themeColor="background1"/>
              </w:rPr>
            </w:pPr>
            <w:r>
              <w:rPr>
                <w:color w:val="FFFFFF" w:themeColor="background1"/>
              </w:rPr>
              <w:t>Latest financial year</w:t>
            </w:r>
          </w:p>
        </w:tc>
      </w:tr>
      <w:tr w:rsidR="002316D8" w:rsidRPr="000056E7" w14:paraId="146086FB" w14:textId="77777777" w:rsidTr="002316D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0"/>
        </w:trPr>
        <w:tc>
          <w:tcPr>
            <w:tcW w:w="1816" w:type="pct"/>
            <w:vAlign w:val="top"/>
          </w:tcPr>
          <w:p w14:paraId="733390BC" w14:textId="77777777" w:rsidR="002316D8" w:rsidRPr="000056E7" w:rsidRDefault="002316D8" w:rsidP="002316D8">
            <w:pPr>
              <w:pStyle w:val="Tabletext"/>
              <w:rPr>
                <w:highlight w:val="yellow"/>
              </w:rPr>
            </w:pPr>
            <w:r w:rsidRPr="00B11923">
              <w:t>Micro (1-9 employees)</w:t>
            </w:r>
          </w:p>
        </w:tc>
        <w:tc>
          <w:tcPr>
            <w:tcW w:w="1061" w:type="pct"/>
            <w:vAlign w:val="top"/>
          </w:tcPr>
          <w:p w14:paraId="1C446BDE" w14:textId="7E4C51DF" w:rsidR="002316D8" w:rsidRPr="000056E7" w:rsidRDefault="002316D8" w:rsidP="002316D8">
            <w:pPr>
              <w:pStyle w:val="Tabletext"/>
              <w:jc w:val="right"/>
              <w:rPr>
                <w:highlight w:val="yellow"/>
              </w:rPr>
            </w:pPr>
            <w:r w:rsidRPr="00716B0F">
              <w:t>56%</w:t>
            </w:r>
          </w:p>
        </w:tc>
        <w:tc>
          <w:tcPr>
            <w:tcW w:w="1062" w:type="pct"/>
            <w:vAlign w:val="top"/>
          </w:tcPr>
          <w:p w14:paraId="07EAE8F6" w14:textId="4FD4646B" w:rsidR="002316D8" w:rsidRPr="000056E7" w:rsidRDefault="002316D8" w:rsidP="002316D8">
            <w:pPr>
              <w:pStyle w:val="Tabletext"/>
              <w:jc w:val="right"/>
              <w:rPr>
                <w:highlight w:val="yellow"/>
              </w:rPr>
            </w:pPr>
            <w:r w:rsidRPr="00716B0F">
              <w:t>57%</w:t>
            </w:r>
          </w:p>
        </w:tc>
        <w:tc>
          <w:tcPr>
            <w:tcW w:w="1061" w:type="pct"/>
            <w:vAlign w:val="top"/>
          </w:tcPr>
          <w:p w14:paraId="59F7D984" w14:textId="578641BE" w:rsidR="002316D8" w:rsidRPr="00B11923" w:rsidRDefault="002316D8" w:rsidP="002316D8">
            <w:pPr>
              <w:pStyle w:val="Tabletext"/>
              <w:jc w:val="right"/>
            </w:pPr>
            <w:r w:rsidRPr="00716B0F">
              <w:t>55%</w:t>
            </w:r>
          </w:p>
        </w:tc>
      </w:tr>
      <w:tr w:rsidR="002316D8" w:rsidRPr="000056E7" w14:paraId="712976BA" w14:textId="77777777" w:rsidTr="002316D8">
        <w:tblPrEx>
          <w:tblCellMar>
            <w:left w:w="108" w:type="dxa"/>
            <w:right w:w="108" w:type="dxa"/>
          </w:tblCellMar>
        </w:tblPrEx>
        <w:trPr>
          <w:trHeight w:val="559"/>
        </w:trPr>
        <w:tc>
          <w:tcPr>
            <w:tcW w:w="1816" w:type="pct"/>
            <w:vAlign w:val="top"/>
            <w:hideMark/>
          </w:tcPr>
          <w:p w14:paraId="5626FF7C" w14:textId="77777777" w:rsidR="002316D8" w:rsidRPr="000056E7" w:rsidRDefault="002316D8" w:rsidP="002316D8">
            <w:pPr>
              <w:pStyle w:val="Tabletext"/>
              <w:rPr>
                <w:highlight w:val="yellow"/>
              </w:rPr>
            </w:pPr>
            <w:r w:rsidRPr="00B11923">
              <w:t>Small (10-49 employees)</w:t>
            </w:r>
          </w:p>
        </w:tc>
        <w:tc>
          <w:tcPr>
            <w:tcW w:w="1061" w:type="pct"/>
            <w:vAlign w:val="top"/>
            <w:hideMark/>
          </w:tcPr>
          <w:p w14:paraId="312409A5" w14:textId="72B40C95" w:rsidR="002316D8" w:rsidRPr="000056E7" w:rsidRDefault="002316D8" w:rsidP="002316D8">
            <w:pPr>
              <w:pStyle w:val="Tabletext"/>
              <w:jc w:val="right"/>
              <w:rPr>
                <w:highlight w:val="yellow"/>
              </w:rPr>
            </w:pPr>
            <w:r w:rsidRPr="00716B0F">
              <w:t>35%</w:t>
            </w:r>
          </w:p>
        </w:tc>
        <w:tc>
          <w:tcPr>
            <w:tcW w:w="1062" w:type="pct"/>
            <w:vAlign w:val="top"/>
          </w:tcPr>
          <w:p w14:paraId="4E92D15D" w14:textId="2233C626" w:rsidR="002316D8" w:rsidRPr="000056E7" w:rsidRDefault="002316D8" w:rsidP="002316D8">
            <w:pPr>
              <w:pStyle w:val="Tabletext"/>
              <w:jc w:val="right"/>
              <w:rPr>
                <w:bCs/>
                <w:highlight w:val="yellow"/>
              </w:rPr>
            </w:pPr>
            <w:r w:rsidRPr="00716B0F">
              <w:t>34%</w:t>
            </w:r>
          </w:p>
        </w:tc>
        <w:tc>
          <w:tcPr>
            <w:tcW w:w="1061" w:type="pct"/>
            <w:vAlign w:val="top"/>
          </w:tcPr>
          <w:p w14:paraId="7176AF21" w14:textId="7A426995" w:rsidR="002316D8" w:rsidRPr="00B11923" w:rsidRDefault="002316D8" w:rsidP="002316D8">
            <w:pPr>
              <w:pStyle w:val="Tabletext"/>
              <w:jc w:val="right"/>
            </w:pPr>
            <w:r w:rsidRPr="00716B0F">
              <w:t>37%</w:t>
            </w:r>
          </w:p>
        </w:tc>
      </w:tr>
      <w:tr w:rsidR="002316D8" w:rsidRPr="000056E7" w14:paraId="125FCD72" w14:textId="77777777" w:rsidTr="002316D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65"/>
        </w:trPr>
        <w:tc>
          <w:tcPr>
            <w:tcW w:w="1816" w:type="pct"/>
            <w:vAlign w:val="top"/>
            <w:hideMark/>
          </w:tcPr>
          <w:p w14:paraId="5EBCB395" w14:textId="77777777" w:rsidR="002316D8" w:rsidRPr="000056E7" w:rsidRDefault="002316D8" w:rsidP="002316D8">
            <w:pPr>
              <w:pStyle w:val="Tabletext"/>
              <w:rPr>
                <w:highlight w:val="yellow"/>
              </w:rPr>
            </w:pPr>
            <w:r w:rsidRPr="00B11923">
              <w:t>Medium (50-249 employees)</w:t>
            </w:r>
          </w:p>
        </w:tc>
        <w:tc>
          <w:tcPr>
            <w:tcW w:w="1061" w:type="pct"/>
            <w:vAlign w:val="top"/>
            <w:hideMark/>
          </w:tcPr>
          <w:p w14:paraId="08423845" w14:textId="0F5602FB" w:rsidR="002316D8" w:rsidRPr="000056E7" w:rsidRDefault="002316D8" w:rsidP="002316D8">
            <w:pPr>
              <w:pStyle w:val="Tabletext"/>
              <w:jc w:val="right"/>
              <w:rPr>
                <w:highlight w:val="yellow"/>
              </w:rPr>
            </w:pPr>
            <w:r w:rsidRPr="00716B0F">
              <w:t>9%</w:t>
            </w:r>
          </w:p>
        </w:tc>
        <w:tc>
          <w:tcPr>
            <w:tcW w:w="1062" w:type="pct"/>
            <w:vAlign w:val="top"/>
          </w:tcPr>
          <w:p w14:paraId="6F755A13" w14:textId="7CD5E0FC" w:rsidR="002316D8" w:rsidRPr="000056E7" w:rsidRDefault="002316D8" w:rsidP="002316D8">
            <w:pPr>
              <w:pStyle w:val="Tabletext"/>
              <w:jc w:val="right"/>
              <w:rPr>
                <w:bCs/>
                <w:highlight w:val="yellow"/>
              </w:rPr>
            </w:pPr>
            <w:r w:rsidRPr="00716B0F">
              <w:t>9%</w:t>
            </w:r>
          </w:p>
        </w:tc>
        <w:tc>
          <w:tcPr>
            <w:tcW w:w="1061" w:type="pct"/>
            <w:vAlign w:val="top"/>
          </w:tcPr>
          <w:p w14:paraId="040D6EC9" w14:textId="0F831261" w:rsidR="002316D8" w:rsidRPr="00B11923" w:rsidRDefault="002316D8" w:rsidP="002316D8">
            <w:pPr>
              <w:pStyle w:val="Tabletext"/>
              <w:jc w:val="right"/>
            </w:pPr>
            <w:r w:rsidRPr="00716B0F">
              <w:t>8%</w:t>
            </w:r>
          </w:p>
        </w:tc>
      </w:tr>
      <w:tr w:rsidR="002316D8" w:rsidRPr="000056E7" w14:paraId="691CFD92" w14:textId="77777777" w:rsidTr="002316D8">
        <w:tblPrEx>
          <w:tblCellMar>
            <w:left w:w="108" w:type="dxa"/>
            <w:right w:w="108" w:type="dxa"/>
          </w:tblCellMar>
        </w:tblPrEx>
        <w:trPr>
          <w:trHeight w:val="559"/>
        </w:trPr>
        <w:tc>
          <w:tcPr>
            <w:tcW w:w="1816" w:type="pct"/>
            <w:tcBorders>
              <w:bottom w:val="single" w:sz="4" w:space="0" w:color="0054BA" w:themeColor="accent2"/>
            </w:tcBorders>
            <w:vAlign w:val="top"/>
            <w:hideMark/>
          </w:tcPr>
          <w:p w14:paraId="00593947" w14:textId="77777777" w:rsidR="002316D8" w:rsidRPr="000056E7" w:rsidRDefault="002316D8" w:rsidP="002316D8">
            <w:pPr>
              <w:pStyle w:val="Tabletext"/>
              <w:rPr>
                <w:highlight w:val="yellow"/>
              </w:rPr>
            </w:pPr>
            <w:r w:rsidRPr="00B11923">
              <w:t>Unknown</w:t>
            </w:r>
          </w:p>
        </w:tc>
        <w:tc>
          <w:tcPr>
            <w:tcW w:w="1061" w:type="pct"/>
            <w:tcBorders>
              <w:bottom w:val="single" w:sz="4" w:space="0" w:color="0054BA" w:themeColor="accent2"/>
            </w:tcBorders>
            <w:vAlign w:val="top"/>
            <w:hideMark/>
          </w:tcPr>
          <w:p w14:paraId="79F7085F" w14:textId="6169F228" w:rsidR="002316D8" w:rsidRPr="000056E7" w:rsidRDefault="002316D8" w:rsidP="002316D8">
            <w:pPr>
              <w:pStyle w:val="Tabletext"/>
              <w:jc w:val="right"/>
              <w:rPr>
                <w:highlight w:val="yellow"/>
              </w:rPr>
            </w:pPr>
            <w:r w:rsidRPr="00716B0F">
              <w:t>*</w:t>
            </w:r>
          </w:p>
        </w:tc>
        <w:tc>
          <w:tcPr>
            <w:tcW w:w="1062" w:type="pct"/>
            <w:tcBorders>
              <w:bottom w:val="single" w:sz="4" w:space="0" w:color="0054BA" w:themeColor="accent2"/>
            </w:tcBorders>
            <w:vAlign w:val="top"/>
          </w:tcPr>
          <w:p w14:paraId="15090B78" w14:textId="01240DEF" w:rsidR="002316D8" w:rsidRPr="000056E7" w:rsidRDefault="002316D8" w:rsidP="002316D8">
            <w:pPr>
              <w:pStyle w:val="Tabletext"/>
              <w:jc w:val="right"/>
              <w:rPr>
                <w:bCs/>
                <w:highlight w:val="yellow"/>
              </w:rPr>
            </w:pPr>
            <w:r w:rsidRPr="00716B0F">
              <w:t>*</w:t>
            </w:r>
          </w:p>
        </w:tc>
        <w:tc>
          <w:tcPr>
            <w:tcW w:w="1061" w:type="pct"/>
            <w:tcBorders>
              <w:bottom w:val="single" w:sz="4" w:space="0" w:color="0054BA" w:themeColor="accent2"/>
            </w:tcBorders>
            <w:vAlign w:val="top"/>
          </w:tcPr>
          <w:p w14:paraId="1709AC20" w14:textId="6642D89E" w:rsidR="002316D8" w:rsidRPr="00B11923" w:rsidRDefault="002316D8" w:rsidP="002316D8">
            <w:pPr>
              <w:pStyle w:val="Tabletext"/>
              <w:jc w:val="right"/>
            </w:pPr>
            <w:r w:rsidRPr="00716B0F">
              <w:t>*</w:t>
            </w:r>
          </w:p>
        </w:tc>
      </w:tr>
    </w:tbl>
    <w:p w14:paraId="1838C1DA" w14:textId="2B2E10D3" w:rsidR="002316D8" w:rsidRPr="00D0457A" w:rsidRDefault="002316D8" w:rsidP="002316D8">
      <w:pPr>
        <w:pStyle w:val="Caption"/>
      </w:pPr>
      <w:r w:rsidRPr="00D0457A">
        <w:t xml:space="preserve">Note: *Small base size and not reported for statistical disclosure control. Base: All non-borrowers (236). Source: London Economics’ and Ipsos’ analysis of survey data </w:t>
      </w:r>
    </w:p>
    <w:p w14:paraId="04BFC263" w14:textId="0EF502F2" w:rsidR="00D0457A" w:rsidRPr="00D0457A" w:rsidRDefault="00D0457A" w:rsidP="00D0457A">
      <w:pPr>
        <w:pStyle w:val="Heading5"/>
      </w:pPr>
      <w:bookmarkStart w:id="128" w:name="_Ref151988222"/>
      <w:r w:rsidRPr="00D0457A">
        <w:t xml:space="preserve">Table </w:t>
      </w:r>
      <w:r w:rsidRPr="00D0457A">
        <w:fldChar w:fldCharType="begin"/>
      </w:r>
      <w:r w:rsidRPr="00D0457A">
        <w:instrText>SEQ Table \* ARABIC</w:instrText>
      </w:r>
      <w:r w:rsidRPr="00D0457A">
        <w:fldChar w:fldCharType="separate"/>
      </w:r>
      <w:r w:rsidR="001525E9">
        <w:rPr>
          <w:noProof/>
        </w:rPr>
        <w:t>21</w:t>
      </w:r>
      <w:r w:rsidRPr="00D0457A">
        <w:fldChar w:fldCharType="end"/>
      </w:r>
      <w:bookmarkEnd w:id="127"/>
      <w:bookmarkEnd w:id="128"/>
      <w:r w:rsidRPr="00D0457A">
        <w:t xml:space="preserve">: Number of years trading - </w:t>
      </w:r>
      <w:r w:rsidR="002316D8">
        <w:t>b</w:t>
      </w:r>
      <w:r w:rsidRPr="00D0457A">
        <w:t xml:space="preserve">orrowers and non-borrowers </w:t>
      </w:r>
    </w:p>
    <w:tbl>
      <w:tblPr>
        <w:tblStyle w:val="TableGrid"/>
        <w:tblW w:w="0" w:type="auto"/>
        <w:tblLayout w:type="fixed"/>
        <w:tblLook w:val="04A0" w:firstRow="1" w:lastRow="0" w:firstColumn="1" w:lastColumn="0" w:noHBand="0" w:noVBand="1"/>
        <w:tblCaption w:val="Time trading"/>
        <w:tblDescription w:val="Length of time business has been trading"/>
      </w:tblPr>
      <w:tblGrid>
        <w:gridCol w:w="3227"/>
        <w:gridCol w:w="3227"/>
        <w:gridCol w:w="3227"/>
      </w:tblGrid>
      <w:tr w:rsidR="00D0457A" w:rsidRPr="00D0457A" w14:paraId="46F497F5" w14:textId="77777777" w:rsidTr="00D0457A">
        <w:trPr>
          <w:cnfStyle w:val="100000000000" w:firstRow="1" w:lastRow="0" w:firstColumn="0" w:lastColumn="0" w:oddVBand="0" w:evenVBand="0" w:oddHBand="0" w:evenHBand="0" w:firstRowFirstColumn="0" w:firstRowLastColumn="0" w:lastRowFirstColumn="0" w:lastRowLastColumn="0"/>
          <w:trHeight w:val="567"/>
          <w:tblHeader/>
        </w:trPr>
        <w:tc>
          <w:tcPr>
            <w:tcW w:w="3227" w:type="dxa"/>
            <w:vAlign w:val="top"/>
            <w:hideMark/>
          </w:tcPr>
          <w:p w14:paraId="4B910191" w14:textId="77777777" w:rsidR="00D0457A" w:rsidRPr="00D0457A" w:rsidRDefault="00D0457A" w:rsidP="00D0457A">
            <w:pPr>
              <w:pStyle w:val="Tablecolumnheading-inkblue"/>
              <w:rPr>
                <w:color w:val="FFFFFF" w:themeColor="background1"/>
              </w:rPr>
            </w:pPr>
            <w:r w:rsidRPr="00D0457A">
              <w:rPr>
                <w:color w:val="FFFFFF" w:themeColor="background1"/>
              </w:rPr>
              <w:t>Number of years trading</w:t>
            </w:r>
          </w:p>
        </w:tc>
        <w:tc>
          <w:tcPr>
            <w:tcW w:w="3227" w:type="dxa"/>
            <w:vAlign w:val="top"/>
            <w:hideMark/>
          </w:tcPr>
          <w:p w14:paraId="14F5FAF5" w14:textId="2B2261F8" w:rsidR="00D0457A" w:rsidRPr="00D0457A" w:rsidRDefault="00D0457A" w:rsidP="00D0457A">
            <w:pPr>
              <w:pStyle w:val="Tablecolumnheading-inkblue"/>
              <w:jc w:val="right"/>
              <w:rPr>
                <w:color w:val="FFFFFF" w:themeColor="background1"/>
              </w:rPr>
            </w:pPr>
            <w:r>
              <w:rPr>
                <w:color w:val="FFFFFF" w:themeColor="background1"/>
              </w:rPr>
              <w:t>R</w:t>
            </w:r>
            <w:r w:rsidRPr="00D0457A">
              <w:rPr>
                <w:color w:val="FFFFFF" w:themeColor="background1"/>
              </w:rPr>
              <w:t>LS</w:t>
            </w:r>
            <w:r>
              <w:rPr>
                <w:color w:val="FFFFFF" w:themeColor="background1"/>
              </w:rPr>
              <w:t xml:space="preserve"> </w:t>
            </w:r>
            <w:r w:rsidR="002316D8">
              <w:rPr>
                <w:color w:val="FFFFFF" w:themeColor="background1"/>
              </w:rPr>
              <w:t xml:space="preserve">1.0 </w:t>
            </w:r>
            <w:r w:rsidRPr="00D0457A">
              <w:rPr>
                <w:color w:val="FFFFFF" w:themeColor="background1"/>
              </w:rPr>
              <w:t>borrowers</w:t>
            </w:r>
          </w:p>
        </w:tc>
        <w:tc>
          <w:tcPr>
            <w:tcW w:w="3227" w:type="dxa"/>
            <w:vAlign w:val="top"/>
          </w:tcPr>
          <w:p w14:paraId="3BA95655" w14:textId="6AAA5DE3" w:rsidR="00D0457A" w:rsidRPr="00D0457A" w:rsidRDefault="00D0457A" w:rsidP="00D0457A">
            <w:pPr>
              <w:pStyle w:val="Tablecolumnheading-inkblue"/>
              <w:jc w:val="right"/>
              <w:rPr>
                <w:color w:val="FFFFFF" w:themeColor="background1"/>
              </w:rPr>
            </w:pPr>
            <w:r>
              <w:rPr>
                <w:color w:val="FFFFFF" w:themeColor="background1"/>
              </w:rPr>
              <w:t>N</w:t>
            </w:r>
            <w:r w:rsidRPr="00D0457A">
              <w:rPr>
                <w:color w:val="FFFFFF" w:themeColor="background1"/>
              </w:rPr>
              <w:t>on-borrowers</w:t>
            </w:r>
          </w:p>
        </w:tc>
      </w:tr>
      <w:tr w:rsidR="00D0457A" w:rsidRPr="00D0457A" w14:paraId="776974BF"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32"/>
        </w:trPr>
        <w:tc>
          <w:tcPr>
            <w:tcW w:w="3227" w:type="dxa"/>
            <w:vAlign w:val="top"/>
            <w:hideMark/>
          </w:tcPr>
          <w:p w14:paraId="30766A6C" w14:textId="4C09D2DA" w:rsidR="00D0457A" w:rsidRPr="00D0457A" w:rsidRDefault="00D0457A" w:rsidP="00D0457A">
            <w:pPr>
              <w:pStyle w:val="Tabletext"/>
            </w:pPr>
            <w:r w:rsidRPr="00136268">
              <w:t>Less than 10 years</w:t>
            </w:r>
          </w:p>
        </w:tc>
        <w:tc>
          <w:tcPr>
            <w:tcW w:w="3227" w:type="dxa"/>
            <w:vAlign w:val="top"/>
            <w:hideMark/>
          </w:tcPr>
          <w:p w14:paraId="49DD7199" w14:textId="5EA2379A" w:rsidR="00D0457A" w:rsidRPr="00D0457A" w:rsidRDefault="00D0457A" w:rsidP="00D0457A">
            <w:pPr>
              <w:pStyle w:val="Tabletext"/>
              <w:jc w:val="right"/>
            </w:pPr>
            <w:r w:rsidRPr="00136268">
              <w:t>27%</w:t>
            </w:r>
          </w:p>
        </w:tc>
        <w:tc>
          <w:tcPr>
            <w:tcW w:w="3227" w:type="dxa"/>
            <w:vAlign w:val="top"/>
          </w:tcPr>
          <w:p w14:paraId="4F5BD58B" w14:textId="6988A8B6" w:rsidR="00D0457A" w:rsidRPr="00D0457A" w:rsidRDefault="00D0457A" w:rsidP="00D0457A">
            <w:pPr>
              <w:pStyle w:val="Tabletext"/>
              <w:jc w:val="right"/>
              <w:rPr>
                <w:bCs/>
              </w:rPr>
            </w:pPr>
            <w:r w:rsidRPr="00136268">
              <w:t>11%</w:t>
            </w:r>
          </w:p>
        </w:tc>
      </w:tr>
      <w:tr w:rsidR="00D0457A" w:rsidRPr="00D0457A" w14:paraId="5AA142D1" w14:textId="77777777" w:rsidTr="00AB3D40">
        <w:tblPrEx>
          <w:tblCellMar>
            <w:left w:w="108" w:type="dxa"/>
            <w:right w:w="108" w:type="dxa"/>
          </w:tblCellMar>
        </w:tblPrEx>
        <w:trPr>
          <w:trHeight w:val="550"/>
        </w:trPr>
        <w:tc>
          <w:tcPr>
            <w:tcW w:w="3227" w:type="dxa"/>
            <w:vAlign w:val="top"/>
            <w:hideMark/>
          </w:tcPr>
          <w:p w14:paraId="23B0CD7B" w14:textId="06790AC2" w:rsidR="00D0457A" w:rsidRPr="00D0457A" w:rsidRDefault="00D0457A" w:rsidP="00D0457A">
            <w:pPr>
              <w:pStyle w:val="Tabletext"/>
            </w:pPr>
            <w:r w:rsidRPr="00136268">
              <w:t>10-20 years</w:t>
            </w:r>
          </w:p>
        </w:tc>
        <w:tc>
          <w:tcPr>
            <w:tcW w:w="3227" w:type="dxa"/>
            <w:vAlign w:val="top"/>
            <w:hideMark/>
          </w:tcPr>
          <w:p w14:paraId="50C7B888" w14:textId="150535F3" w:rsidR="00D0457A" w:rsidRPr="00D0457A" w:rsidRDefault="002316D8" w:rsidP="00D0457A">
            <w:pPr>
              <w:pStyle w:val="Tabletext"/>
              <w:jc w:val="right"/>
            </w:pPr>
            <w:r>
              <w:t>39</w:t>
            </w:r>
            <w:r w:rsidR="00D0457A" w:rsidRPr="00136268">
              <w:t>%</w:t>
            </w:r>
          </w:p>
        </w:tc>
        <w:tc>
          <w:tcPr>
            <w:tcW w:w="3227" w:type="dxa"/>
            <w:vAlign w:val="top"/>
          </w:tcPr>
          <w:p w14:paraId="18FF12E0" w14:textId="08EAC73D" w:rsidR="00D0457A" w:rsidRPr="00D0457A" w:rsidRDefault="00D0457A" w:rsidP="00D0457A">
            <w:pPr>
              <w:pStyle w:val="Tabletext"/>
              <w:jc w:val="right"/>
              <w:rPr>
                <w:bCs/>
              </w:rPr>
            </w:pPr>
            <w:r w:rsidRPr="00136268">
              <w:t>33%</w:t>
            </w:r>
          </w:p>
        </w:tc>
      </w:tr>
      <w:tr w:rsidR="00D0457A" w:rsidRPr="00D0457A" w14:paraId="5E54DE27" w14:textId="77777777" w:rsidTr="00D0457A">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32"/>
        </w:trPr>
        <w:tc>
          <w:tcPr>
            <w:tcW w:w="3227" w:type="dxa"/>
            <w:vAlign w:val="top"/>
            <w:hideMark/>
          </w:tcPr>
          <w:p w14:paraId="778D2949" w14:textId="00CEFB68" w:rsidR="00D0457A" w:rsidRPr="00D0457A" w:rsidRDefault="00D0457A" w:rsidP="00D0457A">
            <w:pPr>
              <w:pStyle w:val="Tabletext"/>
            </w:pPr>
            <w:r w:rsidRPr="00136268">
              <w:t>More than 20 years</w:t>
            </w:r>
          </w:p>
        </w:tc>
        <w:tc>
          <w:tcPr>
            <w:tcW w:w="3227" w:type="dxa"/>
            <w:vAlign w:val="top"/>
            <w:hideMark/>
          </w:tcPr>
          <w:p w14:paraId="7D75BBCB" w14:textId="5B1FAF04" w:rsidR="00D0457A" w:rsidRPr="00D0457A" w:rsidRDefault="00D0457A" w:rsidP="00D0457A">
            <w:pPr>
              <w:pStyle w:val="Tabletext"/>
              <w:jc w:val="right"/>
            </w:pPr>
            <w:r w:rsidRPr="00136268">
              <w:t>34%</w:t>
            </w:r>
          </w:p>
        </w:tc>
        <w:tc>
          <w:tcPr>
            <w:tcW w:w="3227" w:type="dxa"/>
            <w:vAlign w:val="top"/>
          </w:tcPr>
          <w:p w14:paraId="28B258B4" w14:textId="6F248CC2" w:rsidR="00D0457A" w:rsidRPr="00D0457A" w:rsidRDefault="00D0457A" w:rsidP="00D0457A">
            <w:pPr>
              <w:pStyle w:val="Tabletext"/>
              <w:jc w:val="right"/>
              <w:rPr>
                <w:bCs/>
              </w:rPr>
            </w:pPr>
            <w:r w:rsidRPr="00136268">
              <w:t>56%</w:t>
            </w:r>
          </w:p>
        </w:tc>
      </w:tr>
      <w:tr w:rsidR="00D0457A" w:rsidRPr="00D0457A" w14:paraId="14CD4512" w14:textId="77777777" w:rsidTr="00D0457A">
        <w:tblPrEx>
          <w:tblCellMar>
            <w:left w:w="108" w:type="dxa"/>
            <w:right w:w="108" w:type="dxa"/>
          </w:tblCellMar>
        </w:tblPrEx>
        <w:trPr>
          <w:trHeight w:val="550"/>
        </w:trPr>
        <w:tc>
          <w:tcPr>
            <w:tcW w:w="3227" w:type="dxa"/>
            <w:tcBorders>
              <w:bottom w:val="single" w:sz="4" w:space="0" w:color="0054BA" w:themeColor="accent2"/>
            </w:tcBorders>
            <w:vAlign w:val="top"/>
          </w:tcPr>
          <w:p w14:paraId="78DB6737" w14:textId="6AB0A063" w:rsidR="00D0457A" w:rsidRPr="00D0457A" w:rsidRDefault="00D0457A" w:rsidP="00D0457A">
            <w:pPr>
              <w:pStyle w:val="Tabletext"/>
            </w:pPr>
            <w:r w:rsidRPr="00136268">
              <w:t>Unknown</w:t>
            </w:r>
          </w:p>
        </w:tc>
        <w:tc>
          <w:tcPr>
            <w:tcW w:w="3227" w:type="dxa"/>
            <w:tcBorders>
              <w:bottom w:val="single" w:sz="4" w:space="0" w:color="0054BA" w:themeColor="accent2"/>
            </w:tcBorders>
            <w:vAlign w:val="top"/>
          </w:tcPr>
          <w:p w14:paraId="14139C26" w14:textId="7E20D105" w:rsidR="00D0457A" w:rsidRPr="00D0457A" w:rsidRDefault="002316D8" w:rsidP="00D0457A">
            <w:pPr>
              <w:pStyle w:val="Tabletext"/>
              <w:jc w:val="right"/>
            </w:pPr>
            <w:r>
              <w:t>0%</w:t>
            </w:r>
          </w:p>
        </w:tc>
        <w:tc>
          <w:tcPr>
            <w:tcW w:w="3227" w:type="dxa"/>
            <w:tcBorders>
              <w:bottom w:val="single" w:sz="4" w:space="0" w:color="0054BA" w:themeColor="accent2"/>
            </w:tcBorders>
            <w:vAlign w:val="top"/>
          </w:tcPr>
          <w:p w14:paraId="4F5A1853" w14:textId="37769164" w:rsidR="00D0457A" w:rsidRPr="00D0457A" w:rsidRDefault="00D0457A" w:rsidP="00D0457A">
            <w:pPr>
              <w:pStyle w:val="Tabletext"/>
              <w:jc w:val="right"/>
              <w:rPr>
                <w:bCs/>
              </w:rPr>
            </w:pPr>
            <w:r w:rsidRPr="00136268">
              <w:t>*</w:t>
            </w:r>
          </w:p>
        </w:tc>
      </w:tr>
    </w:tbl>
    <w:p w14:paraId="2B6D8D5B" w14:textId="72DB0763" w:rsidR="00D0457A" w:rsidRPr="00D0457A" w:rsidRDefault="00D0457A" w:rsidP="00D0457A">
      <w:pPr>
        <w:pStyle w:val="Caption"/>
      </w:pPr>
      <w:r w:rsidRPr="00D0457A">
        <w:t xml:space="preserve">Note: *Small base size and not reported for statistical disclosure control. Base: All RLS </w:t>
      </w:r>
      <w:r w:rsidR="002B18A5">
        <w:t xml:space="preserve">1.0 </w:t>
      </w:r>
      <w:r w:rsidRPr="00D0457A">
        <w:t>borrowers (242) and non-borrowers (236). Source: London Economics’ and Ipsos’ analysis of survey data</w:t>
      </w:r>
    </w:p>
    <w:p w14:paraId="1B121658" w14:textId="0F3C92C8" w:rsidR="00D0457A" w:rsidRPr="00D0457A" w:rsidRDefault="00D0457A" w:rsidP="00D0457A">
      <w:pPr>
        <w:pStyle w:val="Heading5"/>
      </w:pPr>
      <w:bookmarkStart w:id="129" w:name="_Ref151391167"/>
      <w:bookmarkStart w:id="130" w:name="_Ref90981797"/>
      <w:r w:rsidRPr="00D0457A">
        <w:t xml:space="preserve">Table </w:t>
      </w:r>
      <w:r w:rsidRPr="00D0457A">
        <w:fldChar w:fldCharType="begin"/>
      </w:r>
      <w:r w:rsidRPr="00D0457A">
        <w:instrText>SEQ Table \* ARABIC</w:instrText>
      </w:r>
      <w:r w:rsidRPr="00D0457A">
        <w:fldChar w:fldCharType="separate"/>
      </w:r>
      <w:r w:rsidR="001525E9">
        <w:rPr>
          <w:noProof/>
        </w:rPr>
        <w:t>22</w:t>
      </w:r>
      <w:r w:rsidRPr="00D0457A">
        <w:fldChar w:fldCharType="end"/>
      </w:r>
      <w:bookmarkEnd w:id="129"/>
      <w:r w:rsidRPr="00D0457A">
        <w:t xml:space="preserve">: </w:t>
      </w:r>
      <w:r>
        <w:t>Business region</w:t>
      </w:r>
      <w:r w:rsidRPr="00D0457A">
        <w:t xml:space="preserve"> - </w:t>
      </w:r>
      <w:r w:rsidR="002316D8">
        <w:t>b</w:t>
      </w:r>
      <w:r w:rsidRPr="00D0457A">
        <w:t xml:space="preserve">orrowers and non-borrowers </w:t>
      </w:r>
    </w:p>
    <w:tbl>
      <w:tblPr>
        <w:tblStyle w:val="TableGrid"/>
        <w:tblW w:w="0" w:type="auto"/>
        <w:tblLayout w:type="fixed"/>
        <w:tblLook w:val="04A0" w:firstRow="1" w:lastRow="0" w:firstColumn="1" w:lastColumn="0" w:noHBand="0" w:noVBand="1"/>
        <w:tblCaption w:val="Time trading"/>
        <w:tblDescription w:val="Length of time business has been trading"/>
      </w:tblPr>
      <w:tblGrid>
        <w:gridCol w:w="3227"/>
        <w:gridCol w:w="3227"/>
        <w:gridCol w:w="3227"/>
      </w:tblGrid>
      <w:tr w:rsidR="00D0457A" w:rsidRPr="00D0457A" w14:paraId="41AAC929" w14:textId="77777777" w:rsidTr="00AB3D40">
        <w:trPr>
          <w:cnfStyle w:val="100000000000" w:firstRow="1" w:lastRow="0" w:firstColumn="0" w:lastColumn="0" w:oddVBand="0" w:evenVBand="0" w:oddHBand="0" w:evenHBand="0" w:firstRowFirstColumn="0" w:firstRowLastColumn="0" w:lastRowFirstColumn="0" w:lastRowLastColumn="0"/>
          <w:trHeight w:val="567"/>
          <w:tblHeader/>
        </w:trPr>
        <w:tc>
          <w:tcPr>
            <w:tcW w:w="3227" w:type="dxa"/>
            <w:vAlign w:val="top"/>
            <w:hideMark/>
          </w:tcPr>
          <w:p w14:paraId="1FEFFE68" w14:textId="3893049C" w:rsidR="00D0457A" w:rsidRPr="00D0457A" w:rsidRDefault="00D0457A" w:rsidP="00AB3D40">
            <w:pPr>
              <w:pStyle w:val="Tablecolumnheading-inkblue"/>
              <w:rPr>
                <w:color w:val="FFFFFF" w:themeColor="background1"/>
              </w:rPr>
            </w:pPr>
            <w:r>
              <w:rPr>
                <w:color w:val="FFFFFF" w:themeColor="background1"/>
              </w:rPr>
              <w:t>Region</w:t>
            </w:r>
          </w:p>
        </w:tc>
        <w:tc>
          <w:tcPr>
            <w:tcW w:w="3227" w:type="dxa"/>
            <w:vAlign w:val="top"/>
            <w:hideMark/>
          </w:tcPr>
          <w:p w14:paraId="54FFA21A" w14:textId="4EACBA37" w:rsidR="00D0457A" w:rsidRPr="00D0457A" w:rsidRDefault="00D0457A" w:rsidP="00AB3D40">
            <w:pPr>
              <w:pStyle w:val="Tablecolumnheading-inkblue"/>
              <w:jc w:val="right"/>
              <w:rPr>
                <w:color w:val="FFFFFF" w:themeColor="background1"/>
              </w:rPr>
            </w:pPr>
            <w:r>
              <w:rPr>
                <w:color w:val="FFFFFF" w:themeColor="background1"/>
              </w:rPr>
              <w:t>R</w:t>
            </w:r>
            <w:r w:rsidRPr="00D0457A">
              <w:rPr>
                <w:color w:val="FFFFFF" w:themeColor="background1"/>
              </w:rPr>
              <w:t>LS</w:t>
            </w:r>
            <w:r>
              <w:rPr>
                <w:color w:val="FFFFFF" w:themeColor="background1"/>
              </w:rPr>
              <w:t xml:space="preserve"> </w:t>
            </w:r>
            <w:r w:rsidR="002316D8">
              <w:rPr>
                <w:color w:val="FFFFFF" w:themeColor="background1"/>
              </w:rPr>
              <w:t xml:space="preserve">1.0 </w:t>
            </w:r>
            <w:r w:rsidRPr="00D0457A">
              <w:rPr>
                <w:color w:val="FFFFFF" w:themeColor="background1"/>
              </w:rPr>
              <w:t>borrowers</w:t>
            </w:r>
          </w:p>
        </w:tc>
        <w:tc>
          <w:tcPr>
            <w:tcW w:w="3227" w:type="dxa"/>
            <w:vAlign w:val="top"/>
          </w:tcPr>
          <w:p w14:paraId="6DFA981F" w14:textId="77777777" w:rsidR="00D0457A" w:rsidRPr="00D0457A" w:rsidRDefault="00D0457A" w:rsidP="00AB3D40">
            <w:pPr>
              <w:pStyle w:val="Tablecolumnheading-inkblue"/>
              <w:jc w:val="right"/>
              <w:rPr>
                <w:color w:val="FFFFFF" w:themeColor="background1"/>
              </w:rPr>
            </w:pPr>
            <w:r>
              <w:rPr>
                <w:color w:val="FFFFFF" w:themeColor="background1"/>
              </w:rPr>
              <w:t>N</w:t>
            </w:r>
            <w:r w:rsidRPr="00D0457A">
              <w:rPr>
                <w:color w:val="FFFFFF" w:themeColor="background1"/>
              </w:rPr>
              <w:t>on-borrowers</w:t>
            </w:r>
          </w:p>
        </w:tc>
      </w:tr>
      <w:tr w:rsidR="00D0457A" w:rsidRPr="00D0457A" w14:paraId="63887965"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32"/>
        </w:trPr>
        <w:tc>
          <w:tcPr>
            <w:tcW w:w="3227" w:type="dxa"/>
            <w:vAlign w:val="top"/>
          </w:tcPr>
          <w:p w14:paraId="723A544F" w14:textId="7D234171" w:rsidR="00D0457A" w:rsidRPr="00136268" w:rsidRDefault="00D0457A" w:rsidP="00D0457A">
            <w:pPr>
              <w:pStyle w:val="Tabletext"/>
            </w:pPr>
            <w:r w:rsidRPr="00BD6C95">
              <w:t>East Midlands</w:t>
            </w:r>
          </w:p>
        </w:tc>
        <w:tc>
          <w:tcPr>
            <w:tcW w:w="3227" w:type="dxa"/>
            <w:vAlign w:val="top"/>
          </w:tcPr>
          <w:p w14:paraId="42C141F3" w14:textId="338AF61D" w:rsidR="00D0457A" w:rsidRPr="00136268" w:rsidRDefault="002316D8" w:rsidP="00D0457A">
            <w:pPr>
              <w:pStyle w:val="Tabletext"/>
              <w:jc w:val="right"/>
            </w:pPr>
            <w:r>
              <w:t>7</w:t>
            </w:r>
            <w:r w:rsidR="00D0457A" w:rsidRPr="00BD6C95">
              <w:t>%</w:t>
            </w:r>
          </w:p>
        </w:tc>
        <w:tc>
          <w:tcPr>
            <w:tcW w:w="3227" w:type="dxa"/>
            <w:vAlign w:val="top"/>
          </w:tcPr>
          <w:p w14:paraId="0B0BECCF" w14:textId="2C4C74AC" w:rsidR="00D0457A" w:rsidRPr="00136268" w:rsidRDefault="00D0457A" w:rsidP="00D0457A">
            <w:pPr>
              <w:pStyle w:val="Tabletext"/>
              <w:jc w:val="right"/>
            </w:pPr>
            <w:r w:rsidRPr="00BD6C95">
              <w:t>7%</w:t>
            </w:r>
          </w:p>
        </w:tc>
      </w:tr>
      <w:tr w:rsidR="00D0457A" w:rsidRPr="00D0457A" w14:paraId="0F622B30" w14:textId="77777777" w:rsidTr="00AB3D40">
        <w:tblPrEx>
          <w:tblCellMar>
            <w:left w:w="108" w:type="dxa"/>
            <w:right w:w="108" w:type="dxa"/>
          </w:tblCellMar>
        </w:tblPrEx>
        <w:trPr>
          <w:trHeight w:val="532"/>
        </w:trPr>
        <w:tc>
          <w:tcPr>
            <w:tcW w:w="3227" w:type="dxa"/>
            <w:vAlign w:val="top"/>
          </w:tcPr>
          <w:p w14:paraId="05A5FA60" w14:textId="0C24C0A8" w:rsidR="00D0457A" w:rsidRPr="00136268" w:rsidRDefault="00D0457A" w:rsidP="00D0457A">
            <w:pPr>
              <w:pStyle w:val="Tabletext"/>
            </w:pPr>
            <w:r w:rsidRPr="00BD6C95">
              <w:t>East of England</w:t>
            </w:r>
          </w:p>
        </w:tc>
        <w:tc>
          <w:tcPr>
            <w:tcW w:w="3227" w:type="dxa"/>
            <w:vAlign w:val="top"/>
          </w:tcPr>
          <w:p w14:paraId="4B82F0D1" w14:textId="78FF9C28" w:rsidR="00D0457A" w:rsidRPr="00136268" w:rsidRDefault="00D0457A" w:rsidP="00D0457A">
            <w:pPr>
              <w:pStyle w:val="Tabletext"/>
              <w:jc w:val="right"/>
            </w:pPr>
            <w:r w:rsidRPr="00BD6C95">
              <w:t>10%</w:t>
            </w:r>
          </w:p>
        </w:tc>
        <w:tc>
          <w:tcPr>
            <w:tcW w:w="3227" w:type="dxa"/>
            <w:vAlign w:val="top"/>
          </w:tcPr>
          <w:p w14:paraId="795D67C0" w14:textId="0116B467" w:rsidR="00D0457A" w:rsidRPr="00136268" w:rsidRDefault="00D0457A" w:rsidP="00D0457A">
            <w:pPr>
              <w:pStyle w:val="Tabletext"/>
              <w:jc w:val="right"/>
            </w:pPr>
            <w:r w:rsidRPr="00BD6C95">
              <w:t>10%</w:t>
            </w:r>
          </w:p>
        </w:tc>
      </w:tr>
      <w:tr w:rsidR="00D0457A" w:rsidRPr="00D0457A" w14:paraId="31E84AE5"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32"/>
        </w:trPr>
        <w:tc>
          <w:tcPr>
            <w:tcW w:w="3227" w:type="dxa"/>
            <w:vAlign w:val="top"/>
          </w:tcPr>
          <w:p w14:paraId="441F7C6C" w14:textId="5F138F49" w:rsidR="00D0457A" w:rsidRPr="00136268" w:rsidRDefault="00D0457A" w:rsidP="00D0457A">
            <w:pPr>
              <w:pStyle w:val="Tabletext"/>
            </w:pPr>
            <w:r w:rsidRPr="00BD6C95">
              <w:t>West Midlands</w:t>
            </w:r>
          </w:p>
        </w:tc>
        <w:tc>
          <w:tcPr>
            <w:tcW w:w="3227" w:type="dxa"/>
            <w:vAlign w:val="top"/>
          </w:tcPr>
          <w:p w14:paraId="06F5069E" w14:textId="44DC6A93" w:rsidR="00D0457A" w:rsidRPr="00136268" w:rsidRDefault="002316D8" w:rsidP="00D0457A">
            <w:pPr>
              <w:pStyle w:val="Tabletext"/>
              <w:jc w:val="right"/>
            </w:pPr>
            <w:r>
              <w:t>9</w:t>
            </w:r>
            <w:r w:rsidR="00D0457A" w:rsidRPr="00BD6C95">
              <w:t>%</w:t>
            </w:r>
          </w:p>
        </w:tc>
        <w:tc>
          <w:tcPr>
            <w:tcW w:w="3227" w:type="dxa"/>
            <w:vAlign w:val="top"/>
          </w:tcPr>
          <w:p w14:paraId="010B848A" w14:textId="4369E6E5" w:rsidR="00D0457A" w:rsidRPr="00136268" w:rsidRDefault="00D0457A" w:rsidP="00D0457A">
            <w:pPr>
              <w:pStyle w:val="Tabletext"/>
              <w:jc w:val="right"/>
            </w:pPr>
            <w:r w:rsidRPr="00BD6C95">
              <w:t>10%</w:t>
            </w:r>
          </w:p>
        </w:tc>
      </w:tr>
      <w:tr w:rsidR="00D0457A" w:rsidRPr="00D0457A" w14:paraId="6652B792" w14:textId="77777777" w:rsidTr="00AB3D40">
        <w:tblPrEx>
          <w:tblCellMar>
            <w:left w:w="108" w:type="dxa"/>
            <w:right w:w="108" w:type="dxa"/>
          </w:tblCellMar>
        </w:tblPrEx>
        <w:trPr>
          <w:trHeight w:val="532"/>
        </w:trPr>
        <w:tc>
          <w:tcPr>
            <w:tcW w:w="3227" w:type="dxa"/>
            <w:vAlign w:val="top"/>
          </w:tcPr>
          <w:p w14:paraId="378E05D7" w14:textId="50CBA8FF" w:rsidR="00D0457A" w:rsidRPr="00136268" w:rsidRDefault="00D0457A" w:rsidP="00D0457A">
            <w:pPr>
              <w:pStyle w:val="Tabletext"/>
            </w:pPr>
            <w:r w:rsidRPr="00BD6C95">
              <w:t>London</w:t>
            </w:r>
          </w:p>
        </w:tc>
        <w:tc>
          <w:tcPr>
            <w:tcW w:w="3227" w:type="dxa"/>
            <w:vAlign w:val="top"/>
          </w:tcPr>
          <w:p w14:paraId="5E82D57E" w14:textId="301F1541" w:rsidR="00D0457A" w:rsidRPr="00136268" w:rsidRDefault="00D0457A" w:rsidP="00D0457A">
            <w:pPr>
              <w:pStyle w:val="Tabletext"/>
              <w:jc w:val="right"/>
            </w:pPr>
            <w:r w:rsidRPr="00BD6C95">
              <w:t>18%</w:t>
            </w:r>
          </w:p>
        </w:tc>
        <w:tc>
          <w:tcPr>
            <w:tcW w:w="3227" w:type="dxa"/>
            <w:vAlign w:val="top"/>
          </w:tcPr>
          <w:p w14:paraId="5C4536C3" w14:textId="337F378E" w:rsidR="00D0457A" w:rsidRPr="00136268" w:rsidRDefault="00D0457A" w:rsidP="00D0457A">
            <w:pPr>
              <w:pStyle w:val="Tabletext"/>
              <w:jc w:val="right"/>
            </w:pPr>
            <w:r w:rsidRPr="00BD6C95">
              <w:t>18%</w:t>
            </w:r>
          </w:p>
        </w:tc>
      </w:tr>
      <w:tr w:rsidR="00D0457A" w:rsidRPr="00D0457A" w14:paraId="093BC9F0"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32"/>
        </w:trPr>
        <w:tc>
          <w:tcPr>
            <w:tcW w:w="3227" w:type="dxa"/>
            <w:vAlign w:val="top"/>
          </w:tcPr>
          <w:p w14:paraId="30AC678D" w14:textId="32830D5E" w:rsidR="00D0457A" w:rsidRPr="00136268" w:rsidRDefault="00D0457A" w:rsidP="00D0457A">
            <w:pPr>
              <w:pStyle w:val="Tabletext"/>
            </w:pPr>
            <w:r w:rsidRPr="00BD6C95">
              <w:t>North East</w:t>
            </w:r>
          </w:p>
        </w:tc>
        <w:tc>
          <w:tcPr>
            <w:tcW w:w="3227" w:type="dxa"/>
            <w:vAlign w:val="top"/>
          </w:tcPr>
          <w:p w14:paraId="610D5EDE" w14:textId="68A48D43" w:rsidR="00D0457A" w:rsidRPr="00136268" w:rsidRDefault="00D0457A" w:rsidP="00D0457A">
            <w:pPr>
              <w:pStyle w:val="Tabletext"/>
              <w:jc w:val="right"/>
            </w:pPr>
            <w:r w:rsidRPr="00BD6C95">
              <w:t>3%</w:t>
            </w:r>
          </w:p>
        </w:tc>
        <w:tc>
          <w:tcPr>
            <w:tcW w:w="3227" w:type="dxa"/>
            <w:vAlign w:val="top"/>
          </w:tcPr>
          <w:p w14:paraId="58FD51E6" w14:textId="0BCC3370" w:rsidR="00D0457A" w:rsidRPr="00136268" w:rsidRDefault="00D0457A" w:rsidP="00D0457A">
            <w:pPr>
              <w:pStyle w:val="Tabletext"/>
              <w:jc w:val="right"/>
            </w:pPr>
            <w:r w:rsidRPr="00BD6C95">
              <w:t>3%</w:t>
            </w:r>
          </w:p>
        </w:tc>
      </w:tr>
      <w:tr w:rsidR="00D0457A" w:rsidRPr="00D0457A" w14:paraId="2796F0FB" w14:textId="77777777" w:rsidTr="00AB3D40">
        <w:tblPrEx>
          <w:tblCellMar>
            <w:left w:w="108" w:type="dxa"/>
            <w:right w:w="108" w:type="dxa"/>
          </w:tblCellMar>
        </w:tblPrEx>
        <w:trPr>
          <w:trHeight w:val="532"/>
        </w:trPr>
        <w:tc>
          <w:tcPr>
            <w:tcW w:w="3227" w:type="dxa"/>
            <w:vAlign w:val="top"/>
          </w:tcPr>
          <w:p w14:paraId="55BEA672" w14:textId="33DDF8F9" w:rsidR="00D0457A" w:rsidRPr="00136268" w:rsidRDefault="00D0457A" w:rsidP="00D0457A">
            <w:pPr>
              <w:pStyle w:val="Tabletext"/>
            </w:pPr>
            <w:r w:rsidRPr="00BD6C95">
              <w:t>North West</w:t>
            </w:r>
          </w:p>
        </w:tc>
        <w:tc>
          <w:tcPr>
            <w:tcW w:w="3227" w:type="dxa"/>
            <w:vAlign w:val="top"/>
          </w:tcPr>
          <w:p w14:paraId="0E044E57" w14:textId="0E878BD7" w:rsidR="00D0457A" w:rsidRPr="00136268" w:rsidRDefault="00D0457A" w:rsidP="00D0457A">
            <w:pPr>
              <w:pStyle w:val="Tabletext"/>
              <w:jc w:val="right"/>
            </w:pPr>
            <w:r w:rsidRPr="00BD6C95">
              <w:t>1</w:t>
            </w:r>
            <w:r w:rsidR="002316D8">
              <w:t>0</w:t>
            </w:r>
            <w:r w:rsidRPr="00BD6C95">
              <w:t>%</w:t>
            </w:r>
          </w:p>
        </w:tc>
        <w:tc>
          <w:tcPr>
            <w:tcW w:w="3227" w:type="dxa"/>
            <w:vAlign w:val="top"/>
          </w:tcPr>
          <w:p w14:paraId="563E1ACC" w14:textId="1068C9B9" w:rsidR="00D0457A" w:rsidRPr="00136268" w:rsidRDefault="00D0457A" w:rsidP="00D0457A">
            <w:pPr>
              <w:pStyle w:val="Tabletext"/>
              <w:jc w:val="right"/>
            </w:pPr>
            <w:r w:rsidRPr="00BD6C95">
              <w:t>11%</w:t>
            </w:r>
          </w:p>
        </w:tc>
      </w:tr>
      <w:tr w:rsidR="00D0457A" w:rsidRPr="00D0457A" w14:paraId="3941F6CF"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32"/>
        </w:trPr>
        <w:tc>
          <w:tcPr>
            <w:tcW w:w="3227" w:type="dxa"/>
            <w:vAlign w:val="top"/>
          </w:tcPr>
          <w:p w14:paraId="64A7A419" w14:textId="1F0F7FD9" w:rsidR="00D0457A" w:rsidRPr="00136268" w:rsidRDefault="00D0457A" w:rsidP="00D0457A">
            <w:pPr>
              <w:pStyle w:val="Tabletext"/>
            </w:pPr>
            <w:r w:rsidRPr="00BD6C95">
              <w:t>Yorkshire and The Humber</w:t>
            </w:r>
          </w:p>
        </w:tc>
        <w:tc>
          <w:tcPr>
            <w:tcW w:w="3227" w:type="dxa"/>
            <w:vAlign w:val="top"/>
          </w:tcPr>
          <w:p w14:paraId="0E4F47E6" w14:textId="30A85FCE" w:rsidR="00D0457A" w:rsidRPr="00136268" w:rsidRDefault="00D0457A" w:rsidP="00D0457A">
            <w:pPr>
              <w:pStyle w:val="Tabletext"/>
              <w:jc w:val="right"/>
            </w:pPr>
            <w:r w:rsidRPr="00BD6C95">
              <w:t>8%</w:t>
            </w:r>
          </w:p>
        </w:tc>
        <w:tc>
          <w:tcPr>
            <w:tcW w:w="3227" w:type="dxa"/>
            <w:vAlign w:val="top"/>
          </w:tcPr>
          <w:p w14:paraId="1285FCDA" w14:textId="46702F9D" w:rsidR="00D0457A" w:rsidRPr="00136268" w:rsidRDefault="00D0457A" w:rsidP="00D0457A">
            <w:pPr>
              <w:pStyle w:val="Tabletext"/>
              <w:jc w:val="right"/>
            </w:pPr>
            <w:r w:rsidRPr="00BD6C95">
              <w:t>8%</w:t>
            </w:r>
          </w:p>
        </w:tc>
      </w:tr>
      <w:tr w:rsidR="00D0457A" w:rsidRPr="00D0457A" w14:paraId="61D862E5" w14:textId="77777777" w:rsidTr="00AB3D40">
        <w:tblPrEx>
          <w:tblCellMar>
            <w:left w:w="108" w:type="dxa"/>
            <w:right w:w="108" w:type="dxa"/>
          </w:tblCellMar>
        </w:tblPrEx>
        <w:trPr>
          <w:trHeight w:val="532"/>
        </w:trPr>
        <w:tc>
          <w:tcPr>
            <w:tcW w:w="3227" w:type="dxa"/>
            <w:vAlign w:val="top"/>
          </w:tcPr>
          <w:p w14:paraId="32A64535" w14:textId="58DF6257" w:rsidR="00D0457A" w:rsidRPr="00136268" w:rsidRDefault="00D0457A" w:rsidP="00D0457A">
            <w:pPr>
              <w:pStyle w:val="Tabletext"/>
            </w:pPr>
            <w:r w:rsidRPr="00BD6C95">
              <w:t>South East</w:t>
            </w:r>
          </w:p>
        </w:tc>
        <w:tc>
          <w:tcPr>
            <w:tcW w:w="3227" w:type="dxa"/>
            <w:vAlign w:val="top"/>
          </w:tcPr>
          <w:p w14:paraId="2FB9CC36" w14:textId="5F37B20A" w:rsidR="00D0457A" w:rsidRPr="00136268" w:rsidRDefault="00D0457A" w:rsidP="00D0457A">
            <w:pPr>
              <w:pStyle w:val="Tabletext"/>
              <w:jc w:val="right"/>
            </w:pPr>
            <w:r w:rsidRPr="00BD6C95">
              <w:t>1</w:t>
            </w:r>
            <w:r w:rsidR="002316D8">
              <w:t>5</w:t>
            </w:r>
            <w:r w:rsidRPr="00BD6C95">
              <w:t>%</w:t>
            </w:r>
          </w:p>
        </w:tc>
        <w:tc>
          <w:tcPr>
            <w:tcW w:w="3227" w:type="dxa"/>
            <w:vAlign w:val="top"/>
          </w:tcPr>
          <w:p w14:paraId="05DBF1D0" w14:textId="10A64535" w:rsidR="00D0457A" w:rsidRPr="00136268" w:rsidRDefault="00D0457A" w:rsidP="00D0457A">
            <w:pPr>
              <w:pStyle w:val="Tabletext"/>
              <w:jc w:val="right"/>
            </w:pPr>
            <w:r w:rsidRPr="00BD6C95">
              <w:t>1</w:t>
            </w:r>
            <w:r w:rsidR="002316D8">
              <w:t>6</w:t>
            </w:r>
            <w:r w:rsidRPr="00BD6C95">
              <w:t>%</w:t>
            </w:r>
          </w:p>
        </w:tc>
      </w:tr>
      <w:tr w:rsidR="00D0457A" w:rsidRPr="00D0457A" w14:paraId="0A0A00DB"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32"/>
        </w:trPr>
        <w:tc>
          <w:tcPr>
            <w:tcW w:w="3227" w:type="dxa"/>
            <w:vAlign w:val="top"/>
            <w:hideMark/>
          </w:tcPr>
          <w:p w14:paraId="4FF3F2F3" w14:textId="735C2C3A" w:rsidR="00D0457A" w:rsidRPr="00D0457A" w:rsidRDefault="00D0457A" w:rsidP="00D0457A">
            <w:pPr>
              <w:pStyle w:val="Tabletext"/>
            </w:pPr>
            <w:r w:rsidRPr="00BD6C95">
              <w:t>South West</w:t>
            </w:r>
          </w:p>
        </w:tc>
        <w:tc>
          <w:tcPr>
            <w:tcW w:w="3227" w:type="dxa"/>
            <w:vAlign w:val="top"/>
            <w:hideMark/>
          </w:tcPr>
          <w:p w14:paraId="5CBC31F0" w14:textId="1A33B4FB" w:rsidR="00D0457A" w:rsidRPr="00D0457A" w:rsidRDefault="00D0457A" w:rsidP="00D0457A">
            <w:pPr>
              <w:pStyle w:val="Tabletext"/>
              <w:jc w:val="right"/>
            </w:pPr>
            <w:r w:rsidRPr="00BD6C95">
              <w:t>8%</w:t>
            </w:r>
          </w:p>
        </w:tc>
        <w:tc>
          <w:tcPr>
            <w:tcW w:w="3227" w:type="dxa"/>
            <w:vAlign w:val="top"/>
          </w:tcPr>
          <w:p w14:paraId="3AD49FFA" w14:textId="004D979D" w:rsidR="00D0457A" w:rsidRPr="00D0457A" w:rsidRDefault="00D0457A" w:rsidP="00D0457A">
            <w:pPr>
              <w:pStyle w:val="Tabletext"/>
              <w:jc w:val="right"/>
              <w:rPr>
                <w:bCs/>
              </w:rPr>
            </w:pPr>
            <w:r w:rsidRPr="00BD6C95">
              <w:t>8%</w:t>
            </w:r>
          </w:p>
        </w:tc>
      </w:tr>
      <w:tr w:rsidR="00D0457A" w:rsidRPr="00D0457A" w14:paraId="0264310F" w14:textId="77777777" w:rsidTr="00AB3D40">
        <w:tblPrEx>
          <w:tblCellMar>
            <w:left w:w="108" w:type="dxa"/>
            <w:right w:w="108" w:type="dxa"/>
          </w:tblCellMar>
        </w:tblPrEx>
        <w:trPr>
          <w:trHeight w:val="550"/>
        </w:trPr>
        <w:tc>
          <w:tcPr>
            <w:tcW w:w="3227" w:type="dxa"/>
            <w:vAlign w:val="top"/>
            <w:hideMark/>
          </w:tcPr>
          <w:p w14:paraId="3CCF8C87" w14:textId="03581648" w:rsidR="00D0457A" w:rsidRPr="00D0457A" w:rsidRDefault="00D0457A" w:rsidP="00D0457A">
            <w:pPr>
              <w:pStyle w:val="Tabletext"/>
            </w:pPr>
            <w:r w:rsidRPr="00BD6C95">
              <w:t>Scotland</w:t>
            </w:r>
          </w:p>
        </w:tc>
        <w:tc>
          <w:tcPr>
            <w:tcW w:w="3227" w:type="dxa"/>
            <w:vAlign w:val="top"/>
            <w:hideMark/>
          </w:tcPr>
          <w:p w14:paraId="014EEF03" w14:textId="7F6C80FF" w:rsidR="00D0457A" w:rsidRPr="00D0457A" w:rsidRDefault="00D0457A" w:rsidP="00D0457A">
            <w:pPr>
              <w:pStyle w:val="Tabletext"/>
              <w:jc w:val="right"/>
            </w:pPr>
            <w:r w:rsidRPr="00BD6C95">
              <w:t>6%</w:t>
            </w:r>
          </w:p>
        </w:tc>
        <w:tc>
          <w:tcPr>
            <w:tcW w:w="3227" w:type="dxa"/>
            <w:vAlign w:val="top"/>
          </w:tcPr>
          <w:p w14:paraId="4C340302" w14:textId="3E597DD2" w:rsidR="00D0457A" w:rsidRPr="00D0457A" w:rsidRDefault="00D0457A" w:rsidP="00D0457A">
            <w:pPr>
              <w:pStyle w:val="Tabletext"/>
              <w:jc w:val="right"/>
              <w:rPr>
                <w:bCs/>
              </w:rPr>
            </w:pPr>
            <w:r w:rsidRPr="00BD6C95">
              <w:t>6%</w:t>
            </w:r>
          </w:p>
        </w:tc>
      </w:tr>
      <w:tr w:rsidR="00D0457A" w:rsidRPr="00D0457A" w14:paraId="24B1D1C7"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32"/>
        </w:trPr>
        <w:tc>
          <w:tcPr>
            <w:tcW w:w="3227" w:type="dxa"/>
            <w:vAlign w:val="top"/>
            <w:hideMark/>
          </w:tcPr>
          <w:p w14:paraId="58BAB668" w14:textId="5542F0E0" w:rsidR="00D0457A" w:rsidRPr="00D0457A" w:rsidRDefault="00D0457A" w:rsidP="00D0457A">
            <w:pPr>
              <w:pStyle w:val="Tabletext"/>
            </w:pPr>
            <w:r w:rsidRPr="00BD6C95">
              <w:t>Wales</w:t>
            </w:r>
          </w:p>
        </w:tc>
        <w:tc>
          <w:tcPr>
            <w:tcW w:w="3227" w:type="dxa"/>
            <w:vAlign w:val="top"/>
            <w:hideMark/>
          </w:tcPr>
          <w:p w14:paraId="0DF4A933" w14:textId="4D9D871D" w:rsidR="00D0457A" w:rsidRPr="00D0457A" w:rsidRDefault="00D0457A" w:rsidP="00D0457A">
            <w:pPr>
              <w:pStyle w:val="Tabletext"/>
              <w:jc w:val="right"/>
            </w:pPr>
            <w:r w:rsidRPr="00BD6C95">
              <w:t>3%</w:t>
            </w:r>
          </w:p>
        </w:tc>
        <w:tc>
          <w:tcPr>
            <w:tcW w:w="3227" w:type="dxa"/>
            <w:vAlign w:val="top"/>
          </w:tcPr>
          <w:p w14:paraId="7E0BC5D7" w14:textId="76A44093" w:rsidR="00D0457A" w:rsidRPr="00D0457A" w:rsidRDefault="00D0457A" w:rsidP="00D0457A">
            <w:pPr>
              <w:pStyle w:val="Tabletext"/>
              <w:jc w:val="right"/>
              <w:rPr>
                <w:bCs/>
              </w:rPr>
            </w:pPr>
            <w:r w:rsidRPr="00BD6C95">
              <w:t>3%</w:t>
            </w:r>
          </w:p>
        </w:tc>
      </w:tr>
      <w:tr w:rsidR="00D0457A" w:rsidRPr="00D0457A" w14:paraId="43D781E4" w14:textId="77777777" w:rsidTr="00AB3D40">
        <w:tblPrEx>
          <w:tblCellMar>
            <w:left w:w="108" w:type="dxa"/>
            <w:right w:w="108" w:type="dxa"/>
          </w:tblCellMar>
        </w:tblPrEx>
        <w:trPr>
          <w:trHeight w:val="550"/>
        </w:trPr>
        <w:tc>
          <w:tcPr>
            <w:tcW w:w="3227" w:type="dxa"/>
            <w:tcBorders>
              <w:bottom w:val="single" w:sz="4" w:space="0" w:color="0054BA" w:themeColor="accent2"/>
            </w:tcBorders>
            <w:vAlign w:val="top"/>
          </w:tcPr>
          <w:p w14:paraId="54C97EC2" w14:textId="53B09BF8" w:rsidR="00D0457A" w:rsidRPr="00D0457A" w:rsidRDefault="00D0457A" w:rsidP="00D0457A">
            <w:pPr>
              <w:pStyle w:val="Tabletext"/>
            </w:pPr>
            <w:r w:rsidRPr="00BD6C95">
              <w:t>Northern Ireland</w:t>
            </w:r>
          </w:p>
        </w:tc>
        <w:tc>
          <w:tcPr>
            <w:tcW w:w="3227" w:type="dxa"/>
            <w:tcBorders>
              <w:bottom w:val="single" w:sz="4" w:space="0" w:color="0054BA" w:themeColor="accent2"/>
            </w:tcBorders>
            <w:vAlign w:val="top"/>
          </w:tcPr>
          <w:p w14:paraId="5110AC8C" w14:textId="27593BD1" w:rsidR="00D0457A" w:rsidRPr="00D0457A" w:rsidRDefault="00D0457A" w:rsidP="00D0457A">
            <w:pPr>
              <w:pStyle w:val="Tabletext"/>
              <w:jc w:val="right"/>
            </w:pPr>
            <w:r w:rsidRPr="00BD6C95">
              <w:t>*</w:t>
            </w:r>
          </w:p>
        </w:tc>
        <w:tc>
          <w:tcPr>
            <w:tcW w:w="3227" w:type="dxa"/>
            <w:tcBorders>
              <w:bottom w:val="single" w:sz="4" w:space="0" w:color="0054BA" w:themeColor="accent2"/>
            </w:tcBorders>
            <w:vAlign w:val="top"/>
          </w:tcPr>
          <w:p w14:paraId="07B8490F" w14:textId="307558F4" w:rsidR="00D0457A" w:rsidRPr="00D0457A" w:rsidRDefault="002316D8" w:rsidP="00D0457A">
            <w:pPr>
              <w:pStyle w:val="Tabletext"/>
              <w:jc w:val="right"/>
              <w:rPr>
                <w:bCs/>
              </w:rPr>
            </w:pPr>
            <w:r>
              <w:rPr>
                <w:bCs/>
              </w:rPr>
              <w:t>0%</w:t>
            </w:r>
          </w:p>
        </w:tc>
      </w:tr>
    </w:tbl>
    <w:p w14:paraId="3D9EDF92" w14:textId="2B522A76" w:rsidR="00D0457A" w:rsidRPr="00D0457A" w:rsidRDefault="00D0457A" w:rsidP="00D0457A">
      <w:pPr>
        <w:pStyle w:val="Caption"/>
      </w:pPr>
      <w:r w:rsidRPr="00D0457A">
        <w:t xml:space="preserve">Note: *Small base size and not reported for statistical disclosure control. Base: All RLS </w:t>
      </w:r>
      <w:r w:rsidR="002B18A5">
        <w:t xml:space="preserve">1.0 </w:t>
      </w:r>
      <w:r w:rsidRPr="00D0457A">
        <w:t>borrowers (242) and non-borrowers (236). Source: London Economics’ and Ipsos’ analysis of survey data</w:t>
      </w:r>
    </w:p>
    <w:p w14:paraId="74CAE37A" w14:textId="7867867E" w:rsidR="006A3362" w:rsidRPr="00D0457A" w:rsidRDefault="006A3362" w:rsidP="006A3362">
      <w:pPr>
        <w:pStyle w:val="Heading5"/>
      </w:pPr>
      <w:bookmarkStart w:id="131" w:name="_Ref151391176"/>
      <w:r w:rsidRPr="00D0457A">
        <w:t xml:space="preserve">Table </w:t>
      </w:r>
      <w:r w:rsidRPr="00D0457A">
        <w:fldChar w:fldCharType="begin"/>
      </w:r>
      <w:r w:rsidRPr="00D0457A">
        <w:instrText>SEQ Table \* ARABIC</w:instrText>
      </w:r>
      <w:r w:rsidRPr="00D0457A">
        <w:fldChar w:fldCharType="separate"/>
      </w:r>
      <w:r w:rsidR="001525E9">
        <w:rPr>
          <w:noProof/>
        </w:rPr>
        <w:t>23</w:t>
      </w:r>
      <w:r w:rsidRPr="00D0457A">
        <w:fldChar w:fldCharType="end"/>
      </w:r>
      <w:bookmarkEnd w:id="130"/>
      <w:bookmarkEnd w:id="131"/>
      <w:r w:rsidRPr="00D0457A">
        <w:t xml:space="preserve">: Business sector - </w:t>
      </w:r>
      <w:r w:rsidR="002316D8">
        <w:t>b</w:t>
      </w:r>
      <w:r w:rsidR="00B4158C" w:rsidRPr="00D0457A">
        <w:t>orrowers</w:t>
      </w:r>
      <w:r w:rsidRPr="00D0457A">
        <w:t xml:space="preserve"> and non-</w:t>
      </w:r>
      <w:r w:rsidR="00B4158C" w:rsidRPr="00D0457A">
        <w:t>borrowers</w:t>
      </w:r>
    </w:p>
    <w:tbl>
      <w:tblPr>
        <w:tblStyle w:val="TableGrid"/>
        <w:tblW w:w="0" w:type="auto"/>
        <w:tblLayout w:type="fixed"/>
        <w:tblLook w:val="04A0" w:firstRow="1" w:lastRow="0" w:firstColumn="1" w:lastColumn="0" w:noHBand="0" w:noVBand="1"/>
        <w:tblCaption w:val="Sector"/>
        <w:tblDescription w:val="Sector"/>
      </w:tblPr>
      <w:tblGrid>
        <w:gridCol w:w="3996"/>
        <w:gridCol w:w="3056"/>
        <w:gridCol w:w="3056"/>
      </w:tblGrid>
      <w:tr w:rsidR="00D0457A" w:rsidRPr="00D0457A" w14:paraId="0C489A10" w14:textId="77777777" w:rsidTr="00AB3D40">
        <w:trPr>
          <w:cnfStyle w:val="100000000000" w:firstRow="1" w:lastRow="0" w:firstColumn="0" w:lastColumn="0" w:oddVBand="0" w:evenVBand="0" w:oddHBand="0" w:evenHBand="0" w:firstRowFirstColumn="0" w:firstRowLastColumn="0" w:lastRowFirstColumn="0" w:lastRowLastColumn="0"/>
          <w:trHeight w:val="954"/>
          <w:tblHeader/>
        </w:trPr>
        <w:tc>
          <w:tcPr>
            <w:tcW w:w="3996" w:type="dxa"/>
            <w:vAlign w:val="center"/>
            <w:hideMark/>
          </w:tcPr>
          <w:p w14:paraId="2685C3F2" w14:textId="77777777" w:rsidR="00D0457A" w:rsidRPr="00D0457A" w:rsidRDefault="00D0457A" w:rsidP="00D0457A">
            <w:pPr>
              <w:pStyle w:val="Tablecolumnheading-inkblue"/>
              <w:rPr>
                <w:color w:val="FFFFFF" w:themeColor="background1"/>
              </w:rPr>
            </w:pPr>
            <w:r w:rsidRPr="00D0457A">
              <w:rPr>
                <w:color w:val="FFFFFF" w:themeColor="background1"/>
              </w:rPr>
              <w:t>Sector</w:t>
            </w:r>
          </w:p>
        </w:tc>
        <w:tc>
          <w:tcPr>
            <w:tcW w:w="3056" w:type="dxa"/>
            <w:vAlign w:val="top"/>
            <w:hideMark/>
          </w:tcPr>
          <w:p w14:paraId="74BAE1DE" w14:textId="6E8F3713" w:rsidR="00D0457A" w:rsidRPr="00D0457A" w:rsidRDefault="00D0457A" w:rsidP="00D0457A">
            <w:pPr>
              <w:pStyle w:val="Tablecolumnheading-inkblue"/>
              <w:jc w:val="right"/>
              <w:rPr>
                <w:color w:val="FFFFFF" w:themeColor="background1"/>
              </w:rPr>
            </w:pPr>
            <w:r>
              <w:rPr>
                <w:color w:val="FFFFFF" w:themeColor="background1"/>
              </w:rPr>
              <w:t>R</w:t>
            </w:r>
            <w:r w:rsidRPr="00D0457A">
              <w:rPr>
                <w:color w:val="FFFFFF" w:themeColor="background1"/>
              </w:rPr>
              <w:t>LS</w:t>
            </w:r>
            <w:r>
              <w:rPr>
                <w:color w:val="FFFFFF" w:themeColor="background1"/>
              </w:rPr>
              <w:t xml:space="preserve"> </w:t>
            </w:r>
            <w:r w:rsidR="002316D8">
              <w:rPr>
                <w:color w:val="FFFFFF" w:themeColor="background1"/>
              </w:rPr>
              <w:t xml:space="preserve">1.0 </w:t>
            </w:r>
            <w:r w:rsidRPr="00D0457A">
              <w:rPr>
                <w:color w:val="FFFFFF" w:themeColor="background1"/>
              </w:rPr>
              <w:t>borrowers</w:t>
            </w:r>
          </w:p>
        </w:tc>
        <w:tc>
          <w:tcPr>
            <w:tcW w:w="3056" w:type="dxa"/>
            <w:vAlign w:val="top"/>
          </w:tcPr>
          <w:p w14:paraId="40780260" w14:textId="35E95EC4" w:rsidR="00D0457A" w:rsidRPr="00D0457A" w:rsidRDefault="00D0457A" w:rsidP="00D0457A">
            <w:pPr>
              <w:pStyle w:val="Tablecolumnheading-inkblue"/>
              <w:jc w:val="right"/>
              <w:rPr>
                <w:color w:val="FFFFFF" w:themeColor="background1"/>
              </w:rPr>
            </w:pPr>
            <w:r>
              <w:rPr>
                <w:color w:val="FFFFFF" w:themeColor="background1"/>
              </w:rPr>
              <w:t>N</w:t>
            </w:r>
            <w:r w:rsidRPr="00D0457A">
              <w:rPr>
                <w:color w:val="FFFFFF" w:themeColor="background1"/>
              </w:rPr>
              <w:t>on-borrowers</w:t>
            </w:r>
          </w:p>
        </w:tc>
      </w:tr>
      <w:tr w:rsidR="00D0457A" w:rsidRPr="00D0457A" w14:paraId="176B0F0C"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24"/>
        </w:trPr>
        <w:tc>
          <w:tcPr>
            <w:tcW w:w="3996" w:type="dxa"/>
            <w:hideMark/>
          </w:tcPr>
          <w:p w14:paraId="584B0BA9" w14:textId="77777777" w:rsidR="00D0457A" w:rsidRPr="00D0457A" w:rsidRDefault="00D0457A" w:rsidP="00D0457A">
            <w:pPr>
              <w:pStyle w:val="Tabletext"/>
            </w:pPr>
            <w:r w:rsidRPr="00D0457A">
              <w:t>Production</w:t>
            </w:r>
          </w:p>
        </w:tc>
        <w:tc>
          <w:tcPr>
            <w:tcW w:w="3056" w:type="dxa"/>
            <w:vAlign w:val="top"/>
            <w:hideMark/>
          </w:tcPr>
          <w:p w14:paraId="520B46E8" w14:textId="2ACB59C8" w:rsidR="00D0457A" w:rsidRPr="00D0457A" w:rsidRDefault="00D0457A" w:rsidP="00D0457A">
            <w:pPr>
              <w:pStyle w:val="Tabletext"/>
              <w:jc w:val="right"/>
            </w:pPr>
            <w:r w:rsidRPr="00B11185">
              <w:t>15%</w:t>
            </w:r>
          </w:p>
        </w:tc>
        <w:tc>
          <w:tcPr>
            <w:tcW w:w="3056" w:type="dxa"/>
            <w:vAlign w:val="top"/>
          </w:tcPr>
          <w:p w14:paraId="15AC1D6E" w14:textId="73F07F0F" w:rsidR="00D0457A" w:rsidRPr="00D0457A" w:rsidRDefault="00D0457A" w:rsidP="00D0457A">
            <w:pPr>
              <w:pStyle w:val="Tabletext"/>
              <w:jc w:val="right"/>
              <w:rPr>
                <w:bCs/>
              </w:rPr>
            </w:pPr>
            <w:r w:rsidRPr="00B11185">
              <w:t>15%</w:t>
            </w:r>
          </w:p>
        </w:tc>
      </w:tr>
      <w:tr w:rsidR="00D0457A" w:rsidRPr="00D0457A" w14:paraId="315272FB" w14:textId="77777777" w:rsidTr="00AB3D40">
        <w:tblPrEx>
          <w:tblCellMar>
            <w:left w:w="108" w:type="dxa"/>
            <w:right w:w="108" w:type="dxa"/>
          </w:tblCellMar>
        </w:tblPrEx>
        <w:trPr>
          <w:trHeight w:val="542"/>
        </w:trPr>
        <w:tc>
          <w:tcPr>
            <w:tcW w:w="3996" w:type="dxa"/>
            <w:hideMark/>
          </w:tcPr>
          <w:p w14:paraId="012D0340" w14:textId="77777777" w:rsidR="00D0457A" w:rsidRPr="00D0457A" w:rsidRDefault="00D0457A" w:rsidP="00D0457A">
            <w:pPr>
              <w:pStyle w:val="Tabletext"/>
            </w:pPr>
            <w:r w:rsidRPr="00D0457A">
              <w:t>Construction</w:t>
            </w:r>
          </w:p>
        </w:tc>
        <w:tc>
          <w:tcPr>
            <w:tcW w:w="3056" w:type="dxa"/>
            <w:vAlign w:val="top"/>
            <w:hideMark/>
          </w:tcPr>
          <w:p w14:paraId="36E25118" w14:textId="0872A013" w:rsidR="00D0457A" w:rsidRPr="00D0457A" w:rsidRDefault="00D0457A" w:rsidP="00D0457A">
            <w:pPr>
              <w:pStyle w:val="Tabletext"/>
              <w:jc w:val="right"/>
            </w:pPr>
            <w:r w:rsidRPr="00B11185">
              <w:t>15%</w:t>
            </w:r>
          </w:p>
        </w:tc>
        <w:tc>
          <w:tcPr>
            <w:tcW w:w="3056" w:type="dxa"/>
            <w:vAlign w:val="top"/>
          </w:tcPr>
          <w:p w14:paraId="234DCAF5" w14:textId="5E8C6F39" w:rsidR="00D0457A" w:rsidRPr="00D0457A" w:rsidRDefault="00D0457A" w:rsidP="00D0457A">
            <w:pPr>
              <w:pStyle w:val="Tabletext"/>
              <w:jc w:val="right"/>
              <w:rPr>
                <w:bCs/>
              </w:rPr>
            </w:pPr>
            <w:r w:rsidRPr="00B11185">
              <w:t>15%</w:t>
            </w:r>
          </w:p>
        </w:tc>
      </w:tr>
      <w:tr w:rsidR="00D0457A" w:rsidRPr="00D0457A" w14:paraId="4AC3D5FC"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24"/>
        </w:trPr>
        <w:tc>
          <w:tcPr>
            <w:tcW w:w="3996" w:type="dxa"/>
            <w:hideMark/>
          </w:tcPr>
          <w:p w14:paraId="4311CFDD" w14:textId="77777777" w:rsidR="00D0457A" w:rsidRPr="00D0457A" w:rsidRDefault="00D0457A" w:rsidP="00D0457A">
            <w:pPr>
              <w:pStyle w:val="Tabletext"/>
            </w:pPr>
            <w:r w:rsidRPr="00D0457A">
              <w:t>Distribution</w:t>
            </w:r>
          </w:p>
        </w:tc>
        <w:tc>
          <w:tcPr>
            <w:tcW w:w="3056" w:type="dxa"/>
            <w:vAlign w:val="top"/>
            <w:hideMark/>
          </w:tcPr>
          <w:p w14:paraId="1D603278" w14:textId="5B037B60" w:rsidR="00D0457A" w:rsidRPr="00D0457A" w:rsidRDefault="00D0457A" w:rsidP="00D0457A">
            <w:pPr>
              <w:pStyle w:val="Tabletext"/>
              <w:jc w:val="right"/>
            </w:pPr>
            <w:r w:rsidRPr="00B11185">
              <w:t>29%</w:t>
            </w:r>
          </w:p>
        </w:tc>
        <w:tc>
          <w:tcPr>
            <w:tcW w:w="3056" w:type="dxa"/>
            <w:vAlign w:val="top"/>
          </w:tcPr>
          <w:p w14:paraId="0E7CEFA0" w14:textId="4ADEA465" w:rsidR="00D0457A" w:rsidRPr="00D0457A" w:rsidRDefault="00D0457A" w:rsidP="00D0457A">
            <w:pPr>
              <w:pStyle w:val="Tabletext"/>
              <w:jc w:val="right"/>
              <w:rPr>
                <w:bCs/>
              </w:rPr>
            </w:pPr>
            <w:r w:rsidRPr="00B11185">
              <w:t>29%</w:t>
            </w:r>
          </w:p>
        </w:tc>
      </w:tr>
      <w:tr w:rsidR="00D0457A" w:rsidRPr="00D0457A" w14:paraId="2EAC6D91" w14:textId="77777777" w:rsidTr="00AB3D40">
        <w:tblPrEx>
          <w:tblCellMar>
            <w:left w:w="108" w:type="dxa"/>
            <w:right w:w="108" w:type="dxa"/>
          </w:tblCellMar>
        </w:tblPrEx>
        <w:trPr>
          <w:trHeight w:val="542"/>
        </w:trPr>
        <w:tc>
          <w:tcPr>
            <w:tcW w:w="3996" w:type="dxa"/>
          </w:tcPr>
          <w:p w14:paraId="55F4FE76" w14:textId="77777777" w:rsidR="00D0457A" w:rsidRPr="00D0457A" w:rsidRDefault="00D0457A" w:rsidP="00D0457A">
            <w:pPr>
              <w:pStyle w:val="Tabletext"/>
            </w:pPr>
            <w:r w:rsidRPr="00D0457A">
              <w:t>Business services</w:t>
            </w:r>
          </w:p>
        </w:tc>
        <w:tc>
          <w:tcPr>
            <w:tcW w:w="3056" w:type="dxa"/>
            <w:vAlign w:val="top"/>
          </w:tcPr>
          <w:p w14:paraId="32D2CD82" w14:textId="1F9C42D2" w:rsidR="00D0457A" w:rsidRPr="00D0457A" w:rsidRDefault="00D0457A" w:rsidP="00D0457A">
            <w:pPr>
              <w:pStyle w:val="Tabletext"/>
              <w:jc w:val="right"/>
            </w:pPr>
            <w:r w:rsidRPr="00B11185">
              <w:t>30%</w:t>
            </w:r>
          </w:p>
        </w:tc>
        <w:tc>
          <w:tcPr>
            <w:tcW w:w="3056" w:type="dxa"/>
            <w:vAlign w:val="top"/>
          </w:tcPr>
          <w:p w14:paraId="5C22C97E" w14:textId="7973EEA9" w:rsidR="00D0457A" w:rsidRPr="00D0457A" w:rsidRDefault="00D0457A" w:rsidP="00D0457A">
            <w:pPr>
              <w:pStyle w:val="Tabletext"/>
              <w:jc w:val="right"/>
              <w:rPr>
                <w:bCs/>
              </w:rPr>
            </w:pPr>
            <w:r w:rsidRPr="00B11185">
              <w:t>30%</w:t>
            </w:r>
          </w:p>
        </w:tc>
      </w:tr>
      <w:tr w:rsidR="00D0457A" w:rsidRPr="000056E7" w14:paraId="7A9251F9"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24"/>
        </w:trPr>
        <w:tc>
          <w:tcPr>
            <w:tcW w:w="3996" w:type="dxa"/>
            <w:tcBorders>
              <w:bottom w:val="single" w:sz="4" w:space="0" w:color="0054BA" w:themeColor="accent2"/>
            </w:tcBorders>
            <w:hideMark/>
          </w:tcPr>
          <w:p w14:paraId="27F41012" w14:textId="77777777" w:rsidR="00D0457A" w:rsidRPr="00D0457A" w:rsidRDefault="00D0457A" w:rsidP="00D0457A">
            <w:pPr>
              <w:pStyle w:val="Tabletext"/>
            </w:pPr>
            <w:r w:rsidRPr="00D0457A">
              <w:t>Other services</w:t>
            </w:r>
          </w:p>
        </w:tc>
        <w:tc>
          <w:tcPr>
            <w:tcW w:w="3056" w:type="dxa"/>
            <w:tcBorders>
              <w:bottom w:val="single" w:sz="4" w:space="0" w:color="0054BA" w:themeColor="accent2"/>
            </w:tcBorders>
            <w:vAlign w:val="top"/>
            <w:hideMark/>
          </w:tcPr>
          <w:p w14:paraId="59194573" w14:textId="29F328CD" w:rsidR="00D0457A" w:rsidRPr="00D0457A" w:rsidRDefault="00D0457A" w:rsidP="00D0457A">
            <w:pPr>
              <w:pStyle w:val="Tabletext"/>
              <w:jc w:val="right"/>
            </w:pPr>
            <w:r w:rsidRPr="00B11185">
              <w:t>11%</w:t>
            </w:r>
          </w:p>
        </w:tc>
        <w:tc>
          <w:tcPr>
            <w:tcW w:w="3056" w:type="dxa"/>
            <w:tcBorders>
              <w:bottom w:val="single" w:sz="4" w:space="0" w:color="0054BA" w:themeColor="accent2"/>
            </w:tcBorders>
            <w:vAlign w:val="top"/>
          </w:tcPr>
          <w:p w14:paraId="398A2E7C" w14:textId="3AF7A42C" w:rsidR="00D0457A" w:rsidRPr="00D0457A" w:rsidRDefault="00D0457A" w:rsidP="00D0457A">
            <w:pPr>
              <w:pStyle w:val="Tabletext"/>
              <w:jc w:val="right"/>
              <w:rPr>
                <w:bCs/>
              </w:rPr>
            </w:pPr>
            <w:r w:rsidRPr="00B11185">
              <w:t>11%</w:t>
            </w:r>
          </w:p>
        </w:tc>
      </w:tr>
    </w:tbl>
    <w:p w14:paraId="5A5FBD6F" w14:textId="127961EA" w:rsidR="006A3362" w:rsidRDefault="000B4477" w:rsidP="006A3362">
      <w:pPr>
        <w:pStyle w:val="Caption"/>
      </w:pPr>
      <w:r w:rsidRPr="00D0457A">
        <w:t xml:space="preserve">Note: The UK Standard Industrial Classification (SIC) sections are grouped as follows: Production: SIC Sectors beginning with A, B, C, D and E (e.g., A- Agriculture, B-mining, etc.). Construction: SIC sectors beginning with F (F-construction). Distribution: SIC Sectors beginning with G, H, and I (e.g., G-wholesale and retail trade, H-transport, etc.). Business services: SIC Sectors beginning with J, K, L, M, and N (e.g., J-information and communication, L-real estate, etc.). Other services: SIC Sectors beginning with P, Q, R, and S (e.g., Q- human health and social work, etc.). </w:t>
      </w:r>
      <w:r w:rsidR="00D0457A" w:rsidRPr="00D0457A">
        <w:t xml:space="preserve">Base: All RLS </w:t>
      </w:r>
      <w:r w:rsidR="002B18A5">
        <w:t xml:space="preserve">1.0 </w:t>
      </w:r>
      <w:r w:rsidR="00D0457A" w:rsidRPr="00D0457A">
        <w:t xml:space="preserve">borrowers (242) and non-borrowers (236). </w:t>
      </w:r>
      <w:r w:rsidR="006A3362" w:rsidRPr="00D0457A">
        <w:t xml:space="preserve">Source: London Economics’ and </w:t>
      </w:r>
      <w:r w:rsidR="00BE4C3E" w:rsidRPr="00D0457A">
        <w:t>Ipsos</w:t>
      </w:r>
      <w:r w:rsidR="006A3362" w:rsidRPr="00D0457A">
        <w:t>’ analysis</w:t>
      </w:r>
      <w:r w:rsidR="00C17687" w:rsidRPr="00D0457A">
        <w:t xml:space="preserve"> of survey data</w:t>
      </w:r>
    </w:p>
    <w:p w14:paraId="15B5A914" w14:textId="27D0DF20" w:rsidR="000C33D0" w:rsidRPr="00952A4E" w:rsidRDefault="000C33D0" w:rsidP="000C33D0">
      <w:pPr>
        <w:pStyle w:val="Heading5"/>
      </w:pPr>
      <w:bookmarkStart w:id="132" w:name="_Ref91068192"/>
      <w:r w:rsidRPr="00952A4E">
        <w:t xml:space="preserve">Table </w:t>
      </w:r>
      <w:r w:rsidRPr="00952A4E">
        <w:fldChar w:fldCharType="begin"/>
      </w:r>
      <w:r w:rsidRPr="00952A4E">
        <w:instrText>SEQ Table \* ARABIC</w:instrText>
      </w:r>
      <w:r w:rsidRPr="00952A4E">
        <w:fldChar w:fldCharType="separate"/>
      </w:r>
      <w:r w:rsidR="001525E9">
        <w:rPr>
          <w:noProof/>
        </w:rPr>
        <w:t>24</w:t>
      </w:r>
      <w:r w:rsidRPr="00952A4E">
        <w:fldChar w:fldCharType="end"/>
      </w:r>
      <w:bookmarkEnd w:id="132"/>
      <w:r w:rsidRPr="00952A4E">
        <w:t xml:space="preserve">: </w:t>
      </w:r>
      <w:r w:rsidR="002316D8">
        <w:t>Perceived</w:t>
      </w:r>
      <w:r w:rsidR="00385FFE">
        <w:t xml:space="preserve"> and </w:t>
      </w:r>
      <w:r w:rsidR="00383726">
        <w:t>observed</w:t>
      </w:r>
      <w:r w:rsidR="001D5814" w:rsidRPr="00952A4E">
        <w:t xml:space="preserve"> s</w:t>
      </w:r>
      <w:r w:rsidRPr="00952A4E">
        <w:t xml:space="preserve">uccess rate for different types of external finance </w:t>
      </w:r>
      <w:r w:rsidR="00385FFE">
        <w:t>among RLS 1.0 borrower</w:t>
      </w:r>
      <w:r w:rsidR="00B4158C" w:rsidRPr="00952A4E">
        <w:t>s</w:t>
      </w:r>
    </w:p>
    <w:tbl>
      <w:tblPr>
        <w:tblStyle w:val="TableGrid"/>
        <w:tblW w:w="4873" w:type="pct"/>
        <w:tblLook w:val="0000" w:firstRow="0" w:lastRow="0" w:firstColumn="0" w:lastColumn="0" w:noHBand="0" w:noVBand="0"/>
      </w:tblPr>
      <w:tblGrid>
        <w:gridCol w:w="4679"/>
        <w:gridCol w:w="2541"/>
        <w:gridCol w:w="293"/>
        <w:gridCol w:w="2383"/>
      </w:tblGrid>
      <w:tr w:rsidR="002316D8" w:rsidRPr="00952A4E" w14:paraId="0016AB3B" w14:textId="504E3745" w:rsidTr="002316D8">
        <w:trPr>
          <w:trHeight w:val="20"/>
          <w:tblHeader/>
        </w:trPr>
        <w:tc>
          <w:tcPr>
            <w:tcW w:w="2364" w:type="pct"/>
            <w:shd w:val="clear" w:color="auto" w:fill="0054BA" w:themeFill="accent2"/>
            <w:vAlign w:val="top"/>
          </w:tcPr>
          <w:p w14:paraId="4FBB7D22" w14:textId="7787DE6C" w:rsidR="002316D8" w:rsidRPr="00952A4E" w:rsidRDefault="002316D8" w:rsidP="00952A4E">
            <w:pPr>
              <w:pStyle w:val="Tablecolumnheading-inkblue"/>
              <w:rPr>
                <w:b/>
                <w:bCs/>
                <w:color w:val="FFFFFF" w:themeColor="background1"/>
                <w:lang w:val="en-US"/>
              </w:rPr>
            </w:pPr>
          </w:p>
        </w:tc>
        <w:tc>
          <w:tcPr>
            <w:tcW w:w="1432" w:type="pct"/>
            <w:gridSpan w:val="2"/>
            <w:shd w:val="clear" w:color="auto" w:fill="0054BA" w:themeFill="accent2"/>
            <w:vAlign w:val="center"/>
          </w:tcPr>
          <w:p w14:paraId="66BC72B7" w14:textId="4DF6EE59" w:rsidR="002316D8" w:rsidRPr="00952A4E" w:rsidRDefault="002316D8" w:rsidP="00385FFE">
            <w:pPr>
              <w:pStyle w:val="Tablecolumnheading-inkblue"/>
              <w:jc w:val="right"/>
              <w:rPr>
                <w:b/>
                <w:bCs/>
                <w:color w:val="FFFFFF" w:themeColor="background1"/>
                <w:lang w:val="en-US"/>
              </w:rPr>
            </w:pPr>
            <w:r>
              <w:rPr>
                <w:b/>
                <w:bCs/>
                <w:color w:val="FFFFFF" w:themeColor="background1"/>
                <w:lang w:val="en-US"/>
              </w:rPr>
              <w:t>Perceived success rate</w:t>
            </w:r>
          </w:p>
        </w:tc>
        <w:tc>
          <w:tcPr>
            <w:tcW w:w="1204" w:type="pct"/>
            <w:shd w:val="clear" w:color="auto" w:fill="0054BA" w:themeFill="accent2"/>
            <w:vAlign w:val="center"/>
          </w:tcPr>
          <w:p w14:paraId="6689CFDD" w14:textId="03DA3075" w:rsidR="002316D8" w:rsidRPr="00952A4E" w:rsidRDefault="00383726" w:rsidP="00385FFE">
            <w:pPr>
              <w:pStyle w:val="Tablecolumnheading-inkblue"/>
              <w:jc w:val="right"/>
              <w:rPr>
                <w:b/>
                <w:bCs/>
                <w:color w:val="FFFFFF" w:themeColor="background1"/>
                <w:lang w:val="en-US"/>
              </w:rPr>
            </w:pPr>
            <w:r>
              <w:rPr>
                <w:b/>
                <w:bCs/>
                <w:color w:val="FFFFFF" w:themeColor="background1"/>
              </w:rPr>
              <w:t>Observed</w:t>
            </w:r>
            <w:r w:rsidR="002316D8">
              <w:rPr>
                <w:b/>
                <w:bCs/>
                <w:color w:val="FFFFFF" w:themeColor="background1"/>
              </w:rPr>
              <w:t xml:space="preserve"> success rate</w:t>
            </w:r>
          </w:p>
        </w:tc>
      </w:tr>
      <w:tr w:rsidR="002316D8" w:rsidRPr="00952A4E" w14:paraId="7D309741" w14:textId="5256C708" w:rsidTr="002316D8">
        <w:trPr>
          <w:cnfStyle w:val="000000100000" w:firstRow="0" w:lastRow="0" w:firstColumn="0" w:lastColumn="0" w:oddVBand="0" w:evenVBand="0" w:oddHBand="1" w:evenHBand="0" w:firstRowFirstColumn="0" w:firstRowLastColumn="0" w:lastRowFirstColumn="0" w:lastRowLastColumn="0"/>
          <w:trHeight w:val="20"/>
        </w:trPr>
        <w:tc>
          <w:tcPr>
            <w:tcW w:w="2364" w:type="pct"/>
            <w:vAlign w:val="top"/>
          </w:tcPr>
          <w:p w14:paraId="00B3A292" w14:textId="3A3B3067" w:rsidR="002316D8" w:rsidRPr="00952A4E" w:rsidRDefault="002316D8" w:rsidP="002316D8">
            <w:pPr>
              <w:pStyle w:val="Tabletext"/>
              <w:rPr>
                <w:lang w:val="en-US"/>
              </w:rPr>
            </w:pPr>
            <w:r w:rsidRPr="008577F4">
              <w:t>Personal funds from owner/director</w:t>
            </w:r>
          </w:p>
        </w:tc>
        <w:tc>
          <w:tcPr>
            <w:tcW w:w="1284" w:type="pct"/>
            <w:vAlign w:val="top"/>
          </w:tcPr>
          <w:p w14:paraId="06706DFF" w14:textId="1ECDC486" w:rsidR="002316D8" w:rsidRPr="00952A4E" w:rsidRDefault="002316D8" w:rsidP="002316D8">
            <w:pPr>
              <w:pStyle w:val="Tabletext"/>
              <w:jc w:val="right"/>
              <w:rPr>
                <w:lang w:val="en-US"/>
              </w:rPr>
            </w:pPr>
            <w:r w:rsidRPr="00EA6232">
              <w:t>82%</w:t>
            </w:r>
          </w:p>
        </w:tc>
        <w:tc>
          <w:tcPr>
            <w:tcW w:w="1352" w:type="pct"/>
            <w:gridSpan w:val="2"/>
            <w:vAlign w:val="top"/>
          </w:tcPr>
          <w:p w14:paraId="22387E30" w14:textId="29A09430" w:rsidR="002316D8" w:rsidRPr="00952A4E" w:rsidRDefault="002316D8" w:rsidP="002316D8">
            <w:pPr>
              <w:pStyle w:val="Tabletext"/>
              <w:jc w:val="right"/>
              <w:rPr>
                <w:lang w:val="en-US"/>
              </w:rPr>
            </w:pPr>
            <w:r w:rsidRPr="00EA6232">
              <w:t>81%</w:t>
            </w:r>
          </w:p>
        </w:tc>
      </w:tr>
      <w:tr w:rsidR="002316D8" w:rsidRPr="00952A4E" w14:paraId="05665821" w14:textId="3052B4CD" w:rsidTr="002316D8">
        <w:trPr>
          <w:trHeight w:val="20"/>
        </w:trPr>
        <w:tc>
          <w:tcPr>
            <w:tcW w:w="2364" w:type="pct"/>
            <w:vAlign w:val="top"/>
          </w:tcPr>
          <w:p w14:paraId="4C279AC3" w14:textId="20EA9B70" w:rsidR="002316D8" w:rsidRPr="00952A4E" w:rsidRDefault="002316D8" w:rsidP="002316D8">
            <w:pPr>
              <w:pStyle w:val="Tabletext"/>
              <w:rPr>
                <w:lang w:val="en-US"/>
              </w:rPr>
            </w:pPr>
            <w:r w:rsidRPr="008577F4">
              <w:t>Revolving credit facility</w:t>
            </w:r>
          </w:p>
        </w:tc>
        <w:tc>
          <w:tcPr>
            <w:tcW w:w="1284" w:type="pct"/>
            <w:vAlign w:val="top"/>
          </w:tcPr>
          <w:p w14:paraId="26691850" w14:textId="0F7CD4F5" w:rsidR="002316D8" w:rsidRPr="00952A4E" w:rsidRDefault="002316D8" w:rsidP="002316D8">
            <w:pPr>
              <w:pStyle w:val="Tabletext"/>
              <w:jc w:val="right"/>
              <w:rPr>
                <w:lang w:val="en-US"/>
              </w:rPr>
            </w:pPr>
            <w:r w:rsidRPr="00EA6232">
              <w:t>70%</w:t>
            </w:r>
          </w:p>
        </w:tc>
        <w:tc>
          <w:tcPr>
            <w:tcW w:w="1352" w:type="pct"/>
            <w:gridSpan w:val="2"/>
            <w:vAlign w:val="top"/>
          </w:tcPr>
          <w:p w14:paraId="28D67700" w14:textId="4EFEFA3C" w:rsidR="002316D8" w:rsidRPr="00952A4E" w:rsidRDefault="002316D8" w:rsidP="002316D8">
            <w:pPr>
              <w:pStyle w:val="Tabletext"/>
              <w:jc w:val="right"/>
              <w:rPr>
                <w:lang w:val="en-US"/>
              </w:rPr>
            </w:pPr>
            <w:r w:rsidRPr="00EA6232">
              <w:t>88%</w:t>
            </w:r>
          </w:p>
        </w:tc>
      </w:tr>
      <w:tr w:rsidR="002316D8" w:rsidRPr="00952A4E" w14:paraId="539AC059" w14:textId="7C9E9463" w:rsidTr="002316D8">
        <w:trPr>
          <w:cnfStyle w:val="000000100000" w:firstRow="0" w:lastRow="0" w:firstColumn="0" w:lastColumn="0" w:oddVBand="0" w:evenVBand="0" w:oddHBand="1" w:evenHBand="0" w:firstRowFirstColumn="0" w:firstRowLastColumn="0" w:lastRowFirstColumn="0" w:lastRowLastColumn="0"/>
          <w:trHeight w:val="20"/>
        </w:trPr>
        <w:tc>
          <w:tcPr>
            <w:tcW w:w="2364" w:type="pct"/>
            <w:vAlign w:val="top"/>
          </w:tcPr>
          <w:p w14:paraId="424F8D6E" w14:textId="4E4495DD" w:rsidR="002316D8" w:rsidRPr="00952A4E" w:rsidRDefault="002316D8" w:rsidP="002316D8">
            <w:pPr>
              <w:pStyle w:val="Tabletext"/>
              <w:rPr>
                <w:lang w:val="en-US"/>
              </w:rPr>
            </w:pPr>
            <w:r w:rsidRPr="008577F4">
              <w:t>Loan from a bank or other organisation</w:t>
            </w:r>
          </w:p>
        </w:tc>
        <w:tc>
          <w:tcPr>
            <w:tcW w:w="1284" w:type="pct"/>
            <w:vAlign w:val="top"/>
          </w:tcPr>
          <w:p w14:paraId="00F18B95" w14:textId="7BF915EB" w:rsidR="002316D8" w:rsidRPr="00952A4E" w:rsidRDefault="002316D8" w:rsidP="002316D8">
            <w:pPr>
              <w:pStyle w:val="Tabletext"/>
              <w:jc w:val="right"/>
              <w:rPr>
                <w:lang w:val="en-US"/>
              </w:rPr>
            </w:pPr>
            <w:r w:rsidRPr="00EA6232">
              <w:t>67%</w:t>
            </w:r>
          </w:p>
        </w:tc>
        <w:tc>
          <w:tcPr>
            <w:tcW w:w="1352" w:type="pct"/>
            <w:gridSpan w:val="2"/>
            <w:vAlign w:val="top"/>
          </w:tcPr>
          <w:p w14:paraId="4D8485B4" w14:textId="065CB9C3" w:rsidR="002316D8" w:rsidRPr="00952A4E" w:rsidRDefault="002316D8" w:rsidP="002316D8">
            <w:pPr>
              <w:pStyle w:val="Tabletext"/>
              <w:jc w:val="right"/>
              <w:rPr>
                <w:lang w:val="en-US"/>
              </w:rPr>
            </w:pPr>
            <w:r w:rsidRPr="00EA6232">
              <w:t>96%</w:t>
            </w:r>
          </w:p>
        </w:tc>
      </w:tr>
      <w:tr w:rsidR="002316D8" w:rsidRPr="00952A4E" w14:paraId="660C511E" w14:textId="1775F7EE" w:rsidTr="002316D8">
        <w:trPr>
          <w:trHeight w:val="20"/>
        </w:trPr>
        <w:tc>
          <w:tcPr>
            <w:tcW w:w="2364" w:type="pct"/>
            <w:vAlign w:val="top"/>
          </w:tcPr>
          <w:p w14:paraId="72D1FE8E" w14:textId="7893D641" w:rsidR="002316D8" w:rsidRPr="00952A4E" w:rsidRDefault="002316D8" w:rsidP="002316D8">
            <w:pPr>
              <w:pStyle w:val="Tabletext"/>
              <w:rPr>
                <w:lang w:val="en-US"/>
              </w:rPr>
            </w:pPr>
            <w:r w:rsidRPr="008577F4">
              <w:t>Loans from directors or other individuals</w:t>
            </w:r>
          </w:p>
        </w:tc>
        <w:tc>
          <w:tcPr>
            <w:tcW w:w="1284" w:type="pct"/>
            <w:vAlign w:val="top"/>
          </w:tcPr>
          <w:p w14:paraId="7D1F80D2" w14:textId="2C2B58B2" w:rsidR="002316D8" w:rsidRPr="00952A4E" w:rsidRDefault="002316D8" w:rsidP="002316D8">
            <w:pPr>
              <w:pStyle w:val="Tabletext"/>
              <w:jc w:val="right"/>
              <w:rPr>
                <w:lang w:val="en-US"/>
              </w:rPr>
            </w:pPr>
            <w:r w:rsidRPr="00EA6232">
              <w:t>78%</w:t>
            </w:r>
          </w:p>
        </w:tc>
        <w:tc>
          <w:tcPr>
            <w:tcW w:w="1352" w:type="pct"/>
            <w:gridSpan w:val="2"/>
            <w:vAlign w:val="top"/>
          </w:tcPr>
          <w:p w14:paraId="3C9E0694" w14:textId="294F2FD8" w:rsidR="002316D8" w:rsidRPr="00952A4E" w:rsidRDefault="002316D8" w:rsidP="002316D8">
            <w:pPr>
              <w:pStyle w:val="Tabletext"/>
              <w:jc w:val="right"/>
              <w:rPr>
                <w:lang w:val="en-US"/>
              </w:rPr>
            </w:pPr>
            <w:r w:rsidRPr="00EA6232">
              <w:t>87%</w:t>
            </w:r>
          </w:p>
        </w:tc>
      </w:tr>
      <w:tr w:rsidR="002316D8" w:rsidRPr="00952A4E" w14:paraId="1BE56B97" w14:textId="7E4FEAD2" w:rsidTr="002316D8">
        <w:trPr>
          <w:cnfStyle w:val="000000100000" w:firstRow="0" w:lastRow="0" w:firstColumn="0" w:lastColumn="0" w:oddVBand="0" w:evenVBand="0" w:oddHBand="1" w:evenHBand="0" w:firstRowFirstColumn="0" w:firstRowLastColumn="0" w:lastRowFirstColumn="0" w:lastRowLastColumn="0"/>
          <w:trHeight w:val="20"/>
        </w:trPr>
        <w:tc>
          <w:tcPr>
            <w:tcW w:w="2364" w:type="pct"/>
            <w:vAlign w:val="top"/>
          </w:tcPr>
          <w:p w14:paraId="0190D613" w14:textId="17124F71" w:rsidR="002316D8" w:rsidRPr="00952A4E" w:rsidRDefault="002316D8" w:rsidP="002316D8">
            <w:pPr>
              <w:pStyle w:val="Tabletext"/>
              <w:rPr>
                <w:lang w:val="en-US"/>
              </w:rPr>
            </w:pPr>
            <w:r w:rsidRPr="008577F4">
              <w:t>Leasing or hire purchase</w:t>
            </w:r>
          </w:p>
        </w:tc>
        <w:tc>
          <w:tcPr>
            <w:tcW w:w="1284" w:type="pct"/>
            <w:vAlign w:val="top"/>
          </w:tcPr>
          <w:p w14:paraId="2C715924" w14:textId="22C3F4C4" w:rsidR="002316D8" w:rsidRPr="00952A4E" w:rsidRDefault="002316D8" w:rsidP="002316D8">
            <w:pPr>
              <w:pStyle w:val="Tabletext"/>
              <w:jc w:val="right"/>
              <w:rPr>
                <w:lang w:val="en-US"/>
              </w:rPr>
            </w:pPr>
            <w:r w:rsidRPr="00EA6232">
              <w:t>*</w:t>
            </w:r>
          </w:p>
        </w:tc>
        <w:tc>
          <w:tcPr>
            <w:tcW w:w="1352" w:type="pct"/>
            <w:gridSpan w:val="2"/>
            <w:vAlign w:val="top"/>
          </w:tcPr>
          <w:p w14:paraId="13758370" w14:textId="3F1674F9" w:rsidR="002316D8" w:rsidRPr="00952A4E" w:rsidRDefault="002316D8" w:rsidP="002316D8">
            <w:pPr>
              <w:pStyle w:val="Tabletext"/>
              <w:jc w:val="right"/>
              <w:rPr>
                <w:lang w:val="en-US"/>
              </w:rPr>
            </w:pPr>
            <w:r w:rsidRPr="00EA6232">
              <w:t>92%</w:t>
            </w:r>
          </w:p>
        </w:tc>
      </w:tr>
      <w:tr w:rsidR="002316D8" w:rsidRPr="00952A4E" w14:paraId="5656A641" w14:textId="48599405" w:rsidTr="002316D8">
        <w:trPr>
          <w:trHeight w:val="20"/>
        </w:trPr>
        <w:tc>
          <w:tcPr>
            <w:tcW w:w="2364" w:type="pct"/>
            <w:vAlign w:val="top"/>
          </w:tcPr>
          <w:p w14:paraId="4B5D48CC" w14:textId="2BBCC7F6" w:rsidR="002316D8" w:rsidRPr="00952A4E" w:rsidRDefault="002316D8" w:rsidP="002316D8">
            <w:pPr>
              <w:pStyle w:val="Tabletext"/>
              <w:rPr>
                <w:lang w:val="en-US"/>
              </w:rPr>
            </w:pPr>
            <w:r w:rsidRPr="008577F4">
              <w:t>Equity finance</w:t>
            </w:r>
          </w:p>
        </w:tc>
        <w:tc>
          <w:tcPr>
            <w:tcW w:w="1284" w:type="pct"/>
            <w:vAlign w:val="top"/>
          </w:tcPr>
          <w:p w14:paraId="54BEA07F" w14:textId="15FAF4FC" w:rsidR="002316D8" w:rsidRPr="00952A4E" w:rsidRDefault="002316D8" w:rsidP="002316D8">
            <w:pPr>
              <w:pStyle w:val="Tabletext"/>
              <w:jc w:val="right"/>
              <w:rPr>
                <w:lang w:val="en-US"/>
              </w:rPr>
            </w:pPr>
            <w:r w:rsidRPr="00EA6232">
              <w:t>*</w:t>
            </w:r>
          </w:p>
        </w:tc>
        <w:tc>
          <w:tcPr>
            <w:tcW w:w="1352" w:type="pct"/>
            <w:gridSpan w:val="2"/>
            <w:vAlign w:val="top"/>
          </w:tcPr>
          <w:p w14:paraId="30201D53" w14:textId="0E7CA3E1" w:rsidR="002316D8" w:rsidRPr="00952A4E" w:rsidRDefault="002316D8" w:rsidP="002316D8">
            <w:pPr>
              <w:pStyle w:val="Tabletext"/>
              <w:jc w:val="right"/>
              <w:rPr>
                <w:lang w:val="en-US"/>
              </w:rPr>
            </w:pPr>
            <w:r w:rsidRPr="00EA6232">
              <w:t>79%</w:t>
            </w:r>
          </w:p>
        </w:tc>
      </w:tr>
      <w:tr w:rsidR="002316D8" w:rsidRPr="00952A4E" w14:paraId="3988E9CB" w14:textId="3A2D0679" w:rsidTr="002316D8">
        <w:trPr>
          <w:cnfStyle w:val="000000100000" w:firstRow="0" w:lastRow="0" w:firstColumn="0" w:lastColumn="0" w:oddVBand="0" w:evenVBand="0" w:oddHBand="1" w:evenHBand="0" w:firstRowFirstColumn="0" w:firstRowLastColumn="0" w:lastRowFirstColumn="0" w:lastRowLastColumn="0"/>
          <w:trHeight w:val="20"/>
        </w:trPr>
        <w:tc>
          <w:tcPr>
            <w:tcW w:w="2364" w:type="pct"/>
            <w:vAlign w:val="top"/>
          </w:tcPr>
          <w:p w14:paraId="5534EF7E" w14:textId="34F71C48" w:rsidR="002316D8" w:rsidRPr="00952A4E" w:rsidRDefault="002316D8" w:rsidP="002316D8">
            <w:pPr>
              <w:pStyle w:val="Tabletext"/>
              <w:rPr>
                <w:lang w:val="en-US"/>
              </w:rPr>
            </w:pPr>
            <w:r w:rsidRPr="008577F4">
              <w:t>Credit cards</w:t>
            </w:r>
          </w:p>
        </w:tc>
        <w:tc>
          <w:tcPr>
            <w:tcW w:w="1284" w:type="pct"/>
            <w:vAlign w:val="top"/>
          </w:tcPr>
          <w:p w14:paraId="6AD4937B" w14:textId="6300A761" w:rsidR="002316D8" w:rsidRPr="00952A4E" w:rsidRDefault="002316D8" w:rsidP="002316D8">
            <w:pPr>
              <w:pStyle w:val="Tabletext"/>
              <w:jc w:val="right"/>
              <w:rPr>
                <w:lang w:val="en-US"/>
              </w:rPr>
            </w:pPr>
            <w:r w:rsidRPr="00EA6232">
              <w:t>*</w:t>
            </w:r>
          </w:p>
        </w:tc>
        <w:tc>
          <w:tcPr>
            <w:tcW w:w="1352" w:type="pct"/>
            <w:gridSpan w:val="2"/>
            <w:vAlign w:val="top"/>
          </w:tcPr>
          <w:p w14:paraId="782AC64C" w14:textId="57826468" w:rsidR="002316D8" w:rsidRPr="00952A4E" w:rsidRDefault="002316D8" w:rsidP="002316D8">
            <w:pPr>
              <w:pStyle w:val="Tabletext"/>
              <w:jc w:val="right"/>
              <w:rPr>
                <w:lang w:val="en-US"/>
              </w:rPr>
            </w:pPr>
            <w:r w:rsidRPr="00EA6232">
              <w:t>82%</w:t>
            </w:r>
          </w:p>
        </w:tc>
      </w:tr>
      <w:tr w:rsidR="002316D8" w:rsidRPr="00952A4E" w14:paraId="00B34916" w14:textId="52E6A083" w:rsidTr="002316D8">
        <w:trPr>
          <w:trHeight w:val="20"/>
        </w:trPr>
        <w:tc>
          <w:tcPr>
            <w:tcW w:w="2364" w:type="pct"/>
            <w:vAlign w:val="top"/>
          </w:tcPr>
          <w:p w14:paraId="547DE09E" w14:textId="117B4688" w:rsidR="002316D8" w:rsidRPr="00952A4E" w:rsidRDefault="002316D8" w:rsidP="002316D8">
            <w:pPr>
              <w:pStyle w:val="Tabletext"/>
              <w:rPr>
                <w:lang w:val="en-US"/>
              </w:rPr>
            </w:pPr>
            <w:r w:rsidRPr="008577F4">
              <w:t>Government or local government grants</w:t>
            </w:r>
          </w:p>
        </w:tc>
        <w:tc>
          <w:tcPr>
            <w:tcW w:w="1284" w:type="pct"/>
            <w:vAlign w:val="top"/>
          </w:tcPr>
          <w:p w14:paraId="7C1EFF5C" w14:textId="43EAC821" w:rsidR="002316D8" w:rsidRPr="00952A4E" w:rsidRDefault="002316D8" w:rsidP="002316D8">
            <w:pPr>
              <w:pStyle w:val="Tabletext"/>
              <w:jc w:val="right"/>
              <w:rPr>
                <w:lang w:val="en-US"/>
              </w:rPr>
            </w:pPr>
            <w:r w:rsidRPr="00EA6232">
              <w:t>63%</w:t>
            </w:r>
          </w:p>
        </w:tc>
        <w:tc>
          <w:tcPr>
            <w:tcW w:w="1352" w:type="pct"/>
            <w:gridSpan w:val="2"/>
            <w:vAlign w:val="top"/>
          </w:tcPr>
          <w:p w14:paraId="4C377730" w14:textId="76797589" w:rsidR="002316D8" w:rsidRPr="00952A4E" w:rsidRDefault="002316D8" w:rsidP="002316D8">
            <w:pPr>
              <w:pStyle w:val="Tabletext"/>
              <w:jc w:val="right"/>
              <w:rPr>
                <w:lang w:val="en-US"/>
              </w:rPr>
            </w:pPr>
            <w:r w:rsidRPr="00EA6232">
              <w:t>100%</w:t>
            </w:r>
          </w:p>
        </w:tc>
      </w:tr>
      <w:tr w:rsidR="002316D8" w:rsidRPr="00952A4E" w14:paraId="3F0264B1" w14:textId="77777777" w:rsidTr="002316D8">
        <w:trPr>
          <w:cnfStyle w:val="000000100000" w:firstRow="0" w:lastRow="0" w:firstColumn="0" w:lastColumn="0" w:oddVBand="0" w:evenVBand="0" w:oddHBand="1" w:evenHBand="0" w:firstRowFirstColumn="0" w:firstRowLastColumn="0" w:lastRowFirstColumn="0" w:lastRowLastColumn="0"/>
          <w:trHeight w:val="20"/>
        </w:trPr>
        <w:tc>
          <w:tcPr>
            <w:tcW w:w="2364" w:type="pct"/>
            <w:tcBorders>
              <w:bottom w:val="single" w:sz="4" w:space="0" w:color="0054BA" w:themeColor="accent2"/>
            </w:tcBorders>
            <w:vAlign w:val="top"/>
          </w:tcPr>
          <w:p w14:paraId="63098818" w14:textId="2A17657B" w:rsidR="002316D8" w:rsidRPr="008577F4" w:rsidRDefault="002316D8" w:rsidP="002316D8">
            <w:pPr>
              <w:pStyle w:val="Tabletext"/>
            </w:pPr>
            <w:r w:rsidRPr="00070832">
              <w:t>Overall</w:t>
            </w:r>
          </w:p>
        </w:tc>
        <w:tc>
          <w:tcPr>
            <w:tcW w:w="1284" w:type="pct"/>
            <w:tcBorders>
              <w:bottom w:val="single" w:sz="4" w:space="0" w:color="0054BA" w:themeColor="accent2"/>
            </w:tcBorders>
            <w:vAlign w:val="top"/>
          </w:tcPr>
          <w:p w14:paraId="7FB6F59A" w14:textId="6D6CDB83" w:rsidR="002316D8" w:rsidRPr="008577F4" w:rsidRDefault="002316D8" w:rsidP="002316D8">
            <w:pPr>
              <w:pStyle w:val="Tabletext"/>
              <w:jc w:val="right"/>
            </w:pPr>
            <w:r w:rsidRPr="00EA6232">
              <w:t>70%</w:t>
            </w:r>
          </w:p>
        </w:tc>
        <w:tc>
          <w:tcPr>
            <w:tcW w:w="1352" w:type="pct"/>
            <w:gridSpan w:val="2"/>
            <w:tcBorders>
              <w:bottom w:val="single" w:sz="4" w:space="0" w:color="0054BA" w:themeColor="accent2"/>
            </w:tcBorders>
            <w:vAlign w:val="top"/>
          </w:tcPr>
          <w:p w14:paraId="28F922F0" w14:textId="7A355786" w:rsidR="002316D8" w:rsidRPr="008577F4" w:rsidRDefault="002316D8" w:rsidP="002316D8">
            <w:pPr>
              <w:pStyle w:val="Tabletext"/>
              <w:jc w:val="right"/>
            </w:pPr>
            <w:r w:rsidRPr="00EA6232">
              <w:t>89%</w:t>
            </w:r>
          </w:p>
        </w:tc>
      </w:tr>
    </w:tbl>
    <w:p w14:paraId="3250E80A" w14:textId="1A888168" w:rsidR="00E27680" w:rsidRDefault="00385FFE" w:rsidP="000C33D0">
      <w:pPr>
        <w:pStyle w:val="Caption"/>
      </w:pPr>
      <w:r>
        <w:t>Note:</w:t>
      </w:r>
      <w:r w:rsidR="000C33D0" w:rsidRPr="00952A4E">
        <w:t xml:space="preserve"> </w:t>
      </w:r>
      <w:r w:rsidR="002316D8">
        <w:t xml:space="preserve">The perceived success rate relates to those RLS 1.0 borrowers that did not try to obtain external finance but would have if they did not receive RLS 1.0 finance. The actual success rate relates to RLS 1.0 borrowers that did apply for other external finance. </w:t>
      </w:r>
      <w:r w:rsidR="000C33D0" w:rsidRPr="00952A4E">
        <w:t>Success is defined as a respondent having assessed that they were successful/definitely would have been successful, or probably would have been successful in their application to a given type of external finance</w:t>
      </w:r>
      <w:r>
        <w:t>.</w:t>
      </w:r>
      <w:r w:rsidR="002316D8">
        <w:t xml:space="preserve"> </w:t>
      </w:r>
      <w:r w:rsidR="002316D8" w:rsidRPr="00D0457A">
        <w:t xml:space="preserve">*Small base size and not reported for statistical disclosure control. </w:t>
      </w:r>
      <w:r w:rsidR="002316D8">
        <w:t xml:space="preserve">Perceived success rate base: RLS </w:t>
      </w:r>
      <w:r w:rsidR="002B18A5">
        <w:t xml:space="preserve">1.0 </w:t>
      </w:r>
      <w:r w:rsidR="002316D8">
        <w:t xml:space="preserve">borrowers that did not apply for additional external finance (116). Actual success rate base: RLS </w:t>
      </w:r>
      <w:r w:rsidR="002B18A5">
        <w:t xml:space="preserve">1.0 </w:t>
      </w:r>
      <w:r w:rsidR="002316D8">
        <w:t>borrowers that did apply for additional external finance (123).</w:t>
      </w:r>
      <w:r>
        <w:t xml:space="preserve"> </w:t>
      </w:r>
      <w:r w:rsidR="000C33D0" w:rsidRPr="00952A4E">
        <w:t>Source: London Economics’ analysis of survey data</w:t>
      </w:r>
    </w:p>
    <w:p w14:paraId="0D502653" w14:textId="7E1F4197" w:rsidR="003B57E0" w:rsidRDefault="003B57E0" w:rsidP="003B57E0">
      <w:pPr>
        <w:pStyle w:val="Heading5"/>
      </w:pPr>
      <w:bookmarkStart w:id="133" w:name="_Ref151995557"/>
      <w:r>
        <w:t xml:space="preserve">Table </w:t>
      </w:r>
      <w:r>
        <w:fldChar w:fldCharType="begin"/>
      </w:r>
      <w:r>
        <w:instrText xml:space="preserve"> SEQ Table \* ARABIC </w:instrText>
      </w:r>
      <w:r>
        <w:fldChar w:fldCharType="separate"/>
      </w:r>
      <w:r w:rsidR="001525E9">
        <w:rPr>
          <w:noProof/>
        </w:rPr>
        <w:t>25</w:t>
      </w:r>
      <w:r>
        <w:rPr>
          <w:noProof/>
        </w:rPr>
        <w:fldChar w:fldCharType="end"/>
      </w:r>
      <w:bookmarkEnd w:id="133"/>
      <w:r w:rsidR="00B11FA3">
        <w:rPr>
          <w:noProof/>
        </w:rPr>
        <w:t>:</w:t>
      </w:r>
      <w:r>
        <w:t xml:space="preserve"> </w:t>
      </w:r>
      <w:r w:rsidR="00D12004">
        <w:t>Proportion</w:t>
      </w:r>
      <w:r>
        <w:t xml:space="preserve"> of borrowers that would have closed without access to</w:t>
      </w:r>
      <w:r w:rsidR="00D12004">
        <w:t xml:space="preserve"> finance under</w:t>
      </w:r>
      <w:r>
        <w:t xml:space="preserve"> RLS 1.0 by region</w:t>
      </w:r>
    </w:p>
    <w:tbl>
      <w:tblPr>
        <w:tblStyle w:val="TableGrid"/>
        <w:tblW w:w="0" w:type="auto"/>
        <w:tblLook w:val="04A0" w:firstRow="1" w:lastRow="0" w:firstColumn="1" w:lastColumn="0" w:noHBand="0" w:noVBand="1"/>
      </w:tblPr>
      <w:tblGrid>
        <w:gridCol w:w="4111"/>
        <w:gridCol w:w="3021"/>
        <w:gridCol w:w="3022"/>
      </w:tblGrid>
      <w:tr w:rsidR="003B57E0" w14:paraId="64A89F52" w14:textId="77777777" w:rsidTr="003B57E0">
        <w:trPr>
          <w:cnfStyle w:val="100000000000" w:firstRow="1" w:lastRow="0" w:firstColumn="0" w:lastColumn="0" w:oddVBand="0" w:evenVBand="0" w:oddHBand="0" w:evenHBand="0" w:firstRowFirstColumn="0" w:firstRowLastColumn="0" w:lastRowFirstColumn="0" w:lastRowLastColumn="0"/>
        </w:trPr>
        <w:tc>
          <w:tcPr>
            <w:tcW w:w="4111" w:type="dxa"/>
            <w:vAlign w:val="top"/>
          </w:tcPr>
          <w:p w14:paraId="03A174CA" w14:textId="3198CADD" w:rsidR="003B57E0" w:rsidRDefault="003B57E0" w:rsidP="003B57E0">
            <w:pPr>
              <w:spacing w:after="160" w:line="259" w:lineRule="auto"/>
            </w:pPr>
            <w:r w:rsidRPr="00E951B5">
              <w:t>Region</w:t>
            </w:r>
          </w:p>
        </w:tc>
        <w:tc>
          <w:tcPr>
            <w:tcW w:w="3021" w:type="dxa"/>
            <w:vAlign w:val="top"/>
          </w:tcPr>
          <w:p w14:paraId="640A10B8" w14:textId="701D3CAD" w:rsidR="003B57E0" w:rsidRDefault="003B57E0" w:rsidP="003B57E0">
            <w:pPr>
              <w:spacing w:after="160" w:line="259" w:lineRule="auto"/>
              <w:jc w:val="right"/>
            </w:pPr>
            <w:r w:rsidRPr="00E951B5">
              <w:t>Lower Bound</w:t>
            </w:r>
            <w:r w:rsidR="001D5707">
              <w:t xml:space="preserve"> (95% CI)</w:t>
            </w:r>
          </w:p>
        </w:tc>
        <w:tc>
          <w:tcPr>
            <w:tcW w:w="3022" w:type="dxa"/>
            <w:vAlign w:val="top"/>
          </w:tcPr>
          <w:p w14:paraId="71304A8B" w14:textId="1F668706" w:rsidR="003B57E0" w:rsidRDefault="003B57E0" w:rsidP="003B57E0">
            <w:pPr>
              <w:spacing w:after="160" w:line="259" w:lineRule="auto"/>
              <w:jc w:val="right"/>
            </w:pPr>
            <w:r w:rsidRPr="00E951B5">
              <w:t>Upper Bound</w:t>
            </w:r>
            <w:r w:rsidR="001D5707">
              <w:t xml:space="preserve"> (95% CI)</w:t>
            </w:r>
          </w:p>
        </w:tc>
      </w:tr>
      <w:tr w:rsidR="003B57E0" w14:paraId="16B950EA" w14:textId="77777777" w:rsidTr="003B57E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33F4EB20" w14:textId="0B5A2191" w:rsidR="003B57E0" w:rsidRDefault="003B57E0" w:rsidP="003B57E0">
            <w:pPr>
              <w:pStyle w:val="Tabletext"/>
            </w:pPr>
            <w:r w:rsidRPr="00E951B5">
              <w:t>East</w:t>
            </w:r>
            <w:r>
              <w:t xml:space="preserve"> </w:t>
            </w:r>
            <w:r w:rsidR="00A83806">
              <w:t>&amp;</w:t>
            </w:r>
            <w:r>
              <w:t xml:space="preserve"> </w:t>
            </w:r>
            <w:r w:rsidRPr="00E951B5">
              <w:t>Midlands</w:t>
            </w:r>
          </w:p>
        </w:tc>
        <w:tc>
          <w:tcPr>
            <w:tcW w:w="3021" w:type="dxa"/>
            <w:vAlign w:val="top"/>
          </w:tcPr>
          <w:p w14:paraId="55ECF866" w14:textId="208E975D" w:rsidR="003B57E0" w:rsidRDefault="003B57E0" w:rsidP="003B57E0">
            <w:pPr>
              <w:pStyle w:val="Tabletext"/>
              <w:jc w:val="right"/>
            </w:pPr>
            <w:r w:rsidRPr="00E951B5">
              <w:t>6%</w:t>
            </w:r>
            <w:r w:rsidR="001D5707">
              <w:t xml:space="preserve"> (2%-16%)</w:t>
            </w:r>
          </w:p>
        </w:tc>
        <w:tc>
          <w:tcPr>
            <w:tcW w:w="3022" w:type="dxa"/>
            <w:vAlign w:val="top"/>
          </w:tcPr>
          <w:p w14:paraId="7F024FB8" w14:textId="3FDF95FA" w:rsidR="003B57E0" w:rsidRDefault="003B57E0" w:rsidP="003B57E0">
            <w:pPr>
              <w:pStyle w:val="Tabletext"/>
              <w:jc w:val="right"/>
            </w:pPr>
            <w:r w:rsidRPr="00E951B5">
              <w:t>54%</w:t>
            </w:r>
            <w:r w:rsidR="001D5707">
              <w:t xml:space="preserve"> (42%-66%)</w:t>
            </w:r>
          </w:p>
        </w:tc>
      </w:tr>
      <w:tr w:rsidR="003B57E0" w14:paraId="615F4F13" w14:textId="77777777" w:rsidTr="003B57E0">
        <w:tblPrEx>
          <w:tblCellMar>
            <w:left w:w="108" w:type="dxa"/>
            <w:right w:w="108" w:type="dxa"/>
          </w:tblCellMar>
        </w:tblPrEx>
        <w:tc>
          <w:tcPr>
            <w:tcW w:w="4111" w:type="dxa"/>
            <w:vAlign w:val="top"/>
          </w:tcPr>
          <w:p w14:paraId="5E61D947" w14:textId="196C354F" w:rsidR="003B57E0" w:rsidRDefault="003B57E0" w:rsidP="003B57E0">
            <w:pPr>
              <w:pStyle w:val="Tabletext"/>
            </w:pPr>
            <w:r w:rsidRPr="00E951B5">
              <w:t>London</w:t>
            </w:r>
          </w:p>
        </w:tc>
        <w:tc>
          <w:tcPr>
            <w:tcW w:w="3021" w:type="dxa"/>
            <w:vAlign w:val="top"/>
          </w:tcPr>
          <w:p w14:paraId="6AD96271" w14:textId="5AB74DE4" w:rsidR="003B57E0" w:rsidRDefault="003B57E0" w:rsidP="003B57E0">
            <w:pPr>
              <w:pStyle w:val="Tabletext"/>
              <w:jc w:val="right"/>
            </w:pPr>
            <w:r w:rsidRPr="00E951B5">
              <w:t>26%</w:t>
            </w:r>
            <w:r w:rsidR="001D5707">
              <w:t xml:space="preserve"> (12%-46%)</w:t>
            </w:r>
          </w:p>
        </w:tc>
        <w:tc>
          <w:tcPr>
            <w:tcW w:w="3022" w:type="dxa"/>
            <w:vAlign w:val="top"/>
          </w:tcPr>
          <w:p w14:paraId="30A2673D" w14:textId="2BB52E94" w:rsidR="003B57E0" w:rsidRDefault="003B57E0" w:rsidP="003B57E0">
            <w:pPr>
              <w:pStyle w:val="Tabletext"/>
              <w:jc w:val="right"/>
            </w:pPr>
            <w:r w:rsidRPr="00E951B5">
              <w:t>81%</w:t>
            </w:r>
            <w:r w:rsidR="001D5707">
              <w:t xml:space="preserve"> (61%-92%)</w:t>
            </w:r>
          </w:p>
        </w:tc>
      </w:tr>
      <w:tr w:rsidR="003B57E0" w14:paraId="2D14F207" w14:textId="77777777" w:rsidTr="003B57E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2069636C" w14:textId="1BC65DBE" w:rsidR="003B57E0" w:rsidRDefault="003B57E0" w:rsidP="003B57E0">
            <w:pPr>
              <w:pStyle w:val="Tabletext"/>
            </w:pPr>
            <w:r w:rsidRPr="00E951B5">
              <w:t>North</w:t>
            </w:r>
            <w:r>
              <w:t xml:space="preserve"> </w:t>
            </w:r>
            <w:r w:rsidR="00A83806">
              <w:t>&amp;</w:t>
            </w:r>
            <w:r>
              <w:t xml:space="preserve"> </w:t>
            </w:r>
            <w:r w:rsidRPr="00E951B5">
              <w:t>Yorkshire</w:t>
            </w:r>
          </w:p>
        </w:tc>
        <w:tc>
          <w:tcPr>
            <w:tcW w:w="3021" w:type="dxa"/>
            <w:vAlign w:val="top"/>
          </w:tcPr>
          <w:p w14:paraId="0617DFB5" w14:textId="12E9086E" w:rsidR="003B57E0" w:rsidRDefault="003B57E0" w:rsidP="003B57E0">
            <w:pPr>
              <w:pStyle w:val="Tabletext"/>
              <w:jc w:val="right"/>
            </w:pPr>
            <w:r w:rsidRPr="00E951B5">
              <w:t>11%</w:t>
            </w:r>
            <w:r w:rsidR="001D5707">
              <w:t xml:space="preserve"> (5%-23%)</w:t>
            </w:r>
          </w:p>
        </w:tc>
        <w:tc>
          <w:tcPr>
            <w:tcW w:w="3022" w:type="dxa"/>
            <w:vAlign w:val="top"/>
          </w:tcPr>
          <w:p w14:paraId="5CEDE271" w14:textId="610E08B1" w:rsidR="003B57E0" w:rsidRDefault="003B57E0" w:rsidP="003B57E0">
            <w:pPr>
              <w:pStyle w:val="Tabletext"/>
              <w:jc w:val="right"/>
            </w:pPr>
            <w:r w:rsidRPr="00E951B5">
              <w:t>51%</w:t>
            </w:r>
            <w:r w:rsidR="001D5707">
              <w:t xml:space="preserve"> (37%-64%)</w:t>
            </w:r>
          </w:p>
        </w:tc>
      </w:tr>
      <w:tr w:rsidR="003B57E0" w14:paraId="3F153760" w14:textId="77777777" w:rsidTr="003B57E0">
        <w:tblPrEx>
          <w:tblCellMar>
            <w:left w:w="108" w:type="dxa"/>
            <w:right w:w="108" w:type="dxa"/>
          </w:tblCellMar>
        </w:tblPrEx>
        <w:tc>
          <w:tcPr>
            <w:tcW w:w="4111" w:type="dxa"/>
            <w:vAlign w:val="top"/>
          </w:tcPr>
          <w:p w14:paraId="1795BC61" w14:textId="6DF45496" w:rsidR="003B57E0" w:rsidRDefault="003B57E0" w:rsidP="003B57E0">
            <w:pPr>
              <w:pStyle w:val="Tabletext"/>
            </w:pPr>
            <w:r w:rsidRPr="00E951B5">
              <w:t>South</w:t>
            </w:r>
          </w:p>
        </w:tc>
        <w:tc>
          <w:tcPr>
            <w:tcW w:w="3021" w:type="dxa"/>
            <w:vAlign w:val="top"/>
          </w:tcPr>
          <w:p w14:paraId="666893CD" w14:textId="29BAC33A" w:rsidR="003B57E0" w:rsidRDefault="003B57E0" w:rsidP="003B57E0">
            <w:pPr>
              <w:pStyle w:val="Tabletext"/>
              <w:jc w:val="right"/>
            </w:pPr>
            <w:r w:rsidRPr="00E951B5">
              <w:t>10%</w:t>
            </w:r>
            <w:r w:rsidR="001D5707">
              <w:t xml:space="preserve"> (5%-20%)</w:t>
            </w:r>
          </w:p>
        </w:tc>
        <w:tc>
          <w:tcPr>
            <w:tcW w:w="3022" w:type="dxa"/>
            <w:vAlign w:val="top"/>
          </w:tcPr>
          <w:p w14:paraId="54FB1303" w14:textId="01A214AE" w:rsidR="003B57E0" w:rsidRDefault="003B57E0" w:rsidP="003B57E0">
            <w:pPr>
              <w:pStyle w:val="Tabletext"/>
              <w:jc w:val="right"/>
            </w:pPr>
            <w:r w:rsidRPr="00E951B5">
              <w:t>49%</w:t>
            </w:r>
            <w:r w:rsidR="001D5707">
              <w:t xml:space="preserve"> (38%-61%)</w:t>
            </w:r>
          </w:p>
        </w:tc>
      </w:tr>
      <w:tr w:rsidR="003B57E0" w14:paraId="1E2F28FB" w14:textId="77777777" w:rsidTr="003B57E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2BFA3D2F" w14:textId="29097174" w:rsidR="003B57E0" w:rsidRDefault="003B57E0" w:rsidP="003B57E0">
            <w:pPr>
              <w:pStyle w:val="Tabletext"/>
            </w:pPr>
            <w:r w:rsidRPr="00E951B5">
              <w:t>Scotland</w:t>
            </w:r>
            <w:r>
              <w:t xml:space="preserve"> </w:t>
            </w:r>
            <w:r w:rsidRPr="00E951B5">
              <w:t>/</w:t>
            </w:r>
            <w:r>
              <w:t xml:space="preserve"> </w:t>
            </w:r>
            <w:r w:rsidRPr="00E951B5">
              <w:t>Wales</w:t>
            </w:r>
            <w:r>
              <w:t xml:space="preserve"> </w:t>
            </w:r>
            <w:r w:rsidRPr="00E951B5">
              <w:t>/</w:t>
            </w:r>
            <w:r>
              <w:t xml:space="preserve"> </w:t>
            </w:r>
            <w:r w:rsidRPr="00E951B5">
              <w:t>N</w:t>
            </w:r>
            <w:r>
              <w:t>orthern Ireland</w:t>
            </w:r>
          </w:p>
        </w:tc>
        <w:tc>
          <w:tcPr>
            <w:tcW w:w="3021" w:type="dxa"/>
            <w:vAlign w:val="top"/>
          </w:tcPr>
          <w:p w14:paraId="3A0A0FB6" w14:textId="4FA08AF5" w:rsidR="003B57E0" w:rsidRDefault="003B57E0" w:rsidP="003B57E0">
            <w:pPr>
              <w:pStyle w:val="Tabletext"/>
              <w:jc w:val="right"/>
            </w:pPr>
            <w:r w:rsidRPr="00E951B5">
              <w:t>4%</w:t>
            </w:r>
            <w:r w:rsidR="001D5707">
              <w:t xml:space="preserve"> (1%-26%)</w:t>
            </w:r>
          </w:p>
        </w:tc>
        <w:tc>
          <w:tcPr>
            <w:tcW w:w="3022" w:type="dxa"/>
            <w:vAlign w:val="top"/>
          </w:tcPr>
          <w:p w14:paraId="2F099894" w14:textId="5E727C28" w:rsidR="003B57E0" w:rsidRDefault="003B57E0" w:rsidP="003B57E0">
            <w:pPr>
              <w:pStyle w:val="Tabletext"/>
              <w:jc w:val="right"/>
            </w:pPr>
            <w:r w:rsidRPr="00E951B5">
              <w:t>56%</w:t>
            </w:r>
            <w:r w:rsidR="001D5707">
              <w:t xml:space="preserve"> (36%-75%)</w:t>
            </w:r>
          </w:p>
        </w:tc>
      </w:tr>
    </w:tbl>
    <w:p w14:paraId="0DE7AAD6" w14:textId="3B976F11" w:rsidR="003B57E0" w:rsidRDefault="003B57E0" w:rsidP="003B57E0">
      <w:pPr>
        <w:spacing w:before="120"/>
        <w:rPr>
          <w:iCs/>
          <w:color w:val="555674"/>
          <w:szCs w:val="18"/>
        </w:rPr>
      </w:pPr>
      <w:r>
        <w:rPr>
          <w:iCs/>
          <w:color w:val="555674"/>
          <w:szCs w:val="18"/>
        </w:rPr>
        <w:t xml:space="preserve">Note: Regions are grouped due to low sample sizes. “East </w:t>
      </w:r>
      <w:r w:rsidR="00A83806">
        <w:rPr>
          <w:iCs/>
          <w:color w:val="555674"/>
          <w:szCs w:val="18"/>
        </w:rPr>
        <w:t>&amp;</w:t>
      </w:r>
      <w:r>
        <w:rPr>
          <w:iCs/>
          <w:color w:val="555674"/>
          <w:szCs w:val="18"/>
        </w:rPr>
        <w:t xml:space="preserve"> Midlands” refers to the East Midlands, East of England and West Midlands regions. “North </w:t>
      </w:r>
      <w:r w:rsidR="00A83806">
        <w:rPr>
          <w:iCs/>
          <w:color w:val="555674"/>
          <w:szCs w:val="18"/>
        </w:rPr>
        <w:t>&amp;</w:t>
      </w:r>
      <w:r>
        <w:rPr>
          <w:iCs/>
          <w:color w:val="555674"/>
          <w:szCs w:val="18"/>
        </w:rPr>
        <w:t xml:space="preserve"> Yorkshire” refers to the North East, North West and Yorkshire and The Humber. “South” refers to the South East and the South West. T</w:t>
      </w:r>
      <w:r w:rsidRPr="003B57E0">
        <w:rPr>
          <w:iCs/>
          <w:color w:val="555674"/>
          <w:szCs w:val="18"/>
        </w:rPr>
        <w:t>he lower bound</w:t>
      </w:r>
      <w:r>
        <w:rPr>
          <w:iCs/>
          <w:color w:val="555674"/>
          <w:szCs w:val="18"/>
        </w:rPr>
        <w:t xml:space="preserve"> refers to</w:t>
      </w:r>
      <w:r w:rsidRPr="003B57E0">
        <w:rPr>
          <w:iCs/>
          <w:color w:val="555674"/>
          <w:szCs w:val="18"/>
        </w:rPr>
        <w:t xml:space="preserve"> businesses that </w:t>
      </w:r>
      <w:r>
        <w:rPr>
          <w:iCs/>
          <w:color w:val="555674"/>
          <w:szCs w:val="18"/>
        </w:rPr>
        <w:t>reported</w:t>
      </w:r>
      <w:r w:rsidRPr="003B57E0">
        <w:rPr>
          <w:iCs/>
          <w:color w:val="555674"/>
          <w:szCs w:val="18"/>
        </w:rPr>
        <w:t xml:space="preserve"> that they would definitely have closed</w:t>
      </w:r>
      <w:r>
        <w:rPr>
          <w:iCs/>
          <w:color w:val="555674"/>
          <w:szCs w:val="18"/>
        </w:rPr>
        <w:t xml:space="preserve"> without access to RLS 1.0 finance</w:t>
      </w:r>
      <w:r w:rsidRPr="003B57E0">
        <w:rPr>
          <w:iCs/>
          <w:color w:val="555674"/>
          <w:szCs w:val="18"/>
        </w:rPr>
        <w:t xml:space="preserve">. The upper bound also includes businesses which said it is very likely or fairly likely that they would have closed. </w:t>
      </w:r>
      <w:r>
        <w:rPr>
          <w:iCs/>
          <w:color w:val="555674"/>
          <w:szCs w:val="18"/>
        </w:rPr>
        <w:t xml:space="preserve">Base: All RLS 1.0 borrowers (242). </w:t>
      </w:r>
      <w:r w:rsidRPr="003B57E0">
        <w:rPr>
          <w:iCs/>
          <w:color w:val="555674"/>
          <w:szCs w:val="18"/>
        </w:rPr>
        <w:t>Source: London Economics’ analysis of survey data</w:t>
      </w:r>
    </w:p>
    <w:p w14:paraId="03BD4DDE" w14:textId="2F70701A" w:rsidR="003B57E0" w:rsidRDefault="003B57E0" w:rsidP="003B57E0">
      <w:pPr>
        <w:pStyle w:val="Heading5"/>
      </w:pPr>
      <w:bookmarkStart w:id="134" w:name="_Ref151995561"/>
      <w:r>
        <w:t xml:space="preserve">Table </w:t>
      </w:r>
      <w:r>
        <w:fldChar w:fldCharType="begin"/>
      </w:r>
      <w:r>
        <w:instrText xml:space="preserve"> SEQ Table \* ARABIC </w:instrText>
      </w:r>
      <w:r>
        <w:fldChar w:fldCharType="separate"/>
      </w:r>
      <w:r w:rsidR="001525E9">
        <w:rPr>
          <w:noProof/>
        </w:rPr>
        <w:t>26</w:t>
      </w:r>
      <w:r>
        <w:rPr>
          <w:noProof/>
        </w:rPr>
        <w:fldChar w:fldCharType="end"/>
      </w:r>
      <w:bookmarkEnd w:id="134"/>
      <w:r w:rsidR="00B11FA3">
        <w:rPr>
          <w:noProof/>
        </w:rPr>
        <w:t>:</w:t>
      </w:r>
      <w:r>
        <w:t xml:space="preserve"> </w:t>
      </w:r>
      <w:r w:rsidR="00D12004">
        <w:t>Proportion</w:t>
      </w:r>
      <w:r>
        <w:t xml:space="preserve"> of borrowers that would have closed without access to </w:t>
      </w:r>
      <w:r w:rsidR="00D12004">
        <w:t xml:space="preserve">finance under </w:t>
      </w:r>
      <w:r>
        <w:t>RLS 1.0 by sector</w:t>
      </w:r>
    </w:p>
    <w:tbl>
      <w:tblPr>
        <w:tblStyle w:val="TableGrid"/>
        <w:tblW w:w="0" w:type="auto"/>
        <w:tblLook w:val="04A0" w:firstRow="1" w:lastRow="0" w:firstColumn="1" w:lastColumn="0" w:noHBand="0" w:noVBand="1"/>
      </w:tblPr>
      <w:tblGrid>
        <w:gridCol w:w="4111"/>
        <w:gridCol w:w="3021"/>
        <w:gridCol w:w="3022"/>
      </w:tblGrid>
      <w:tr w:rsidR="003B57E0" w14:paraId="7BAAD758" w14:textId="77777777" w:rsidTr="00F85FEA">
        <w:trPr>
          <w:cnfStyle w:val="100000000000" w:firstRow="1" w:lastRow="0" w:firstColumn="0" w:lastColumn="0" w:oddVBand="0" w:evenVBand="0" w:oddHBand="0" w:evenHBand="0" w:firstRowFirstColumn="0" w:firstRowLastColumn="0" w:lastRowFirstColumn="0" w:lastRowLastColumn="0"/>
        </w:trPr>
        <w:tc>
          <w:tcPr>
            <w:tcW w:w="4111" w:type="dxa"/>
          </w:tcPr>
          <w:p w14:paraId="1060E789" w14:textId="2F01C300" w:rsidR="003B57E0" w:rsidRDefault="6487788C" w:rsidP="00F85FEA">
            <w:pPr>
              <w:spacing w:before="0" w:after="160" w:line="259" w:lineRule="auto"/>
            </w:pPr>
            <w:r>
              <w:t>Sector</w:t>
            </w:r>
          </w:p>
        </w:tc>
        <w:tc>
          <w:tcPr>
            <w:tcW w:w="3021" w:type="dxa"/>
            <w:vAlign w:val="top"/>
          </w:tcPr>
          <w:p w14:paraId="709F3AD9" w14:textId="301CFD19" w:rsidR="003B57E0" w:rsidRDefault="003B57E0" w:rsidP="00AB3D40">
            <w:pPr>
              <w:spacing w:after="160" w:line="259" w:lineRule="auto"/>
              <w:jc w:val="right"/>
            </w:pPr>
            <w:r w:rsidRPr="00E951B5">
              <w:t>Lower Bound</w:t>
            </w:r>
            <w:r w:rsidR="001D5707">
              <w:t xml:space="preserve"> (95% CI)</w:t>
            </w:r>
          </w:p>
        </w:tc>
        <w:tc>
          <w:tcPr>
            <w:tcW w:w="3022" w:type="dxa"/>
            <w:vAlign w:val="top"/>
          </w:tcPr>
          <w:p w14:paraId="27A18CFF" w14:textId="3250DA31" w:rsidR="003B57E0" w:rsidRDefault="003B57E0" w:rsidP="00AB3D40">
            <w:pPr>
              <w:spacing w:after="160" w:line="259" w:lineRule="auto"/>
              <w:jc w:val="right"/>
            </w:pPr>
            <w:r w:rsidRPr="00E951B5">
              <w:t>Upper Bound</w:t>
            </w:r>
            <w:r w:rsidR="001D5707">
              <w:t xml:space="preserve"> (95% CI)</w:t>
            </w:r>
          </w:p>
        </w:tc>
      </w:tr>
      <w:tr w:rsidR="003B57E0" w14:paraId="4B173664"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64143A76" w14:textId="60BBCF51" w:rsidR="003B57E0" w:rsidRDefault="003B57E0" w:rsidP="003B57E0">
            <w:pPr>
              <w:pStyle w:val="Tabletext"/>
            </w:pPr>
            <w:r w:rsidRPr="00AB076B">
              <w:t>Production</w:t>
            </w:r>
          </w:p>
        </w:tc>
        <w:tc>
          <w:tcPr>
            <w:tcW w:w="3021" w:type="dxa"/>
            <w:vAlign w:val="top"/>
          </w:tcPr>
          <w:p w14:paraId="7713A57E" w14:textId="02C1A009" w:rsidR="003B57E0" w:rsidRDefault="003B57E0" w:rsidP="003B57E0">
            <w:pPr>
              <w:pStyle w:val="Tabletext"/>
              <w:jc w:val="right"/>
            </w:pPr>
            <w:r w:rsidRPr="00AB076B">
              <w:t>15%</w:t>
            </w:r>
            <w:r w:rsidR="001E7262">
              <w:t xml:space="preserve"> (7%-28%)</w:t>
            </w:r>
          </w:p>
        </w:tc>
        <w:tc>
          <w:tcPr>
            <w:tcW w:w="3022" w:type="dxa"/>
            <w:vAlign w:val="top"/>
          </w:tcPr>
          <w:p w14:paraId="47C0D0CD" w14:textId="3A0D88E4" w:rsidR="003B57E0" w:rsidRDefault="003B57E0" w:rsidP="003B57E0">
            <w:pPr>
              <w:pStyle w:val="Tabletext"/>
              <w:jc w:val="right"/>
            </w:pPr>
            <w:r w:rsidRPr="00AB076B">
              <w:t>38%</w:t>
            </w:r>
            <w:r w:rsidR="001E7262">
              <w:t xml:space="preserve"> (25%-52%)</w:t>
            </w:r>
          </w:p>
        </w:tc>
      </w:tr>
      <w:tr w:rsidR="003B57E0" w14:paraId="1F66F8E7" w14:textId="77777777" w:rsidTr="00AB3D40">
        <w:tblPrEx>
          <w:tblCellMar>
            <w:left w:w="108" w:type="dxa"/>
            <w:right w:w="108" w:type="dxa"/>
          </w:tblCellMar>
        </w:tblPrEx>
        <w:tc>
          <w:tcPr>
            <w:tcW w:w="4111" w:type="dxa"/>
            <w:vAlign w:val="top"/>
          </w:tcPr>
          <w:p w14:paraId="548E8613" w14:textId="0494D88D" w:rsidR="003B57E0" w:rsidRDefault="003B57E0" w:rsidP="003B57E0">
            <w:pPr>
              <w:pStyle w:val="Tabletext"/>
            </w:pPr>
            <w:r w:rsidRPr="00AB076B">
              <w:t>Construction</w:t>
            </w:r>
          </w:p>
        </w:tc>
        <w:tc>
          <w:tcPr>
            <w:tcW w:w="3021" w:type="dxa"/>
            <w:vAlign w:val="top"/>
          </w:tcPr>
          <w:p w14:paraId="7ABA6861" w14:textId="18138BD8" w:rsidR="003B57E0" w:rsidRDefault="003B57E0" w:rsidP="003B57E0">
            <w:pPr>
              <w:pStyle w:val="Tabletext"/>
              <w:jc w:val="right"/>
            </w:pPr>
            <w:r w:rsidRPr="00AB076B">
              <w:t>9%</w:t>
            </w:r>
            <w:r w:rsidR="001E7262">
              <w:t xml:space="preserve"> (3%-26%)</w:t>
            </w:r>
          </w:p>
        </w:tc>
        <w:tc>
          <w:tcPr>
            <w:tcW w:w="3022" w:type="dxa"/>
            <w:vAlign w:val="top"/>
          </w:tcPr>
          <w:p w14:paraId="5C435D81" w14:textId="3E1B1121" w:rsidR="003B57E0" w:rsidRDefault="003B57E0" w:rsidP="003B57E0">
            <w:pPr>
              <w:pStyle w:val="Tabletext"/>
              <w:jc w:val="right"/>
            </w:pPr>
            <w:r w:rsidRPr="00AB076B">
              <w:t>67%</w:t>
            </w:r>
            <w:r w:rsidR="001E7262">
              <w:t xml:space="preserve"> (49%-81%)</w:t>
            </w:r>
          </w:p>
        </w:tc>
      </w:tr>
      <w:tr w:rsidR="003B57E0" w14:paraId="4B9B6A8E"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4C6783FE" w14:textId="41D2FC64" w:rsidR="003B57E0" w:rsidRDefault="003B57E0" w:rsidP="003B57E0">
            <w:pPr>
              <w:pStyle w:val="Tabletext"/>
            </w:pPr>
            <w:r w:rsidRPr="00AB076B">
              <w:t>Distribution</w:t>
            </w:r>
          </w:p>
        </w:tc>
        <w:tc>
          <w:tcPr>
            <w:tcW w:w="3021" w:type="dxa"/>
            <w:vAlign w:val="top"/>
          </w:tcPr>
          <w:p w14:paraId="3A3F8B74" w14:textId="21E28C08" w:rsidR="003B57E0" w:rsidRDefault="003B57E0" w:rsidP="003B57E0">
            <w:pPr>
              <w:pStyle w:val="Tabletext"/>
              <w:jc w:val="right"/>
            </w:pPr>
            <w:r w:rsidRPr="00AB076B">
              <w:t>10%</w:t>
            </w:r>
            <w:r w:rsidR="001E7262">
              <w:t xml:space="preserve"> (4%-21%)</w:t>
            </w:r>
          </w:p>
        </w:tc>
        <w:tc>
          <w:tcPr>
            <w:tcW w:w="3022" w:type="dxa"/>
            <w:vAlign w:val="top"/>
          </w:tcPr>
          <w:p w14:paraId="32D5B55C" w14:textId="1B6A9773" w:rsidR="003B57E0" w:rsidRDefault="003B57E0" w:rsidP="003B57E0">
            <w:pPr>
              <w:pStyle w:val="Tabletext"/>
              <w:jc w:val="right"/>
            </w:pPr>
            <w:r w:rsidRPr="00AB076B">
              <w:t>60%</w:t>
            </w:r>
            <w:r w:rsidR="001E7262">
              <w:t xml:space="preserve"> (46%-72%)</w:t>
            </w:r>
          </w:p>
        </w:tc>
      </w:tr>
      <w:tr w:rsidR="003B57E0" w14:paraId="7E2EC964" w14:textId="77777777" w:rsidTr="00AB3D40">
        <w:tblPrEx>
          <w:tblCellMar>
            <w:left w:w="108" w:type="dxa"/>
            <w:right w:w="108" w:type="dxa"/>
          </w:tblCellMar>
        </w:tblPrEx>
        <w:tc>
          <w:tcPr>
            <w:tcW w:w="4111" w:type="dxa"/>
            <w:vAlign w:val="top"/>
          </w:tcPr>
          <w:p w14:paraId="2453A526" w14:textId="2EBD7648" w:rsidR="003B57E0" w:rsidRDefault="003B57E0" w:rsidP="003B57E0">
            <w:pPr>
              <w:pStyle w:val="Tabletext"/>
            </w:pPr>
            <w:r w:rsidRPr="00AB076B">
              <w:t>Business Services</w:t>
            </w:r>
          </w:p>
        </w:tc>
        <w:tc>
          <w:tcPr>
            <w:tcW w:w="3021" w:type="dxa"/>
            <w:vAlign w:val="top"/>
          </w:tcPr>
          <w:p w14:paraId="37F37B4C" w14:textId="70A9118C" w:rsidR="003B57E0" w:rsidRDefault="003B57E0" w:rsidP="003B57E0">
            <w:pPr>
              <w:pStyle w:val="Tabletext"/>
              <w:jc w:val="right"/>
            </w:pPr>
            <w:r w:rsidRPr="00AB076B">
              <w:t>9%</w:t>
            </w:r>
            <w:r w:rsidR="001E7262">
              <w:t xml:space="preserve"> (5%-17%)</w:t>
            </w:r>
          </w:p>
        </w:tc>
        <w:tc>
          <w:tcPr>
            <w:tcW w:w="3022" w:type="dxa"/>
            <w:vAlign w:val="top"/>
          </w:tcPr>
          <w:p w14:paraId="12CDD9F2" w14:textId="24643FB1" w:rsidR="003B57E0" w:rsidRDefault="003B57E0" w:rsidP="003B57E0">
            <w:pPr>
              <w:pStyle w:val="Tabletext"/>
              <w:jc w:val="right"/>
            </w:pPr>
            <w:r w:rsidRPr="00AB076B">
              <w:t>57%</w:t>
            </w:r>
            <w:r w:rsidR="001E7262">
              <w:t xml:space="preserve"> (46%-67%)</w:t>
            </w:r>
          </w:p>
        </w:tc>
      </w:tr>
      <w:tr w:rsidR="003B57E0" w14:paraId="6AB0955C"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111" w:type="dxa"/>
            <w:vAlign w:val="top"/>
          </w:tcPr>
          <w:p w14:paraId="63F0EF2C" w14:textId="2E377DE9" w:rsidR="003B57E0" w:rsidRDefault="003B57E0" w:rsidP="003B57E0">
            <w:pPr>
              <w:pStyle w:val="Tabletext"/>
            </w:pPr>
            <w:r w:rsidRPr="00AB076B">
              <w:t>Other Services</w:t>
            </w:r>
          </w:p>
        </w:tc>
        <w:tc>
          <w:tcPr>
            <w:tcW w:w="3021" w:type="dxa"/>
            <w:vAlign w:val="top"/>
          </w:tcPr>
          <w:p w14:paraId="2D144FEA" w14:textId="02A6B145" w:rsidR="003B57E0" w:rsidRDefault="003B57E0" w:rsidP="003B57E0">
            <w:pPr>
              <w:pStyle w:val="Tabletext"/>
              <w:jc w:val="right"/>
            </w:pPr>
            <w:r w:rsidRPr="00AB076B">
              <w:t>11%</w:t>
            </w:r>
            <w:r w:rsidR="001E7262">
              <w:t xml:space="preserve"> (3%-38%)</w:t>
            </w:r>
          </w:p>
        </w:tc>
        <w:tc>
          <w:tcPr>
            <w:tcW w:w="3022" w:type="dxa"/>
            <w:vAlign w:val="top"/>
          </w:tcPr>
          <w:p w14:paraId="7F4A912E" w14:textId="2970507D" w:rsidR="003B57E0" w:rsidRDefault="003B57E0" w:rsidP="003B57E0">
            <w:pPr>
              <w:pStyle w:val="Tabletext"/>
              <w:jc w:val="right"/>
            </w:pPr>
            <w:r w:rsidRPr="00AB076B">
              <w:t>61%</w:t>
            </w:r>
            <w:r w:rsidR="001E7262">
              <w:t xml:space="preserve"> (36%-81%)</w:t>
            </w:r>
          </w:p>
        </w:tc>
      </w:tr>
    </w:tbl>
    <w:p w14:paraId="63C4DA23" w14:textId="497A1C3D" w:rsidR="00E27680" w:rsidRDefault="003B57E0" w:rsidP="003B57E0">
      <w:pPr>
        <w:spacing w:before="120"/>
        <w:rPr>
          <w:iCs/>
          <w:color w:val="555674"/>
          <w:szCs w:val="18"/>
        </w:rPr>
      </w:pPr>
      <w:r>
        <w:rPr>
          <w:iCs/>
          <w:color w:val="555674"/>
          <w:szCs w:val="18"/>
        </w:rPr>
        <w:t>Note: T</w:t>
      </w:r>
      <w:r w:rsidRPr="003B57E0">
        <w:rPr>
          <w:iCs/>
          <w:color w:val="555674"/>
          <w:szCs w:val="18"/>
        </w:rPr>
        <w:t>he lower bound</w:t>
      </w:r>
      <w:r>
        <w:rPr>
          <w:iCs/>
          <w:color w:val="555674"/>
          <w:szCs w:val="18"/>
        </w:rPr>
        <w:t xml:space="preserve"> refers to</w:t>
      </w:r>
      <w:r w:rsidRPr="003B57E0">
        <w:rPr>
          <w:iCs/>
          <w:color w:val="555674"/>
          <w:szCs w:val="18"/>
        </w:rPr>
        <w:t xml:space="preserve"> businesses that </w:t>
      </w:r>
      <w:r>
        <w:rPr>
          <w:iCs/>
          <w:color w:val="555674"/>
          <w:szCs w:val="18"/>
        </w:rPr>
        <w:t>reported</w:t>
      </w:r>
      <w:r w:rsidRPr="003B57E0">
        <w:rPr>
          <w:iCs/>
          <w:color w:val="555674"/>
          <w:szCs w:val="18"/>
        </w:rPr>
        <w:t xml:space="preserve"> that they would definitely have closed</w:t>
      </w:r>
      <w:r>
        <w:rPr>
          <w:iCs/>
          <w:color w:val="555674"/>
          <w:szCs w:val="18"/>
        </w:rPr>
        <w:t xml:space="preserve"> without access to RLS 1.0 finance</w:t>
      </w:r>
      <w:r w:rsidRPr="003B57E0">
        <w:rPr>
          <w:iCs/>
          <w:color w:val="555674"/>
          <w:szCs w:val="18"/>
        </w:rPr>
        <w:t xml:space="preserve">. The upper bound also includes businesses which said it is very likely or fairly likely that they would have closed. </w:t>
      </w:r>
      <w:r>
        <w:rPr>
          <w:iCs/>
          <w:color w:val="555674"/>
          <w:szCs w:val="18"/>
        </w:rPr>
        <w:t xml:space="preserve">Base: All RLS 1.0 borrowers (242). </w:t>
      </w:r>
      <w:r w:rsidRPr="003B57E0">
        <w:rPr>
          <w:iCs/>
          <w:color w:val="555674"/>
          <w:szCs w:val="18"/>
        </w:rPr>
        <w:t>Source: London Economics’ analysis of survey data</w:t>
      </w:r>
      <w:r w:rsidR="00E27680">
        <w:br w:type="page"/>
      </w:r>
    </w:p>
    <w:p w14:paraId="790F2DEA" w14:textId="2C7F3565" w:rsidR="00193EBA" w:rsidRPr="00E27136" w:rsidRDefault="002F42BD" w:rsidP="002F42BD">
      <w:pPr>
        <w:pStyle w:val="Heading1"/>
      </w:pPr>
      <w:bookmarkStart w:id="135" w:name="_Ref90811574"/>
      <w:bookmarkStart w:id="136" w:name="_Toc161327599"/>
      <w:bookmarkStart w:id="137" w:name="_Ref90807774"/>
      <w:r w:rsidRPr="00E27136">
        <w:t xml:space="preserve">Annex </w:t>
      </w:r>
      <w:r w:rsidR="00435380" w:rsidRPr="00E27136">
        <w:t>4</w:t>
      </w:r>
      <w:bookmarkEnd w:id="135"/>
      <w:bookmarkEnd w:id="136"/>
    </w:p>
    <w:p w14:paraId="631B1CC1" w14:textId="77777777" w:rsidR="004A39B0" w:rsidRPr="004A39B0" w:rsidRDefault="004A39B0" w:rsidP="004A39B0">
      <w:pPr>
        <w:pStyle w:val="Heading2"/>
      </w:pPr>
      <w:bookmarkStart w:id="138" w:name="_Toc161327600"/>
      <w:bookmarkStart w:id="139" w:name="_Ref90809123"/>
      <w:bookmarkEnd w:id="137"/>
      <w:r w:rsidRPr="004A39B0">
        <w:t>Measuring product market displacement</w:t>
      </w:r>
      <w:bookmarkEnd w:id="138"/>
    </w:p>
    <w:p w14:paraId="222B067C" w14:textId="60029D7D" w:rsidR="004A39B0" w:rsidRPr="004A39B0" w:rsidRDefault="004A39B0" w:rsidP="004A39B0">
      <w:r w:rsidRPr="004A39B0">
        <w:fldChar w:fldCharType="begin"/>
      </w:r>
      <w:r w:rsidRPr="004A39B0">
        <w:instrText xml:space="preserve"> REF _Ref91005742 \h  \* MERGEFORMAT </w:instrText>
      </w:r>
      <w:r w:rsidRPr="004A39B0">
        <w:fldChar w:fldCharType="separate"/>
      </w:r>
      <w:r w:rsidR="001525E9" w:rsidRPr="004A39B0">
        <w:t xml:space="preserve">Table </w:t>
      </w:r>
      <w:r w:rsidR="001525E9">
        <w:rPr>
          <w:noProof/>
        </w:rPr>
        <w:t>27</w:t>
      </w:r>
      <w:r w:rsidRPr="004A39B0">
        <w:fldChar w:fldCharType="end"/>
      </w:r>
      <w:r w:rsidRPr="004A39B0">
        <w:t xml:space="preserve"> explains how responses</w:t>
      </w:r>
      <w:r w:rsidR="00EF16F5">
        <w:t xml:space="preserve"> to</w:t>
      </w:r>
      <w:r w:rsidRPr="004A39B0">
        <w:t xml:space="preserve"> survey questions were mapped to quantitative figures (or ‘displacement factors’). </w:t>
      </w:r>
    </w:p>
    <w:p w14:paraId="67A48BE0" w14:textId="42095705" w:rsidR="004A39B0" w:rsidRPr="004A39B0" w:rsidRDefault="004A39B0" w:rsidP="004A39B0">
      <w:pPr>
        <w:pStyle w:val="Heading5"/>
      </w:pPr>
      <w:bookmarkStart w:id="140" w:name="_Ref91005742"/>
      <w:r w:rsidRPr="004A39B0">
        <w:t xml:space="preserve">Table </w:t>
      </w:r>
      <w:r w:rsidRPr="004A39B0">
        <w:fldChar w:fldCharType="begin"/>
      </w:r>
      <w:r w:rsidRPr="004A39B0">
        <w:instrText>SEQ Table \* ARABIC</w:instrText>
      </w:r>
      <w:r w:rsidRPr="004A39B0">
        <w:fldChar w:fldCharType="separate"/>
      </w:r>
      <w:r w:rsidR="001525E9">
        <w:rPr>
          <w:noProof/>
        </w:rPr>
        <w:t>27</w:t>
      </w:r>
      <w:r w:rsidRPr="004A39B0">
        <w:fldChar w:fldCharType="end"/>
      </w:r>
      <w:bookmarkEnd w:id="140"/>
      <w:r w:rsidRPr="004A39B0">
        <w:t>: Adjustments for product market displacement – based on survey responses</w:t>
      </w:r>
    </w:p>
    <w:tbl>
      <w:tblPr>
        <w:tblStyle w:val="TableGrid"/>
        <w:tblW w:w="5000" w:type="pct"/>
        <w:tblLook w:val="04A0" w:firstRow="1" w:lastRow="0" w:firstColumn="1" w:lastColumn="0" w:noHBand="0" w:noVBand="1"/>
      </w:tblPr>
      <w:tblGrid>
        <w:gridCol w:w="3869"/>
        <w:gridCol w:w="3292"/>
        <w:gridCol w:w="2993"/>
      </w:tblGrid>
      <w:tr w:rsidR="004A39B0" w:rsidRPr="004A39B0" w14:paraId="6E18C055" w14:textId="77777777" w:rsidTr="00AB3D40">
        <w:trPr>
          <w:cnfStyle w:val="100000000000" w:firstRow="1" w:lastRow="0" w:firstColumn="0" w:lastColumn="0" w:oddVBand="0" w:evenVBand="0" w:oddHBand="0" w:evenHBand="0" w:firstRowFirstColumn="0" w:firstRowLastColumn="0" w:lastRowFirstColumn="0" w:lastRowLastColumn="0"/>
          <w:trHeight w:val="439"/>
          <w:tblHeader/>
        </w:trPr>
        <w:tc>
          <w:tcPr>
            <w:tcW w:w="1905" w:type="pct"/>
            <w:hideMark/>
          </w:tcPr>
          <w:p w14:paraId="2E96FF7F" w14:textId="77777777" w:rsidR="004A39B0" w:rsidRPr="004A39B0" w:rsidRDefault="004A39B0" w:rsidP="00AB3D40">
            <w:pPr>
              <w:pStyle w:val="Tabletext"/>
              <w:rPr>
                <w:b w:val="0"/>
                <w:bCs/>
                <w:color w:val="FFFFFF" w:themeColor="background1"/>
              </w:rPr>
            </w:pPr>
            <w:r w:rsidRPr="004A39B0">
              <w:rPr>
                <w:color w:val="FFFFFF" w:themeColor="background1"/>
              </w:rPr>
              <w:t xml:space="preserve">Question </w:t>
            </w:r>
          </w:p>
        </w:tc>
        <w:tc>
          <w:tcPr>
            <w:tcW w:w="1621" w:type="pct"/>
            <w:hideMark/>
          </w:tcPr>
          <w:p w14:paraId="71D46CEC" w14:textId="77777777" w:rsidR="004A39B0" w:rsidRPr="004A39B0" w:rsidRDefault="004A39B0" w:rsidP="00AB3D40">
            <w:pPr>
              <w:pStyle w:val="Tabletext"/>
              <w:rPr>
                <w:b w:val="0"/>
                <w:bCs/>
                <w:color w:val="FFFFFF" w:themeColor="background1"/>
              </w:rPr>
            </w:pPr>
            <w:r w:rsidRPr="004A39B0">
              <w:rPr>
                <w:color w:val="FFFFFF" w:themeColor="background1"/>
              </w:rPr>
              <w:t>Response</w:t>
            </w:r>
          </w:p>
        </w:tc>
        <w:tc>
          <w:tcPr>
            <w:tcW w:w="1474" w:type="pct"/>
            <w:hideMark/>
          </w:tcPr>
          <w:p w14:paraId="7D638601" w14:textId="77777777" w:rsidR="004A39B0" w:rsidRPr="004A39B0" w:rsidRDefault="004A39B0" w:rsidP="00AB3D40">
            <w:pPr>
              <w:pStyle w:val="Tabletext"/>
              <w:rPr>
                <w:b w:val="0"/>
                <w:bCs/>
                <w:color w:val="FFFFFF" w:themeColor="background1"/>
              </w:rPr>
            </w:pPr>
            <w:r w:rsidRPr="004A39B0">
              <w:rPr>
                <w:color w:val="FFFFFF" w:themeColor="background1"/>
              </w:rPr>
              <w:t>Displacement factor</w:t>
            </w:r>
          </w:p>
        </w:tc>
      </w:tr>
      <w:tr w:rsidR="004A39B0" w:rsidRPr="004A39B0" w14:paraId="0013D214"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01"/>
        </w:trPr>
        <w:tc>
          <w:tcPr>
            <w:tcW w:w="1905" w:type="pct"/>
            <w:vMerge w:val="restart"/>
            <w:vAlign w:val="top"/>
            <w:hideMark/>
          </w:tcPr>
          <w:p w14:paraId="46977357" w14:textId="173891B7" w:rsidR="004A39B0" w:rsidRPr="004A39B0" w:rsidRDefault="004A39B0" w:rsidP="00AB3D40">
            <w:pPr>
              <w:pStyle w:val="Tabletext"/>
              <w:rPr>
                <w:bCs/>
              </w:rPr>
            </w:pPr>
            <w:r w:rsidRPr="004A39B0">
              <w:t xml:space="preserve">Now thinking about your competitors, how would you describe the nature of the competition in your main market/s </w:t>
            </w:r>
            <w:r>
              <w:t>with respect to the type of goods and services you sell and the geographic area in which you sell them</w:t>
            </w:r>
            <w:r w:rsidRPr="004A39B0">
              <w:t xml:space="preserve">? Please think about your circumstances </w:t>
            </w:r>
            <w:r>
              <w:t>when you received your finance under the Recovery Loan Scheme. Would you say that there was…?</w:t>
            </w:r>
          </w:p>
          <w:p w14:paraId="3B30B130" w14:textId="77777777" w:rsidR="004A39B0" w:rsidRPr="004A39B0" w:rsidRDefault="004A39B0" w:rsidP="00AB3D40">
            <w:pPr>
              <w:pStyle w:val="Tabletext"/>
              <w:rPr>
                <w:bCs/>
              </w:rPr>
            </w:pPr>
          </w:p>
        </w:tc>
        <w:tc>
          <w:tcPr>
            <w:tcW w:w="1621" w:type="pct"/>
            <w:vAlign w:val="top"/>
            <w:hideMark/>
          </w:tcPr>
          <w:p w14:paraId="560A5D72" w14:textId="77777777" w:rsidR="004A39B0" w:rsidRPr="004A39B0" w:rsidRDefault="004A39B0" w:rsidP="00AB3D40">
            <w:pPr>
              <w:pStyle w:val="Tabletext"/>
            </w:pPr>
            <w:r w:rsidRPr="004A39B0">
              <w:t>Very intense competition</w:t>
            </w:r>
          </w:p>
        </w:tc>
        <w:tc>
          <w:tcPr>
            <w:tcW w:w="1474" w:type="pct"/>
            <w:vAlign w:val="top"/>
            <w:hideMark/>
          </w:tcPr>
          <w:p w14:paraId="66AFC48A" w14:textId="77777777" w:rsidR="004A39B0" w:rsidRPr="004A39B0" w:rsidRDefault="004A39B0" w:rsidP="00AB3D40">
            <w:pPr>
              <w:pStyle w:val="Tabletext"/>
            </w:pPr>
            <w:r w:rsidRPr="004A39B0">
              <w:t>100% displacement</w:t>
            </w:r>
          </w:p>
        </w:tc>
      </w:tr>
      <w:tr w:rsidR="004A39B0" w:rsidRPr="004A39B0" w14:paraId="1A160240" w14:textId="77777777" w:rsidTr="00AB3D40">
        <w:tblPrEx>
          <w:tblCellMar>
            <w:left w:w="108" w:type="dxa"/>
            <w:right w:w="108" w:type="dxa"/>
          </w:tblCellMar>
        </w:tblPrEx>
        <w:trPr>
          <w:trHeight w:val="101"/>
        </w:trPr>
        <w:tc>
          <w:tcPr>
            <w:tcW w:w="1905" w:type="pct"/>
            <w:vMerge/>
            <w:shd w:val="clear" w:color="auto" w:fill="CCDDEF"/>
            <w:vAlign w:val="top"/>
            <w:hideMark/>
          </w:tcPr>
          <w:p w14:paraId="136F0AFB" w14:textId="77777777" w:rsidR="004A39B0" w:rsidRPr="004A39B0" w:rsidRDefault="004A39B0" w:rsidP="00AB3D40">
            <w:pPr>
              <w:pStyle w:val="Tabletext"/>
              <w:rPr>
                <w:sz w:val="20"/>
              </w:rPr>
            </w:pPr>
          </w:p>
        </w:tc>
        <w:tc>
          <w:tcPr>
            <w:tcW w:w="1621" w:type="pct"/>
            <w:shd w:val="clear" w:color="auto" w:fill="CCDDEF"/>
            <w:vAlign w:val="top"/>
            <w:hideMark/>
          </w:tcPr>
          <w:p w14:paraId="2604FE20" w14:textId="77777777" w:rsidR="004A39B0" w:rsidRPr="004A39B0" w:rsidRDefault="004A39B0" w:rsidP="00AB3D40">
            <w:pPr>
              <w:pStyle w:val="Tabletext"/>
            </w:pPr>
            <w:r w:rsidRPr="004A39B0">
              <w:t>Intense competition</w:t>
            </w:r>
          </w:p>
        </w:tc>
        <w:tc>
          <w:tcPr>
            <w:tcW w:w="1474" w:type="pct"/>
            <w:shd w:val="clear" w:color="auto" w:fill="CCDDEF"/>
            <w:vAlign w:val="top"/>
            <w:hideMark/>
          </w:tcPr>
          <w:p w14:paraId="2895E8F0" w14:textId="77777777" w:rsidR="004A39B0" w:rsidRPr="004A39B0" w:rsidRDefault="004A39B0" w:rsidP="00AB3D40">
            <w:pPr>
              <w:pStyle w:val="Tabletext"/>
            </w:pPr>
            <w:r w:rsidRPr="004A39B0">
              <w:t>75% displacement</w:t>
            </w:r>
          </w:p>
        </w:tc>
      </w:tr>
      <w:tr w:rsidR="004A39B0" w:rsidRPr="004A39B0" w14:paraId="3DD0CE3D"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01"/>
        </w:trPr>
        <w:tc>
          <w:tcPr>
            <w:tcW w:w="1905" w:type="pct"/>
            <w:vMerge/>
            <w:vAlign w:val="top"/>
            <w:hideMark/>
          </w:tcPr>
          <w:p w14:paraId="59611A87" w14:textId="77777777" w:rsidR="004A39B0" w:rsidRPr="004A39B0" w:rsidRDefault="004A39B0" w:rsidP="00AB3D40">
            <w:pPr>
              <w:pStyle w:val="Tabletext"/>
              <w:rPr>
                <w:sz w:val="20"/>
              </w:rPr>
            </w:pPr>
          </w:p>
        </w:tc>
        <w:tc>
          <w:tcPr>
            <w:tcW w:w="1621" w:type="pct"/>
            <w:vAlign w:val="top"/>
            <w:hideMark/>
          </w:tcPr>
          <w:p w14:paraId="7D439F9B" w14:textId="77777777" w:rsidR="004A39B0" w:rsidRPr="004A39B0" w:rsidRDefault="004A39B0" w:rsidP="00AB3D40">
            <w:pPr>
              <w:pStyle w:val="Tabletext"/>
            </w:pPr>
            <w:r w:rsidRPr="004A39B0">
              <w:t>Moderate competition</w:t>
            </w:r>
          </w:p>
        </w:tc>
        <w:tc>
          <w:tcPr>
            <w:tcW w:w="1474" w:type="pct"/>
            <w:vAlign w:val="top"/>
            <w:hideMark/>
          </w:tcPr>
          <w:p w14:paraId="264EF319" w14:textId="77777777" w:rsidR="004A39B0" w:rsidRPr="004A39B0" w:rsidRDefault="004A39B0" w:rsidP="00AB3D40">
            <w:pPr>
              <w:pStyle w:val="Tabletext"/>
            </w:pPr>
            <w:r w:rsidRPr="004A39B0">
              <w:t>50% displacement</w:t>
            </w:r>
          </w:p>
        </w:tc>
      </w:tr>
      <w:tr w:rsidR="004A39B0" w:rsidRPr="004A39B0" w14:paraId="192C874A" w14:textId="77777777" w:rsidTr="00AB3D40">
        <w:tblPrEx>
          <w:tblCellMar>
            <w:left w:w="108" w:type="dxa"/>
            <w:right w:w="108" w:type="dxa"/>
          </w:tblCellMar>
        </w:tblPrEx>
        <w:trPr>
          <w:trHeight w:val="101"/>
        </w:trPr>
        <w:tc>
          <w:tcPr>
            <w:tcW w:w="1905" w:type="pct"/>
            <w:vMerge/>
            <w:shd w:val="clear" w:color="auto" w:fill="CCDDEF"/>
            <w:vAlign w:val="top"/>
            <w:hideMark/>
          </w:tcPr>
          <w:p w14:paraId="0E84D0EE" w14:textId="77777777" w:rsidR="004A39B0" w:rsidRPr="004A39B0" w:rsidRDefault="004A39B0" w:rsidP="00AB3D40">
            <w:pPr>
              <w:pStyle w:val="Tabletext"/>
              <w:rPr>
                <w:sz w:val="20"/>
              </w:rPr>
            </w:pPr>
          </w:p>
        </w:tc>
        <w:tc>
          <w:tcPr>
            <w:tcW w:w="1621" w:type="pct"/>
            <w:shd w:val="clear" w:color="auto" w:fill="CCDDEF"/>
            <w:vAlign w:val="top"/>
            <w:hideMark/>
          </w:tcPr>
          <w:p w14:paraId="184FFAFA" w14:textId="77777777" w:rsidR="004A39B0" w:rsidRPr="004A39B0" w:rsidRDefault="004A39B0" w:rsidP="00AB3D40">
            <w:pPr>
              <w:pStyle w:val="Tabletext"/>
            </w:pPr>
            <w:r w:rsidRPr="004A39B0">
              <w:t>Weak competition</w:t>
            </w:r>
          </w:p>
        </w:tc>
        <w:tc>
          <w:tcPr>
            <w:tcW w:w="1474" w:type="pct"/>
            <w:shd w:val="clear" w:color="auto" w:fill="CCDDEF"/>
            <w:vAlign w:val="top"/>
            <w:hideMark/>
          </w:tcPr>
          <w:p w14:paraId="4F5C0B5B" w14:textId="77777777" w:rsidR="004A39B0" w:rsidRPr="004A39B0" w:rsidRDefault="004A39B0" w:rsidP="00AB3D40">
            <w:pPr>
              <w:pStyle w:val="Tabletext"/>
            </w:pPr>
            <w:r w:rsidRPr="004A39B0">
              <w:t>25% displacement</w:t>
            </w:r>
          </w:p>
        </w:tc>
      </w:tr>
      <w:tr w:rsidR="004A39B0" w:rsidRPr="004A39B0" w14:paraId="02BEDF90"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202"/>
        </w:trPr>
        <w:tc>
          <w:tcPr>
            <w:tcW w:w="1905" w:type="pct"/>
            <w:vMerge/>
            <w:vAlign w:val="top"/>
            <w:hideMark/>
          </w:tcPr>
          <w:p w14:paraId="5C4EE491" w14:textId="77777777" w:rsidR="004A39B0" w:rsidRPr="004A39B0" w:rsidRDefault="004A39B0" w:rsidP="00AB3D40">
            <w:pPr>
              <w:pStyle w:val="Tabletext"/>
              <w:rPr>
                <w:sz w:val="20"/>
              </w:rPr>
            </w:pPr>
          </w:p>
        </w:tc>
        <w:tc>
          <w:tcPr>
            <w:tcW w:w="1621" w:type="pct"/>
            <w:vAlign w:val="top"/>
            <w:hideMark/>
          </w:tcPr>
          <w:p w14:paraId="59A381D7" w14:textId="77777777" w:rsidR="004A39B0" w:rsidRPr="004A39B0" w:rsidRDefault="004A39B0" w:rsidP="00AB3D40">
            <w:pPr>
              <w:pStyle w:val="Tabletext"/>
            </w:pPr>
            <w:r w:rsidRPr="004A39B0">
              <w:t>No competition at all</w:t>
            </w:r>
          </w:p>
        </w:tc>
        <w:tc>
          <w:tcPr>
            <w:tcW w:w="1474" w:type="pct"/>
            <w:vAlign w:val="top"/>
            <w:hideMark/>
          </w:tcPr>
          <w:p w14:paraId="70B8F5E9" w14:textId="77777777" w:rsidR="004A39B0" w:rsidRPr="004A39B0" w:rsidRDefault="004A39B0" w:rsidP="00AB3D40">
            <w:pPr>
              <w:pStyle w:val="Tabletext"/>
            </w:pPr>
            <w:r w:rsidRPr="004A39B0">
              <w:t>0% displacement</w:t>
            </w:r>
          </w:p>
        </w:tc>
      </w:tr>
      <w:tr w:rsidR="004A39B0" w:rsidRPr="004A39B0" w14:paraId="55A31579" w14:textId="77777777" w:rsidTr="00AB3D40">
        <w:tblPrEx>
          <w:tblCellMar>
            <w:left w:w="108" w:type="dxa"/>
            <w:right w:w="108" w:type="dxa"/>
          </w:tblCellMar>
        </w:tblPrEx>
        <w:trPr>
          <w:trHeight w:val="251"/>
        </w:trPr>
        <w:tc>
          <w:tcPr>
            <w:tcW w:w="1905" w:type="pct"/>
            <w:vMerge w:val="restart"/>
            <w:shd w:val="clear" w:color="auto" w:fill="auto"/>
            <w:vAlign w:val="top"/>
            <w:hideMark/>
          </w:tcPr>
          <w:p w14:paraId="6F934AC9" w14:textId="753D67F3" w:rsidR="004A39B0" w:rsidRPr="004A39B0" w:rsidRDefault="004A39B0" w:rsidP="00AB3D40">
            <w:pPr>
              <w:pStyle w:val="Tabletext"/>
              <w:rPr>
                <w:bCs/>
              </w:rPr>
            </w:pPr>
            <w:r w:rsidRPr="004A39B0">
              <w:t xml:space="preserve">Thinking about your business </w:t>
            </w:r>
            <w:r>
              <w:t>at the time you received your finance from the Recovery Loan Scheme</w:t>
            </w:r>
            <w:r w:rsidRPr="004A39B0">
              <w:t>, if your business was to permanently cease trading do you think any of your competitors would take up your sales?</w:t>
            </w:r>
          </w:p>
          <w:p w14:paraId="00A8F910" w14:textId="77777777" w:rsidR="004A39B0" w:rsidRPr="004A39B0" w:rsidRDefault="004A39B0" w:rsidP="00AB3D40">
            <w:pPr>
              <w:pStyle w:val="Tabletext"/>
            </w:pPr>
          </w:p>
        </w:tc>
        <w:tc>
          <w:tcPr>
            <w:tcW w:w="1621" w:type="pct"/>
            <w:shd w:val="clear" w:color="auto" w:fill="auto"/>
            <w:vAlign w:val="top"/>
            <w:hideMark/>
          </w:tcPr>
          <w:p w14:paraId="6D677E8D" w14:textId="77777777" w:rsidR="004A39B0" w:rsidRPr="004A39B0" w:rsidRDefault="004A39B0" w:rsidP="00AB3D40">
            <w:pPr>
              <w:pStyle w:val="Tabletext"/>
            </w:pPr>
            <w:r w:rsidRPr="004A39B0">
              <w:t>Yes, all of our sales</w:t>
            </w:r>
          </w:p>
        </w:tc>
        <w:tc>
          <w:tcPr>
            <w:tcW w:w="1474" w:type="pct"/>
            <w:shd w:val="clear" w:color="auto" w:fill="auto"/>
            <w:vAlign w:val="top"/>
            <w:hideMark/>
          </w:tcPr>
          <w:p w14:paraId="366ED9B7" w14:textId="77777777" w:rsidR="004A39B0" w:rsidRPr="004A39B0" w:rsidRDefault="004A39B0" w:rsidP="00AB3D40">
            <w:pPr>
              <w:pStyle w:val="Tabletext"/>
            </w:pPr>
            <w:r w:rsidRPr="004A39B0">
              <w:t>100% displacement</w:t>
            </w:r>
          </w:p>
        </w:tc>
      </w:tr>
      <w:tr w:rsidR="004A39B0" w:rsidRPr="004A39B0" w14:paraId="68BCDBBB"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25"/>
        </w:trPr>
        <w:tc>
          <w:tcPr>
            <w:tcW w:w="1905" w:type="pct"/>
            <w:vMerge/>
            <w:shd w:val="clear" w:color="auto" w:fill="auto"/>
            <w:vAlign w:val="top"/>
            <w:hideMark/>
          </w:tcPr>
          <w:p w14:paraId="6C7BB48C" w14:textId="77777777" w:rsidR="004A39B0" w:rsidRPr="004A39B0" w:rsidRDefault="004A39B0" w:rsidP="00AB3D40">
            <w:pPr>
              <w:pStyle w:val="Tabletext"/>
              <w:rPr>
                <w:sz w:val="20"/>
              </w:rPr>
            </w:pPr>
          </w:p>
        </w:tc>
        <w:tc>
          <w:tcPr>
            <w:tcW w:w="1621" w:type="pct"/>
            <w:shd w:val="clear" w:color="auto" w:fill="auto"/>
            <w:vAlign w:val="top"/>
            <w:hideMark/>
          </w:tcPr>
          <w:p w14:paraId="60CA46C9" w14:textId="77777777" w:rsidR="004A39B0" w:rsidRPr="004A39B0" w:rsidRDefault="004A39B0" w:rsidP="00AB3D40">
            <w:pPr>
              <w:pStyle w:val="Tabletext"/>
            </w:pPr>
            <w:r w:rsidRPr="004A39B0">
              <w:t>Yes, some of our sales</w:t>
            </w:r>
          </w:p>
        </w:tc>
        <w:tc>
          <w:tcPr>
            <w:tcW w:w="1474" w:type="pct"/>
            <w:shd w:val="clear" w:color="auto" w:fill="auto"/>
            <w:vAlign w:val="top"/>
            <w:hideMark/>
          </w:tcPr>
          <w:p w14:paraId="4B0A6476" w14:textId="77777777" w:rsidR="004A39B0" w:rsidRPr="004A39B0" w:rsidRDefault="004A39B0" w:rsidP="00AB3D40">
            <w:pPr>
              <w:pStyle w:val="Tabletext"/>
            </w:pPr>
            <w:r w:rsidRPr="004A39B0">
              <w:t>50% displacement</w:t>
            </w:r>
          </w:p>
        </w:tc>
      </w:tr>
      <w:tr w:rsidR="004A39B0" w:rsidRPr="004A39B0" w14:paraId="324661AC" w14:textId="77777777" w:rsidTr="00AB3D40">
        <w:tblPrEx>
          <w:tblCellMar>
            <w:left w:w="108" w:type="dxa"/>
            <w:right w:w="108" w:type="dxa"/>
          </w:tblCellMar>
        </w:tblPrEx>
        <w:trPr>
          <w:trHeight w:val="701"/>
        </w:trPr>
        <w:tc>
          <w:tcPr>
            <w:tcW w:w="1905" w:type="pct"/>
            <w:vMerge/>
            <w:shd w:val="clear" w:color="auto" w:fill="auto"/>
            <w:vAlign w:val="top"/>
            <w:hideMark/>
          </w:tcPr>
          <w:p w14:paraId="30467F1C" w14:textId="77777777" w:rsidR="004A39B0" w:rsidRPr="004A39B0" w:rsidRDefault="004A39B0" w:rsidP="00AB3D40">
            <w:pPr>
              <w:pStyle w:val="Tabletext"/>
              <w:rPr>
                <w:sz w:val="20"/>
              </w:rPr>
            </w:pPr>
          </w:p>
        </w:tc>
        <w:tc>
          <w:tcPr>
            <w:tcW w:w="1621" w:type="pct"/>
            <w:shd w:val="clear" w:color="auto" w:fill="auto"/>
            <w:vAlign w:val="top"/>
            <w:hideMark/>
          </w:tcPr>
          <w:p w14:paraId="1B871769" w14:textId="77777777" w:rsidR="004A39B0" w:rsidRPr="004A39B0" w:rsidRDefault="004A39B0" w:rsidP="00AB3D40">
            <w:pPr>
              <w:pStyle w:val="Tabletext"/>
            </w:pPr>
            <w:r w:rsidRPr="004A39B0">
              <w:t>No, no-one would take our sales</w:t>
            </w:r>
          </w:p>
        </w:tc>
        <w:tc>
          <w:tcPr>
            <w:tcW w:w="1474" w:type="pct"/>
            <w:shd w:val="clear" w:color="auto" w:fill="auto"/>
            <w:vAlign w:val="top"/>
            <w:hideMark/>
          </w:tcPr>
          <w:p w14:paraId="2899E080" w14:textId="77777777" w:rsidR="004A39B0" w:rsidRPr="004A39B0" w:rsidRDefault="004A39B0" w:rsidP="00AB3D40">
            <w:pPr>
              <w:pStyle w:val="Tabletext"/>
            </w:pPr>
            <w:r w:rsidRPr="004A39B0">
              <w:t>0% displacement</w:t>
            </w:r>
          </w:p>
        </w:tc>
      </w:tr>
      <w:tr w:rsidR="004A39B0" w:rsidRPr="004A39B0" w14:paraId="103F9EF6"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81"/>
        </w:trPr>
        <w:tc>
          <w:tcPr>
            <w:tcW w:w="1905" w:type="pct"/>
            <w:vMerge w:val="restart"/>
            <w:vAlign w:val="top"/>
            <w:hideMark/>
          </w:tcPr>
          <w:p w14:paraId="511DCEC9" w14:textId="77777777" w:rsidR="004A39B0" w:rsidRPr="004A39B0" w:rsidRDefault="004A39B0" w:rsidP="00AB3D40">
            <w:pPr>
              <w:pStyle w:val="Tabletext"/>
            </w:pPr>
            <w:r w:rsidRPr="004A39B0">
              <w:t xml:space="preserve">And would this mainly be competitors based…?  </w:t>
            </w:r>
          </w:p>
        </w:tc>
        <w:tc>
          <w:tcPr>
            <w:tcW w:w="1621" w:type="pct"/>
            <w:vAlign w:val="top"/>
            <w:hideMark/>
          </w:tcPr>
          <w:p w14:paraId="7F92E3E9" w14:textId="77777777" w:rsidR="004A39B0" w:rsidRPr="004A39B0" w:rsidRDefault="004A39B0" w:rsidP="00AB3D40">
            <w:pPr>
              <w:pStyle w:val="Tabletext"/>
            </w:pPr>
            <w:r w:rsidRPr="004A39B0">
              <w:t xml:space="preserve">Only in UK </w:t>
            </w:r>
          </w:p>
        </w:tc>
        <w:tc>
          <w:tcPr>
            <w:tcW w:w="1474" w:type="pct"/>
            <w:vAlign w:val="top"/>
            <w:hideMark/>
          </w:tcPr>
          <w:p w14:paraId="413E5B41" w14:textId="77777777" w:rsidR="004A39B0" w:rsidRPr="004A39B0" w:rsidRDefault="004A39B0" w:rsidP="00AB3D40">
            <w:pPr>
              <w:pStyle w:val="Tabletext"/>
            </w:pPr>
            <w:r w:rsidRPr="004A39B0">
              <w:t>100% displacement</w:t>
            </w:r>
          </w:p>
        </w:tc>
      </w:tr>
      <w:tr w:rsidR="004A39B0" w:rsidRPr="004A39B0" w14:paraId="51F29E72" w14:textId="77777777" w:rsidTr="00AB3D40">
        <w:tblPrEx>
          <w:tblCellMar>
            <w:left w:w="108" w:type="dxa"/>
            <w:right w:w="108" w:type="dxa"/>
          </w:tblCellMar>
        </w:tblPrEx>
        <w:trPr>
          <w:trHeight w:val="219"/>
        </w:trPr>
        <w:tc>
          <w:tcPr>
            <w:tcW w:w="1905" w:type="pct"/>
            <w:vMerge/>
            <w:shd w:val="clear" w:color="auto" w:fill="CCDDEF"/>
            <w:vAlign w:val="top"/>
            <w:hideMark/>
          </w:tcPr>
          <w:p w14:paraId="73C20EBE" w14:textId="77777777" w:rsidR="004A39B0" w:rsidRPr="004A39B0" w:rsidRDefault="004A39B0" w:rsidP="00AB3D40">
            <w:pPr>
              <w:pStyle w:val="Tabletext"/>
              <w:rPr>
                <w:sz w:val="20"/>
              </w:rPr>
            </w:pPr>
          </w:p>
        </w:tc>
        <w:tc>
          <w:tcPr>
            <w:tcW w:w="1621" w:type="pct"/>
            <w:shd w:val="clear" w:color="auto" w:fill="CCDDEF"/>
            <w:vAlign w:val="top"/>
            <w:hideMark/>
          </w:tcPr>
          <w:p w14:paraId="76BC84E2" w14:textId="77777777" w:rsidR="004A39B0" w:rsidRPr="004A39B0" w:rsidRDefault="004A39B0" w:rsidP="00AB3D40">
            <w:pPr>
              <w:pStyle w:val="Tabletext"/>
            </w:pPr>
            <w:r w:rsidRPr="004A39B0">
              <w:t>Outside the UK</w:t>
            </w:r>
          </w:p>
        </w:tc>
        <w:tc>
          <w:tcPr>
            <w:tcW w:w="1474" w:type="pct"/>
            <w:shd w:val="clear" w:color="auto" w:fill="CCDDEF"/>
            <w:vAlign w:val="top"/>
            <w:hideMark/>
          </w:tcPr>
          <w:p w14:paraId="3942C7AA" w14:textId="77777777" w:rsidR="004A39B0" w:rsidRPr="004A39B0" w:rsidRDefault="004A39B0" w:rsidP="00AB3D40">
            <w:pPr>
              <w:pStyle w:val="Tabletext"/>
            </w:pPr>
            <w:r w:rsidRPr="004A39B0">
              <w:t>0% displacement</w:t>
            </w:r>
          </w:p>
        </w:tc>
      </w:tr>
      <w:tr w:rsidR="004A39B0" w:rsidRPr="000056E7" w14:paraId="0F95A9E0"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18"/>
        </w:trPr>
        <w:tc>
          <w:tcPr>
            <w:tcW w:w="1905" w:type="pct"/>
            <w:vMerge/>
            <w:vAlign w:val="top"/>
            <w:hideMark/>
          </w:tcPr>
          <w:p w14:paraId="63B56583" w14:textId="77777777" w:rsidR="004A39B0" w:rsidRPr="004A39B0" w:rsidRDefault="004A39B0" w:rsidP="00AB3D40">
            <w:pPr>
              <w:pStyle w:val="Tabletext"/>
              <w:rPr>
                <w:sz w:val="20"/>
              </w:rPr>
            </w:pPr>
          </w:p>
        </w:tc>
        <w:tc>
          <w:tcPr>
            <w:tcW w:w="1621" w:type="pct"/>
            <w:vAlign w:val="top"/>
            <w:hideMark/>
          </w:tcPr>
          <w:p w14:paraId="41043439" w14:textId="77777777" w:rsidR="004A39B0" w:rsidRPr="004A39B0" w:rsidRDefault="004A39B0" w:rsidP="00AB3D40">
            <w:pPr>
              <w:pStyle w:val="Tabletext"/>
            </w:pPr>
            <w:r w:rsidRPr="004A39B0">
              <w:t>Both</w:t>
            </w:r>
          </w:p>
        </w:tc>
        <w:tc>
          <w:tcPr>
            <w:tcW w:w="1474" w:type="pct"/>
            <w:vAlign w:val="top"/>
            <w:hideMark/>
          </w:tcPr>
          <w:p w14:paraId="59543C2F" w14:textId="77777777" w:rsidR="004A39B0" w:rsidRPr="004A39B0" w:rsidRDefault="004A39B0" w:rsidP="00AB3D40">
            <w:pPr>
              <w:pStyle w:val="Tabletext"/>
            </w:pPr>
            <w:r w:rsidRPr="004A39B0">
              <w:t>x% displacement, where x is the share of sales located in the UK</w:t>
            </w:r>
          </w:p>
        </w:tc>
      </w:tr>
    </w:tbl>
    <w:p w14:paraId="25C41C55" w14:textId="4F357489" w:rsidR="00117499" w:rsidRPr="00E27136" w:rsidRDefault="00193EBA" w:rsidP="00E27E7A">
      <w:pPr>
        <w:pStyle w:val="Heading2"/>
      </w:pPr>
      <w:bookmarkStart w:id="141" w:name="_Toc161327601"/>
      <w:r w:rsidRPr="00E27136">
        <w:t>E</w:t>
      </w:r>
      <w:r w:rsidR="00117499" w:rsidRPr="00E27136">
        <w:t>conometric</w:t>
      </w:r>
      <w:r w:rsidR="002534DD" w:rsidRPr="00E27136">
        <w:t>s</w:t>
      </w:r>
      <w:r w:rsidR="00117499" w:rsidRPr="00E27136">
        <w:t xml:space="preserve"> </w:t>
      </w:r>
      <w:bookmarkEnd w:id="139"/>
      <w:r w:rsidR="002534DD" w:rsidRPr="00E27136">
        <w:t>methodology</w:t>
      </w:r>
      <w:bookmarkEnd w:id="141"/>
    </w:p>
    <w:p w14:paraId="3044C2FA" w14:textId="33062BD4" w:rsidR="00211A10" w:rsidRPr="00E27136" w:rsidRDefault="00211A10" w:rsidP="00211A10">
      <w:r w:rsidRPr="00E27136">
        <w:t>This annex describes the econometric approach</w:t>
      </w:r>
      <w:r w:rsidR="00777FC3" w:rsidRPr="00E27136">
        <w:t xml:space="preserve">es used to </w:t>
      </w:r>
      <w:r w:rsidRPr="00E27136">
        <w:t xml:space="preserve">quantify the </w:t>
      </w:r>
      <w:r w:rsidR="00777FC3" w:rsidRPr="00E27136">
        <w:t xml:space="preserve">direct and indirect </w:t>
      </w:r>
      <w:r w:rsidRPr="00E27136">
        <w:t xml:space="preserve">impacts of </w:t>
      </w:r>
      <w:r w:rsidR="00C236F3">
        <w:t>RLS</w:t>
      </w:r>
      <w:r w:rsidR="00BD4B16" w:rsidRPr="00E27136">
        <w:t xml:space="preserve"> 1.0</w:t>
      </w:r>
      <w:r w:rsidRPr="00E27136">
        <w:t xml:space="preserve"> on </w:t>
      </w:r>
      <w:r w:rsidR="00777FC3" w:rsidRPr="00E27136">
        <w:t xml:space="preserve">business </w:t>
      </w:r>
      <w:r w:rsidRPr="00E27136">
        <w:t>turnover and employment. Firstly, it details the econometric methods used to estimate the impacts</w:t>
      </w:r>
      <w:r w:rsidR="00777FC3" w:rsidRPr="00E27136">
        <w:t xml:space="preserve"> in each case</w:t>
      </w:r>
      <w:r w:rsidRPr="00E27136">
        <w:t xml:space="preserve">. Secondly, it discusses the data used </w:t>
      </w:r>
      <w:r w:rsidR="00777FC3" w:rsidRPr="00E27136">
        <w:t>in both analyses</w:t>
      </w:r>
      <w:r w:rsidR="00193EBA" w:rsidRPr="00E27136">
        <w:t>.</w:t>
      </w:r>
      <w:r w:rsidR="00B50818" w:rsidRPr="00E27136">
        <w:t xml:space="preserve"> </w:t>
      </w:r>
      <w:r w:rsidR="00D12004">
        <w:t>The full</w:t>
      </w:r>
      <w:r w:rsidR="00B50818" w:rsidRPr="00E27136">
        <w:t xml:space="preserve"> econometric results are provided thereafter.</w:t>
      </w:r>
    </w:p>
    <w:p w14:paraId="58F8AC50" w14:textId="4D2FEF54" w:rsidR="00211A10" w:rsidRPr="00E27136" w:rsidRDefault="00211A10" w:rsidP="00E27E7A">
      <w:pPr>
        <w:pStyle w:val="Heading3"/>
      </w:pPr>
      <w:bookmarkStart w:id="142" w:name="_Toc89964530"/>
      <w:r w:rsidRPr="00E27136">
        <w:t>Methodological Approach</w:t>
      </w:r>
      <w:bookmarkEnd w:id="142"/>
    </w:p>
    <w:p w14:paraId="56F75B71" w14:textId="77777777" w:rsidR="00211A10" w:rsidRPr="00BD4B16" w:rsidRDefault="00211A10" w:rsidP="00E27E7A">
      <w:pPr>
        <w:pStyle w:val="Heading4"/>
      </w:pPr>
      <w:bookmarkStart w:id="143" w:name="_Toc89964531"/>
      <w:r w:rsidRPr="00BD4B16">
        <w:t>Overview</w:t>
      </w:r>
      <w:bookmarkEnd w:id="143"/>
    </w:p>
    <w:p w14:paraId="6A7BEAD8" w14:textId="470F6B4B" w:rsidR="00211A10" w:rsidRPr="00BD4B16" w:rsidRDefault="00211A10" w:rsidP="00211A10">
      <w:r w:rsidRPr="00BD4B16">
        <w:t xml:space="preserve">The key challenge in identifying the effect of </w:t>
      </w:r>
      <w:r w:rsidR="00BD4B16" w:rsidRPr="00BD4B16">
        <w:t>RLS 1.0</w:t>
      </w:r>
      <w:r w:rsidR="00EF7D34" w:rsidRPr="00BD4B16">
        <w:rPr>
          <w:rFonts w:cstheme="minorHAnsi"/>
          <w:szCs w:val="24"/>
        </w:rPr>
        <w:t xml:space="preserve"> </w:t>
      </w:r>
      <w:r w:rsidRPr="00BD4B16">
        <w:t xml:space="preserve">on </w:t>
      </w:r>
      <w:r w:rsidR="0022055A" w:rsidRPr="00BD4B16">
        <w:t xml:space="preserve">businesses </w:t>
      </w:r>
      <w:r w:rsidRPr="00BD4B16">
        <w:t xml:space="preserve">is that there are likely to be differences between </w:t>
      </w:r>
      <w:r w:rsidR="0022055A" w:rsidRPr="00BD4B16">
        <w:t xml:space="preserve">businesses </w:t>
      </w:r>
      <w:r w:rsidRPr="00BD4B16">
        <w:t xml:space="preserve">that participated in </w:t>
      </w:r>
      <w:r w:rsidR="00BD4B16" w:rsidRPr="00BD4B16">
        <w:t>RLS 1.0</w:t>
      </w:r>
      <w:r w:rsidR="00EF7D34" w:rsidRPr="00BD4B16">
        <w:rPr>
          <w:rFonts w:cstheme="minorHAnsi"/>
          <w:szCs w:val="24"/>
        </w:rPr>
        <w:t xml:space="preserve"> </w:t>
      </w:r>
      <w:r w:rsidRPr="00BD4B16">
        <w:t xml:space="preserve">(the ‘treatment group’) and </w:t>
      </w:r>
      <w:r w:rsidR="0022055A" w:rsidRPr="00BD4B16">
        <w:t xml:space="preserve">businesses </w:t>
      </w:r>
      <w:r w:rsidRPr="00BD4B16">
        <w:t xml:space="preserve">that did not participate in </w:t>
      </w:r>
      <w:r w:rsidR="00BD4B16" w:rsidRPr="00BD4B16">
        <w:t>RLS 1.0</w:t>
      </w:r>
      <w:r w:rsidR="00EF7D34" w:rsidRPr="00BD4B16">
        <w:rPr>
          <w:rFonts w:cstheme="minorHAnsi"/>
          <w:szCs w:val="24"/>
        </w:rPr>
        <w:t xml:space="preserve"> </w:t>
      </w:r>
      <w:r w:rsidRPr="00BD4B16">
        <w:t xml:space="preserve">(the ‘control’ or ‘untreated group’) other than simply whether they participated in </w:t>
      </w:r>
      <w:r w:rsidR="00BD4B16" w:rsidRPr="00BD4B16">
        <w:t>RLS 1.0</w:t>
      </w:r>
      <w:r w:rsidRPr="00BD4B16">
        <w:t xml:space="preserve">. </w:t>
      </w:r>
    </w:p>
    <w:p w14:paraId="2EED56C8" w14:textId="2E88FB21" w:rsidR="00211A10" w:rsidRPr="00BD4B16" w:rsidRDefault="00211A10" w:rsidP="00211A10">
      <w:r w:rsidRPr="00BD4B16">
        <w:t xml:space="preserve">For example, one might expect that </w:t>
      </w:r>
      <w:r w:rsidR="0022055A" w:rsidRPr="00BD4B16">
        <w:t xml:space="preserve">businesses </w:t>
      </w:r>
      <w:r w:rsidRPr="00BD4B16">
        <w:t>with a business model heavily disrupted by the pandemic (</w:t>
      </w:r>
      <w:r w:rsidR="00D12004">
        <w:t xml:space="preserve">see </w:t>
      </w:r>
      <w:r w:rsidR="00D12004">
        <w:fldChar w:fldCharType="begin"/>
      </w:r>
      <w:r w:rsidR="00D12004">
        <w:instrText xml:space="preserve"> REF _Ref151468516 \h </w:instrText>
      </w:r>
      <w:r w:rsidR="00D12004">
        <w:fldChar w:fldCharType="separate"/>
      </w:r>
      <w:r w:rsidR="001525E9" w:rsidRPr="009829B9">
        <w:t xml:space="preserve">Figure </w:t>
      </w:r>
      <w:r w:rsidR="001525E9">
        <w:rPr>
          <w:noProof/>
        </w:rPr>
        <w:t>9</w:t>
      </w:r>
      <w:r w:rsidR="00D12004">
        <w:fldChar w:fldCharType="end"/>
      </w:r>
      <w:r w:rsidRPr="00BD4B16">
        <w:t xml:space="preserve">) would be more likely to access </w:t>
      </w:r>
      <w:r w:rsidR="00BD4B16" w:rsidRPr="00BD4B16">
        <w:t>RLS 1.0</w:t>
      </w:r>
      <w:r w:rsidR="00EF7D34" w:rsidRPr="00BD4B16">
        <w:rPr>
          <w:rFonts w:cstheme="minorHAnsi"/>
          <w:szCs w:val="24"/>
        </w:rPr>
        <w:t xml:space="preserve"> </w:t>
      </w:r>
      <w:r w:rsidRPr="00BD4B16">
        <w:t xml:space="preserve">than </w:t>
      </w:r>
      <w:r w:rsidR="0022055A" w:rsidRPr="00BD4B16">
        <w:t xml:space="preserve">businesses </w:t>
      </w:r>
      <w:r w:rsidRPr="00BD4B16">
        <w:t>whose activities were less affected by the pandemic.</w:t>
      </w:r>
    </w:p>
    <w:p w14:paraId="6227093A" w14:textId="0BF97B7B" w:rsidR="00211A10" w:rsidRPr="00BD4B16" w:rsidRDefault="00211A10" w:rsidP="00211A10">
      <w:r w:rsidRPr="00BD4B16">
        <w:t xml:space="preserve">These differences have the potential to impact </w:t>
      </w:r>
      <w:r w:rsidR="0022055A" w:rsidRPr="00BD4B16">
        <w:t xml:space="preserve">business </w:t>
      </w:r>
      <w:r w:rsidRPr="00BD4B16">
        <w:t xml:space="preserve">performance (measured by turnover and employment), and so a simple comparison between the control and treatment groups of turnover and employment before and after the pandemic could result in incorrectly estimating the effect of </w:t>
      </w:r>
      <w:r w:rsidR="00D12004">
        <w:t>RLS</w:t>
      </w:r>
      <w:r w:rsidR="00BD4B16" w:rsidRPr="00BD4B16">
        <w:t xml:space="preserve"> 1.0</w:t>
      </w:r>
      <w:r w:rsidRPr="00BD4B16">
        <w:t xml:space="preserve">. </w:t>
      </w:r>
    </w:p>
    <w:p w14:paraId="0E99D65B" w14:textId="2DF060C9" w:rsidR="00211A10" w:rsidRPr="000056E7" w:rsidRDefault="20CDC61F" w:rsidP="00211A10">
      <w:pPr>
        <w:rPr>
          <w:highlight w:val="yellow"/>
        </w:rPr>
      </w:pPr>
      <w:r w:rsidRPr="00BD4B16">
        <w:t>To ta</w:t>
      </w:r>
      <w:r w:rsidR="1920A49A" w:rsidRPr="00BD4B16">
        <w:t>c</w:t>
      </w:r>
      <w:r w:rsidRPr="00BD4B16">
        <w:t xml:space="preserve">kle this problem, </w:t>
      </w:r>
      <w:r w:rsidR="1920A49A" w:rsidRPr="00BD4B16">
        <w:t xml:space="preserve">propensity score matching </w:t>
      </w:r>
      <w:r w:rsidRPr="00BD4B16">
        <w:t>(PSM)</w:t>
      </w:r>
      <w:r w:rsidR="00211A10" w:rsidRPr="00BD4B16">
        <w:rPr>
          <w:rStyle w:val="FootnoteReference"/>
        </w:rPr>
        <w:footnoteReference w:id="64"/>
      </w:r>
      <w:r w:rsidRPr="00BD4B16">
        <w:t xml:space="preserve"> is implemented to identify a set of control </w:t>
      </w:r>
      <w:r w:rsidR="1D2B314B" w:rsidRPr="00BD4B16">
        <w:t xml:space="preserve">businesses </w:t>
      </w:r>
      <w:r w:rsidRPr="00BD4B16">
        <w:t xml:space="preserve">that closely resemble the treated </w:t>
      </w:r>
      <w:r w:rsidR="1D2B314B" w:rsidRPr="00BD4B16">
        <w:t xml:space="preserve">businesses </w:t>
      </w:r>
      <w:r w:rsidRPr="00BD4B16">
        <w:t>and minimi</w:t>
      </w:r>
      <w:r w:rsidR="1D2B314B" w:rsidRPr="00BD4B16">
        <w:t>s</w:t>
      </w:r>
      <w:r w:rsidRPr="00BD4B16">
        <w:t xml:space="preserve">e these differences. Then, a comparison is made between this set of control </w:t>
      </w:r>
      <w:r w:rsidR="1D2B314B" w:rsidRPr="00BD4B16">
        <w:t xml:space="preserve">businesses </w:t>
      </w:r>
      <w:r w:rsidRPr="00BD4B16">
        <w:t xml:space="preserve">and the treated </w:t>
      </w:r>
      <w:r w:rsidR="1D2B314B" w:rsidRPr="00BD4B16">
        <w:t xml:space="preserve">businesses </w:t>
      </w:r>
      <w:r w:rsidRPr="00BD4B16">
        <w:t>using the difference-in-difference</w:t>
      </w:r>
      <w:r w:rsidR="1718FE72" w:rsidRPr="00BD4B16">
        <w:t>s</w:t>
      </w:r>
      <w:r w:rsidR="00211A10" w:rsidRPr="00BD4B16">
        <w:rPr>
          <w:rStyle w:val="FootnoteReference"/>
        </w:rPr>
        <w:footnoteReference w:id="65"/>
      </w:r>
      <w:r w:rsidRPr="00BD4B16">
        <w:t xml:space="preserve"> method. These models were estimated using STATA. Further detail on these two parts of the methodology is presented in the text that follows. </w:t>
      </w:r>
    </w:p>
    <w:p w14:paraId="3EC12432" w14:textId="77777777" w:rsidR="00211A10" w:rsidRPr="00BD4B16" w:rsidRDefault="00211A10" w:rsidP="00E27E7A">
      <w:pPr>
        <w:pStyle w:val="Heading4"/>
      </w:pPr>
      <w:bookmarkStart w:id="144" w:name="_Toc89964532"/>
      <w:r w:rsidRPr="00BD4B16">
        <w:t>Propensity Score Matching (PSM)</w:t>
      </w:r>
      <w:bookmarkEnd w:id="144"/>
    </w:p>
    <w:p w14:paraId="1296626A" w14:textId="5B5427C4" w:rsidR="00211A10" w:rsidRPr="00BD4B16" w:rsidRDefault="00211A10" w:rsidP="00211A10">
      <w:r w:rsidRPr="00BD4B16">
        <w:t xml:space="preserve">Propensity </w:t>
      </w:r>
      <w:r w:rsidR="00A038D9" w:rsidRPr="00BD4B16">
        <w:t>s</w:t>
      </w:r>
      <w:r w:rsidRPr="00BD4B16">
        <w:t xml:space="preserve">core </w:t>
      </w:r>
      <w:r w:rsidR="00A038D9" w:rsidRPr="00BD4B16">
        <w:t>m</w:t>
      </w:r>
      <w:r w:rsidRPr="00BD4B16">
        <w:t xml:space="preserve">atching involves matching the treatment </w:t>
      </w:r>
      <w:r w:rsidR="0022055A" w:rsidRPr="00BD4B16">
        <w:t xml:space="preserve">businesses </w:t>
      </w:r>
      <w:r w:rsidRPr="00BD4B16">
        <w:t xml:space="preserve">to similar </w:t>
      </w:r>
      <w:r w:rsidR="0022055A" w:rsidRPr="00BD4B16">
        <w:t xml:space="preserve">businesses </w:t>
      </w:r>
      <w:r w:rsidRPr="00BD4B16">
        <w:t xml:space="preserve">in the control group on the basis of a ‘propensity score’. The propensity score is the probability of a </w:t>
      </w:r>
      <w:r w:rsidR="0022055A" w:rsidRPr="00BD4B16">
        <w:t xml:space="preserve">business </w:t>
      </w:r>
      <w:r w:rsidRPr="00BD4B16">
        <w:t xml:space="preserve">being in the treatment group, estimated based on its characteristics. The propensity score is calculated using a logit model. The logit model is a standard economic model used when the outcome of interest is binary (whether a </w:t>
      </w:r>
      <w:r w:rsidR="0022055A" w:rsidRPr="00BD4B16">
        <w:t xml:space="preserve">business </w:t>
      </w:r>
      <w:r w:rsidRPr="00BD4B16">
        <w:t xml:space="preserve">received a loan under </w:t>
      </w:r>
      <w:r w:rsidR="00C236F3">
        <w:t>RLS</w:t>
      </w:r>
      <w:r w:rsidR="00BD4B16" w:rsidRPr="00BD4B16">
        <w:t xml:space="preserve"> 1.0</w:t>
      </w:r>
      <w:r w:rsidR="00EF7D34" w:rsidRPr="00BD4B16">
        <w:rPr>
          <w:rFonts w:cstheme="minorHAnsi"/>
          <w:szCs w:val="24"/>
        </w:rPr>
        <w:t xml:space="preserve"> </w:t>
      </w:r>
      <w:r w:rsidRPr="00BD4B16">
        <w:t xml:space="preserve">or not). This model is represented by the following equation for </w:t>
      </w:r>
      <w:r w:rsidR="0022055A" w:rsidRPr="00BD4B16">
        <w:t>business</w:t>
      </w:r>
      <w:r w:rsidRPr="00BD4B16">
        <w:t xml:space="preserve"> </w:t>
      </w:r>
      <w:r w:rsidRPr="00BD4B16">
        <w:rPr>
          <w:i/>
          <w:iCs/>
        </w:rPr>
        <w:t>i</w:t>
      </w:r>
      <w:r w:rsidRPr="00BD4B16">
        <w:t>:</w:t>
      </w:r>
    </w:p>
    <w:p w14:paraId="2E4A4497" w14:textId="77777777" w:rsidR="00211A10" w:rsidRPr="00BD4B16" w:rsidRDefault="00885E1E" w:rsidP="00211A10">
      <w:pPr>
        <w:rPr>
          <w:rFonts w:eastAsiaTheme="minorEastAsia"/>
        </w:rPr>
      </w:pPr>
      <m:oMathPara>
        <m:oMathParaPr>
          <m:jc m:val="left"/>
        </m:oMathParaPr>
        <m:oMath>
          <m:sSub>
            <m:sSubPr>
              <m:ctrlPr>
                <w:rPr>
                  <w:rFonts w:ascii="Cambria Math" w:hAnsi="Cambria Math"/>
                  <w:i/>
                </w:rPr>
              </m:ctrlPr>
            </m:sSubPr>
            <m:e>
              <m:r>
                <m:rPr>
                  <m:sty m:val="p"/>
                </m:rPr>
                <w:rPr>
                  <w:rFonts w:ascii="Cambria Math" w:hAnsi="Cambria Math"/>
                </w:rPr>
                <m:t>Pr⁡</m:t>
              </m:r>
              <m:r>
                <w:rPr>
                  <w:rFonts w:ascii="Cambria Math" w:hAnsi="Cambria Math"/>
                </w:rPr>
                <m:t>(</m:t>
              </m:r>
              <m:r>
                <w:rPr>
                  <w:rFonts w:ascii="Cambria Math" w:hAnsi="Cambria Math"/>
                </w:rPr>
                <m:t>T</m:t>
              </m:r>
            </m:e>
            <m:sub>
              <m:r>
                <w:rPr>
                  <w:rFonts w:ascii="Cambria Math" w:hAnsi="Cambria Math"/>
                </w:rPr>
                <m:t>i</m:t>
              </m:r>
            </m:sub>
          </m:sSub>
          <m:r>
            <w:rPr>
              <w:rFonts w:ascii="Cambria Math" w:hAnsi="Cambria Math"/>
            </w:rPr>
            <m:t>=1)=</m:t>
          </m:r>
          <m:r>
            <w:rPr>
              <w:rFonts w:ascii="Cambria Math" w:hAnsi="Cambria Math"/>
            </w:rPr>
            <m:t>F</m:t>
          </m:r>
          <m:r>
            <w:rPr>
              <w:rFonts w:ascii="Cambria Math" w:hAnsi="Cambria Math"/>
            </w:rPr>
            <m:t>(</m:t>
          </m:r>
          <m:r>
            <m:rPr>
              <m:sty m:val="bi"/>
            </m:rPr>
            <w:rPr>
              <w:rFonts w:ascii="Cambria Math" w:hAnsi="Cambria Math"/>
            </w:rPr>
            <m:t>β</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i</m:t>
              </m:r>
            </m:sub>
          </m:sSub>
          <m:r>
            <w:rPr>
              <w:rFonts w:ascii="Cambria Math" w:hAnsi="Cambria Math"/>
            </w:rPr>
            <m:t>)</m:t>
          </m:r>
        </m:oMath>
      </m:oMathPara>
    </w:p>
    <w:p w14:paraId="723624A7" w14:textId="462EE7EF" w:rsidR="00211A10" w:rsidRPr="00BD4B16" w:rsidRDefault="00885E1E" w:rsidP="00211A10">
      <w:pPr>
        <w:pStyle w:val="ListBullet"/>
        <w:spacing w:after="240"/>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211A10" w:rsidRPr="00BD4B16">
        <w:rPr>
          <w:rFonts w:eastAsiaTheme="minorEastAsia"/>
        </w:rPr>
        <w:t xml:space="preserve"> is a dummy variable that takes the value 1 i</w:t>
      </w:r>
      <w:r w:rsidR="009E6028" w:rsidRPr="00BD4B16">
        <w:rPr>
          <w:rFonts w:eastAsiaTheme="minorEastAsia"/>
        </w:rPr>
        <w:t>f</w:t>
      </w:r>
      <w:r w:rsidR="00211A10" w:rsidRPr="00BD4B16">
        <w:rPr>
          <w:rFonts w:eastAsiaTheme="minorEastAsia"/>
        </w:rPr>
        <w:t xml:space="preserve"> the </w:t>
      </w:r>
      <w:r w:rsidR="0022055A" w:rsidRPr="00BD4B16">
        <w:t xml:space="preserve">business </w:t>
      </w:r>
      <w:r w:rsidR="00211A10" w:rsidRPr="00BD4B16">
        <w:rPr>
          <w:rFonts w:eastAsiaTheme="minorEastAsia"/>
        </w:rPr>
        <w:t xml:space="preserve">is in the treatment group and 0 otherwise. </w:t>
      </w:r>
    </w:p>
    <w:p w14:paraId="222905AB" w14:textId="77777777" w:rsidR="00211A10" w:rsidRPr="00BD4B16" w:rsidRDefault="00211A10" w:rsidP="00211A10">
      <w:pPr>
        <w:pStyle w:val="ListBullet"/>
        <w:spacing w:after="240"/>
      </w:pPr>
      <m:oMath>
        <m:r>
          <w:rPr>
            <w:rFonts w:ascii="Cambria Math" w:hAnsi="Cambria Math"/>
          </w:rPr>
          <m:t>F</m:t>
        </m:r>
      </m:oMath>
      <w:r w:rsidRPr="00BD4B16">
        <w:rPr>
          <w:rFonts w:eastAsiaTheme="minorEastAsia"/>
        </w:rPr>
        <w:t xml:space="preserve"> is the cumulative standard logistic distribution, which is defined such that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-x</m:t>
                </m:r>
              </m:sup>
            </m:sSup>
          </m:den>
        </m:f>
      </m:oMath>
      <w:r w:rsidRPr="00BD4B16">
        <w:rPr>
          <w:rFonts w:eastAsiaTheme="minorEastAsia"/>
        </w:rPr>
        <w:t>.</w:t>
      </w:r>
    </w:p>
    <w:p w14:paraId="1ACB3349" w14:textId="7F34E524" w:rsidR="00211A10" w:rsidRPr="00BD4B16" w:rsidRDefault="00885E1E" w:rsidP="00211A10">
      <w:pPr>
        <w:pStyle w:val="ListBullet"/>
        <w:spacing w:after="240"/>
      </w:pPr>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i</m:t>
            </m:r>
          </m:sub>
        </m:sSub>
      </m:oMath>
      <w:r w:rsidR="042C46B9" w:rsidRPr="4BE82EAB">
        <w:rPr>
          <w:rFonts w:eastAsiaTheme="minorEastAsia"/>
        </w:rPr>
        <w:t xml:space="preserve"> is a vector of characteristics of the </w:t>
      </w:r>
      <w:bookmarkStart w:id="145" w:name="_Int_hBU02fos"/>
      <w:r w:rsidR="0385DE59" w:rsidRPr="00BD4B16">
        <w:t>business</w:t>
      </w:r>
      <w:r w:rsidR="042C46B9" w:rsidRPr="4BE82EAB">
        <w:rPr>
          <w:rFonts w:eastAsiaTheme="minorEastAsia"/>
        </w:rPr>
        <w:t>, and</w:t>
      </w:r>
      <w:bookmarkEnd w:id="145"/>
      <w:r w:rsidR="042C46B9" w:rsidRPr="4BE82EAB">
        <w:rPr>
          <w:rFonts w:eastAsiaTheme="minorEastAsia"/>
        </w:rPr>
        <w:t xml:space="preserve"> </w:t>
      </w:r>
      <m:oMath>
        <m:r>
          <m:rPr>
            <m:sty m:val="bi"/>
          </m:rPr>
          <w:rPr>
            <w:rFonts w:ascii="Cambria Math" w:hAnsi="Cambria Math"/>
          </w:rPr>
          <m:t>β</m:t>
        </m:r>
      </m:oMath>
      <w:r w:rsidR="042C46B9" w:rsidRPr="4BE82EAB">
        <w:rPr>
          <w:rFonts w:eastAsiaTheme="minorEastAsia"/>
          <w:b/>
          <w:bCs/>
        </w:rPr>
        <w:t xml:space="preserve"> </w:t>
      </w:r>
      <w:r w:rsidR="042C46B9" w:rsidRPr="4BE82EAB">
        <w:rPr>
          <w:rFonts w:eastAsiaTheme="minorEastAsia"/>
        </w:rPr>
        <w:t xml:space="preserve">are the associated coefficients for these characteristics. These characteristics must be unaffected by the </w:t>
      </w:r>
      <w:r w:rsidR="0385DE59" w:rsidRPr="00BD4B16">
        <w:t>business</w:t>
      </w:r>
      <w:r w:rsidR="042C46B9" w:rsidRPr="4BE82EAB">
        <w:rPr>
          <w:rFonts w:eastAsiaTheme="minorEastAsia"/>
        </w:rPr>
        <w:t xml:space="preserve">’ decision of whether to participate in </w:t>
      </w:r>
      <w:r w:rsidR="6D2FDCEE" w:rsidRPr="4BE82EAB">
        <w:rPr>
          <w:rFonts w:eastAsiaTheme="minorEastAsia"/>
        </w:rPr>
        <w:t>RLS 1.0</w:t>
      </w:r>
      <w:r w:rsidR="042C46B9" w:rsidRPr="4BE82EAB">
        <w:rPr>
          <w:rFonts w:eastAsiaTheme="minorEastAsia"/>
        </w:rPr>
        <w:t xml:space="preserve">. Details on the characteristics included in the Propensity Score Matching can be found in the discussion of the data. </w:t>
      </w:r>
    </w:p>
    <w:p w14:paraId="007B39E9" w14:textId="703851AB" w:rsidR="00211A10" w:rsidRPr="00BD4B16" w:rsidRDefault="00211A10" w:rsidP="00211A10">
      <w:r w:rsidRPr="00BD4B16">
        <w:t xml:space="preserve">Once the propensity scores have been calculated, each loan </w:t>
      </w:r>
      <w:r w:rsidR="0022055A" w:rsidRPr="00BD4B16">
        <w:t>business</w:t>
      </w:r>
      <w:r w:rsidRPr="00BD4B16">
        <w:t xml:space="preserve"> is matched to the control </w:t>
      </w:r>
      <w:r w:rsidR="0022055A" w:rsidRPr="00BD4B16">
        <w:t xml:space="preserve">business </w:t>
      </w:r>
      <w:r w:rsidRPr="00BD4B16">
        <w:t>with the closest propensity score (i.e., the ‘nearest neighbour’).</w:t>
      </w:r>
    </w:p>
    <w:p w14:paraId="36B19D99" w14:textId="3AC797F9" w:rsidR="00D12004" w:rsidRDefault="00211A10" w:rsidP="00211A10">
      <w:r w:rsidRPr="00BD4B16">
        <w:t xml:space="preserve">The matching algorithm also specifies a maximum allowable discrepancy in the propensity score between the treatment </w:t>
      </w:r>
      <w:r w:rsidR="00006E87" w:rsidRPr="00BD4B16">
        <w:t xml:space="preserve">business </w:t>
      </w:r>
      <w:r w:rsidRPr="00BD4B16">
        <w:t>and its matched control (referred to as a cal</w:t>
      </w:r>
      <w:r w:rsidR="00C211D8">
        <w:t>l</w:t>
      </w:r>
      <w:r w:rsidRPr="00BD4B16">
        <w:t xml:space="preserve">iper). This ensures a minimum quality of match between the treatment and control groups but leads to the exclusion of loan </w:t>
      </w:r>
      <w:r w:rsidR="00006E87" w:rsidRPr="00BD4B16">
        <w:t xml:space="preserve">businesses </w:t>
      </w:r>
      <w:r w:rsidRPr="00BD4B16">
        <w:t xml:space="preserve">that are not similar enough in propensity score to any control </w:t>
      </w:r>
      <w:r w:rsidR="00006E87" w:rsidRPr="00BD4B16">
        <w:t>businesses</w:t>
      </w:r>
      <w:r w:rsidRPr="00BD4B16">
        <w:t>. The cal</w:t>
      </w:r>
      <w:r w:rsidR="00C211D8">
        <w:t>l</w:t>
      </w:r>
      <w:r w:rsidRPr="00BD4B16">
        <w:t xml:space="preserve">iper is equal to one fifth of a standard deviation of the propensity scores. </w:t>
      </w:r>
      <w:r w:rsidR="00D12004">
        <w:t xml:space="preserve">A minimum match quality is also ensured by the fact that the algorithm will only match borrowers and non-borrowers with similar growth rates. </w:t>
      </w:r>
    </w:p>
    <w:p w14:paraId="7347F774" w14:textId="4E0BD32F" w:rsidR="008329D5" w:rsidRPr="00BD4B16" w:rsidRDefault="20CDC61F" w:rsidP="00211A10">
      <w:r w:rsidRPr="00BD4B16">
        <w:t xml:space="preserve">The algorithm also allows for replacement, i.e., one control </w:t>
      </w:r>
      <w:r w:rsidR="53C9EF00" w:rsidRPr="00BD4B16">
        <w:t xml:space="preserve">business </w:t>
      </w:r>
      <w:r w:rsidRPr="00BD4B16">
        <w:t xml:space="preserve">can be matched to multiple different </w:t>
      </w:r>
      <w:r w:rsidR="53C9EF00" w:rsidRPr="00BD4B16">
        <w:t xml:space="preserve">businesses </w:t>
      </w:r>
      <w:r w:rsidRPr="00BD4B16">
        <w:t xml:space="preserve">in the treatment group. Additionally, a further restriction is applied so that treatment </w:t>
      </w:r>
      <w:r w:rsidR="53C9EF00" w:rsidRPr="00BD4B16">
        <w:t xml:space="preserve">businesses </w:t>
      </w:r>
      <w:r w:rsidRPr="00BD4B16">
        <w:t xml:space="preserve">with a propensity score outside the range of propensity scores observed among control </w:t>
      </w:r>
      <w:r w:rsidR="53C9EF00" w:rsidRPr="00BD4B16">
        <w:t xml:space="preserve">businesses </w:t>
      </w:r>
      <w:r w:rsidRPr="00BD4B16">
        <w:t xml:space="preserve">are excluded. For example, if a </w:t>
      </w:r>
      <w:r w:rsidR="53C9EF00" w:rsidRPr="00BD4B16">
        <w:t xml:space="preserve">business </w:t>
      </w:r>
      <w:r w:rsidRPr="00BD4B16">
        <w:t xml:space="preserve">in the treatment group has a propensity score above </w:t>
      </w:r>
      <w:r w:rsidR="7074AC01" w:rsidRPr="00BD4B16">
        <w:t>the largest</w:t>
      </w:r>
      <w:r w:rsidRPr="00BD4B16">
        <w:t xml:space="preserve"> propensity score of the control </w:t>
      </w:r>
      <w:r w:rsidR="53C9EF00" w:rsidRPr="00BD4B16">
        <w:t>businesses</w:t>
      </w:r>
      <w:r w:rsidRPr="00BD4B16">
        <w:t xml:space="preserve">, then it will be excluded. This is important as for these loan </w:t>
      </w:r>
      <w:r w:rsidR="53C9EF00" w:rsidRPr="00BD4B16">
        <w:t>businesses</w:t>
      </w:r>
      <w:r w:rsidRPr="00BD4B16">
        <w:t xml:space="preserve">, there is no suitably similar control </w:t>
      </w:r>
      <w:r w:rsidR="53C9EF00" w:rsidRPr="00BD4B16">
        <w:t xml:space="preserve">business </w:t>
      </w:r>
      <w:r w:rsidRPr="00BD4B16">
        <w:t>with which to match it.</w:t>
      </w:r>
      <w:r w:rsidR="008329D5" w:rsidRPr="00BD4B16">
        <w:rPr>
          <w:rStyle w:val="FootnoteReference"/>
        </w:rPr>
        <w:footnoteReference w:id="66"/>
      </w:r>
      <w:r w:rsidR="40427574">
        <w:t xml:space="preserve">    </w:t>
      </w:r>
    </w:p>
    <w:p w14:paraId="090344A3" w14:textId="6816362C" w:rsidR="00BA7EDC" w:rsidRPr="00BD4B16" w:rsidRDefault="00211A10" w:rsidP="00211A10">
      <w:r w:rsidRPr="00BD4B16">
        <w:t xml:space="preserve">The underlying </w:t>
      </w:r>
      <w:r w:rsidR="006B25D5" w:rsidRPr="00BD4B16">
        <w:t xml:space="preserve">goal </w:t>
      </w:r>
      <w:r w:rsidRPr="00BD4B16">
        <w:t xml:space="preserve">of PSM is </w:t>
      </w:r>
      <w:r w:rsidR="006B25D5" w:rsidRPr="00BD4B16">
        <w:t xml:space="preserve">to identify a subset of the treatment group and some matched controls such </w:t>
      </w:r>
      <w:r w:rsidRPr="00BD4B16">
        <w:t xml:space="preserve">that the only major difference between the </w:t>
      </w:r>
      <w:r w:rsidR="006B25D5" w:rsidRPr="00BD4B16">
        <w:t>two is</w:t>
      </w:r>
      <w:r w:rsidRPr="00BD4B16">
        <w:t xml:space="preserve"> that </w:t>
      </w:r>
      <w:r w:rsidR="006B25D5" w:rsidRPr="00BD4B16">
        <w:t xml:space="preserve">one group received the </w:t>
      </w:r>
      <w:r w:rsidR="00A038D9" w:rsidRPr="00BD4B16">
        <w:t>treatment,</w:t>
      </w:r>
      <w:r w:rsidR="006B25D5" w:rsidRPr="00BD4B16">
        <w:t xml:space="preserve"> and the other did not. </w:t>
      </w:r>
      <w:r w:rsidR="00F36D5D" w:rsidRPr="00BD4B16">
        <w:t xml:space="preserve">The PSM </w:t>
      </w:r>
      <w:r w:rsidR="008E7EB5" w:rsidRPr="00BD4B16">
        <w:t xml:space="preserve">substantially </w:t>
      </w:r>
      <w:r w:rsidR="00F36D5D" w:rsidRPr="00BD4B16">
        <w:t>reduces t</w:t>
      </w:r>
      <w:r w:rsidR="00771D6D" w:rsidRPr="00BD4B16">
        <w:t xml:space="preserve">he </w:t>
      </w:r>
      <w:r w:rsidR="00F36D5D" w:rsidRPr="00BD4B16">
        <w:t>differences between the loan and control samples</w:t>
      </w:r>
      <w:r w:rsidR="008E7EB5" w:rsidRPr="00BD4B16">
        <w:t>. This is</w:t>
      </w:r>
      <w:r w:rsidR="00F36D5D" w:rsidRPr="00BD4B16">
        <w:t xml:space="preserve"> by approximately </w:t>
      </w:r>
      <w:r w:rsidR="00BD4B16" w:rsidRPr="00BD4B16">
        <w:t xml:space="preserve">three fifths </w:t>
      </w:r>
      <w:r w:rsidR="00F36D5D" w:rsidRPr="00BD4B16">
        <w:t xml:space="preserve">for </w:t>
      </w:r>
      <w:r w:rsidR="00BD4B16" w:rsidRPr="00BD4B16">
        <w:t xml:space="preserve">both </w:t>
      </w:r>
      <w:r w:rsidR="00F36D5D" w:rsidRPr="00BD4B16">
        <w:t xml:space="preserve">the </w:t>
      </w:r>
      <w:r w:rsidR="00BD4B16" w:rsidRPr="00BD4B16">
        <w:t>turnover</w:t>
      </w:r>
      <w:r w:rsidR="00F36D5D" w:rsidRPr="00BD4B16">
        <w:t xml:space="preserve"> </w:t>
      </w:r>
      <w:r w:rsidR="00BD4B16" w:rsidRPr="00BD4B16">
        <w:t>and employment models</w:t>
      </w:r>
      <w:r w:rsidR="00F36D5D" w:rsidRPr="00BD4B16">
        <w:t xml:space="preserve">. </w:t>
      </w:r>
      <w:r w:rsidR="008E7EB5" w:rsidRPr="00BD4B16">
        <w:t xml:space="preserve">The tables that follow show </w:t>
      </w:r>
      <w:r w:rsidR="00A27D2D" w:rsidRPr="00BD4B16">
        <w:t xml:space="preserve">the differences in prevalence of the characteristics included in the PSM for the </w:t>
      </w:r>
      <w:r w:rsidR="0000056C" w:rsidRPr="00BD4B16">
        <w:t xml:space="preserve">treatment </w:t>
      </w:r>
      <w:r w:rsidR="00A27D2D" w:rsidRPr="00BD4B16">
        <w:t>and control groups, before and after the PSM.</w:t>
      </w:r>
    </w:p>
    <w:p w14:paraId="5FA7DF30" w14:textId="1C4E2914" w:rsidR="00280889" w:rsidRPr="00BD4B16" w:rsidRDefault="00280889" w:rsidP="000138D1">
      <w:pPr>
        <w:pStyle w:val="Heading5"/>
      </w:pPr>
      <w:bookmarkStart w:id="146" w:name="_Ref92818900"/>
      <w:bookmarkStart w:id="147" w:name="_Ref152161316"/>
      <w:r w:rsidRPr="00BD4B16">
        <w:t xml:space="preserve">Table </w:t>
      </w:r>
      <w:r>
        <w:fldChar w:fldCharType="begin"/>
      </w:r>
      <w:r>
        <w:instrText xml:space="preserve"> SEQ Table \* ARABIC </w:instrText>
      </w:r>
      <w:r>
        <w:fldChar w:fldCharType="separate"/>
      </w:r>
      <w:r w:rsidR="001525E9">
        <w:rPr>
          <w:noProof/>
        </w:rPr>
        <w:t>28</w:t>
      </w:r>
      <w:r>
        <w:rPr>
          <w:noProof/>
        </w:rPr>
        <w:fldChar w:fldCharType="end"/>
      </w:r>
      <w:bookmarkEnd w:id="146"/>
      <w:r w:rsidRPr="00BD4B16">
        <w:t xml:space="preserve">: Balance table </w:t>
      </w:r>
      <w:r w:rsidR="00BD4B16" w:rsidRPr="00BD4B16">
        <w:t>–</w:t>
      </w:r>
      <w:r w:rsidRPr="00BD4B16">
        <w:t xml:space="preserve"> </w:t>
      </w:r>
      <w:r w:rsidR="00BD4B16">
        <w:t>t</w:t>
      </w:r>
      <w:r w:rsidR="00BD4B16" w:rsidRPr="00BD4B16">
        <w:t>urnover sample</w:t>
      </w:r>
      <w:bookmarkEnd w:id="147"/>
    </w:p>
    <w:tbl>
      <w:tblPr>
        <w:tblStyle w:val="TableGrid"/>
        <w:tblW w:w="5000" w:type="pct"/>
        <w:tblLook w:val="04A0" w:firstRow="1" w:lastRow="0" w:firstColumn="1" w:lastColumn="0" w:noHBand="0" w:noVBand="1"/>
      </w:tblPr>
      <w:tblGrid>
        <w:gridCol w:w="2127"/>
        <w:gridCol w:w="2405"/>
        <w:gridCol w:w="2811"/>
        <w:gridCol w:w="2811"/>
      </w:tblGrid>
      <w:tr w:rsidR="001D5814" w:rsidRPr="00BD4B16" w14:paraId="2B8217A4" w14:textId="77777777" w:rsidTr="00BD4B16">
        <w:trPr>
          <w:cnfStyle w:val="100000000000" w:firstRow="1" w:lastRow="0" w:firstColumn="0" w:lastColumn="0" w:oddVBand="0" w:evenVBand="0" w:oddHBand="0" w:evenHBand="0" w:firstRowFirstColumn="0" w:firstRowLastColumn="0" w:lastRowFirstColumn="0" w:lastRowLastColumn="0"/>
          <w:tblHeader/>
        </w:trPr>
        <w:tc>
          <w:tcPr>
            <w:tcW w:w="1047" w:type="pct"/>
            <w:vAlign w:val="center"/>
            <w:hideMark/>
          </w:tcPr>
          <w:p w14:paraId="078F4375" w14:textId="24148919" w:rsidR="00BB0E8F" w:rsidRPr="00BD4B16" w:rsidRDefault="00BB0E8F" w:rsidP="001D5814">
            <w:pPr>
              <w:pStyle w:val="Tabletext"/>
              <w:rPr>
                <w:color w:val="FFFFFF" w:themeColor="background1"/>
                <w:sz w:val="21"/>
                <w:szCs w:val="21"/>
                <w:lang w:eastAsia="en-GB"/>
              </w:rPr>
            </w:pPr>
            <w:r w:rsidRPr="00BD4B16">
              <w:rPr>
                <w:color w:val="FFFFFF" w:themeColor="background1"/>
                <w:lang w:eastAsia="en-GB"/>
              </w:rPr>
              <w:t>Characteristic</w:t>
            </w:r>
          </w:p>
        </w:tc>
        <w:tc>
          <w:tcPr>
            <w:tcW w:w="1184" w:type="pct"/>
            <w:vAlign w:val="center"/>
          </w:tcPr>
          <w:p w14:paraId="1E1B8B0A" w14:textId="74866884" w:rsidR="00BB0E8F" w:rsidRPr="00BD4B16" w:rsidRDefault="00BB0E8F" w:rsidP="00373904">
            <w:pPr>
              <w:pStyle w:val="Tabletext"/>
              <w:rPr>
                <w:rFonts w:asciiTheme="minorHAnsi" w:hAnsiTheme="minorHAnsi" w:cstheme="minorHAnsi"/>
                <w:color w:val="FFFFFF" w:themeColor="background1"/>
                <w:szCs w:val="24"/>
                <w:lang w:eastAsia="en-GB"/>
              </w:rPr>
            </w:pPr>
            <w:r w:rsidRPr="00BD4B16">
              <w:rPr>
                <w:rFonts w:asciiTheme="minorHAnsi" w:hAnsiTheme="minorHAnsi" w:cstheme="minorHAnsi"/>
                <w:color w:val="FFFFFF" w:themeColor="background1"/>
                <w:szCs w:val="24"/>
                <w:lang w:eastAsia="en-GB"/>
              </w:rPr>
              <w:t>Feature</w:t>
            </w:r>
          </w:p>
        </w:tc>
        <w:tc>
          <w:tcPr>
            <w:tcW w:w="1384" w:type="pct"/>
            <w:vAlign w:val="center"/>
            <w:hideMark/>
          </w:tcPr>
          <w:p w14:paraId="728B5E05" w14:textId="181BFAE0" w:rsidR="001D5814" w:rsidRPr="00BD4B16" w:rsidRDefault="00BB0E8F" w:rsidP="001D5814">
            <w:pPr>
              <w:pStyle w:val="Tabletext"/>
              <w:jc w:val="right"/>
              <w:rPr>
                <w:rFonts w:cstheme="minorHAnsi"/>
                <w:b w:val="0"/>
                <w:color w:val="FFFFFF" w:themeColor="background1"/>
                <w:szCs w:val="24"/>
                <w:lang w:eastAsia="en-GB"/>
              </w:rPr>
            </w:pPr>
            <w:r w:rsidRPr="00BD4B16">
              <w:rPr>
                <w:rFonts w:asciiTheme="minorHAnsi" w:hAnsiTheme="minorHAnsi" w:cstheme="minorHAnsi"/>
                <w:color w:val="FFFFFF" w:themeColor="background1"/>
                <w:szCs w:val="24"/>
                <w:lang w:eastAsia="en-GB"/>
              </w:rPr>
              <w:t>Difference in prevalence</w:t>
            </w:r>
            <w:r w:rsidR="00AC0613" w:rsidRPr="00BD4B16">
              <w:rPr>
                <w:rFonts w:asciiTheme="minorHAnsi" w:hAnsiTheme="minorHAnsi" w:cstheme="minorHAnsi"/>
                <w:color w:val="FFFFFF" w:themeColor="background1"/>
                <w:szCs w:val="24"/>
                <w:lang w:eastAsia="en-GB"/>
              </w:rPr>
              <w:t xml:space="preserve"> between </w:t>
            </w:r>
            <w:r w:rsidR="0000056C" w:rsidRPr="00BD4B16">
              <w:rPr>
                <w:rFonts w:asciiTheme="minorHAnsi" w:hAnsiTheme="minorHAnsi" w:cstheme="minorHAnsi"/>
                <w:color w:val="FFFFFF" w:themeColor="background1"/>
                <w:szCs w:val="24"/>
                <w:lang w:eastAsia="en-GB"/>
              </w:rPr>
              <w:t xml:space="preserve">treatment </w:t>
            </w:r>
            <w:r w:rsidR="00AC0613" w:rsidRPr="00BD4B16">
              <w:rPr>
                <w:rFonts w:asciiTheme="minorHAnsi" w:hAnsiTheme="minorHAnsi" w:cstheme="minorHAnsi"/>
                <w:color w:val="FFFFFF" w:themeColor="background1"/>
                <w:szCs w:val="24"/>
                <w:lang w:eastAsia="en-GB"/>
              </w:rPr>
              <w:t>and control groups</w:t>
            </w:r>
          </w:p>
          <w:p w14:paraId="21B1C691" w14:textId="6889338C" w:rsidR="00BB0E8F" w:rsidRPr="00BD4B16" w:rsidRDefault="00BB0E8F" w:rsidP="00373904">
            <w:pPr>
              <w:pStyle w:val="Tabletext"/>
              <w:spacing w:before="0"/>
              <w:jc w:val="right"/>
              <w:rPr>
                <w:rFonts w:asciiTheme="minorHAnsi" w:hAnsiTheme="minorHAnsi" w:cstheme="minorHAnsi"/>
                <w:color w:val="FFFFFF" w:themeColor="background1"/>
                <w:szCs w:val="24"/>
                <w:lang w:eastAsia="en-GB"/>
              </w:rPr>
            </w:pPr>
            <w:r w:rsidRPr="00BD4B16">
              <w:rPr>
                <w:rFonts w:asciiTheme="minorHAnsi" w:hAnsiTheme="minorHAnsi" w:cstheme="minorHAnsi"/>
                <w:color w:val="FFFFFF" w:themeColor="background1"/>
                <w:szCs w:val="24"/>
                <w:lang w:eastAsia="en-GB"/>
              </w:rPr>
              <w:t xml:space="preserve"> (Full Sample)</w:t>
            </w:r>
          </w:p>
        </w:tc>
        <w:tc>
          <w:tcPr>
            <w:tcW w:w="1384" w:type="pct"/>
            <w:vAlign w:val="center"/>
            <w:hideMark/>
          </w:tcPr>
          <w:p w14:paraId="75A86A63" w14:textId="04742371" w:rsidR="001D5814" w:rsidRPr="00BD4B16" w:rsidRDefault="00BB0E8F" w:rsidP="001D5814">
            <w:pPr>
              <w:pStyle w:val="Tabletext"/>
              <w:jc w:val="right"/>
              <w:rPr>
                <w:rFonts w:cstheme="minorHAnsi"/>
                <w:b w:val="0"/>
                <w:color w:val="FFFFFF" w:themeColor="background1"/>
                <w:szCs w:val="24"/>
                <w:lang w:eastAsia="en-GB"/>
              </w:rPr>
            </w:pPr>
            <w:r w:rsidRPr="00BD4B16">
              <w:rPr>
                <w:rFonts w:asciiTheme="minorHAnsi" w:hAnsiTheme="minorHAnsi" w:cstheme="minorHAnsi"/>
                <w:color w:val="FFFFFF" w:themeColor="background1"/>
                <w:szCs w:val="24"/>
                <w:lang w:eastAsia="en-GB"/>
              </w:rPr>
              <w:t>Difference in prevalence</w:t>
            </w:r>
            <w:r w:rsidR="00AC0613" w:rsidRPr="00BD4B16">
              <w:rPr>
                <w:rFonts w:asciiTheme="minorHAnsi" w:hAnsiTheme="minorHAnsi" w:cstheme="minorHAnsi"/>
                <w:color w:val="FFFFFF" w:themeColor="background1"/>
                <w:szCs w:val="24"/>
                <w:lang w:eastAsia="en-GB"/>
              </w:rPr>
              <w:t xml:space="preserve"> between </w:t>
            </w:r>
            <w:r w:rsidR="0000056C" w:rsidRPr="00BD4B16">
              <w:rPr>
                <w:rFonts w:asciiTheme="minorHAnsi" w:hAnsiTheme="minorHAnsi" w:cstheme="minorHAnsi"/>
                <w:color w:val="FFFFFF" w:themeColor="background1"/>
                <w:szCs w:val="24"/>
                <w:lang w:eastAsia="en-GB"/>
              </w:rPr>
              <w:t xml:space="preserve">treatment </w:t>
            </w:r>
            <w:r w:rsidR="00AC0613" w:rsidRPr="00BD4B16">
              <w:rPr>
                <w:rFonts w:asciiTheme="minorHAnsi" w:hAnsiTheme="minorHAnsi" w:cstheme="minorHAnsi"/>
                <w:color w:val="FFFFFF" w:themeColor="background1"/>
                <w:szCs w:val="24"/>
                <w:lang w:eastAsia="en-GB"/>
              </w:rPr>
              <w:t>and control groups</w:t>
            </w:r>
            <w:r w:rsidRPr="00BD4B16">
              <w:rPr>
                <w:rFonts w:asciiTheme="minorHAnsi" w:hAnsiTheme="minorHAnsi" w:cstheme="minorHAnsi"/>
                <w:color w:val="FFFFFF" w:themeColor="background1"/>
                <w:szCs w:val="24"/>
                <w:lang w:eastAsia="en-GB"/>
              </w:rPr>
              <w:t xml:space="preserve"> </w:t>
            </w:r>
          </w:p>
          <w:p w14:paraId="3C1B6A8A" w14:textId="61FB02D4" w:rsidR="00BB0E8F" w:rsidRPr="00BD4B16" w:rsidRDefault="00BB0E8F" w:rsidP="00373904">
            <w:pPr>
              <w:pStyle w:val="Tabletext"/>
              <w:spacing w:before="0"/>
              <w:jc w:val="right"/>
              <w:rPr>
                <w:rFonts w:asciiTheme="minorHAnsi" w:hAnsiTheme="minorHAnsi" w:cstheme="minorHAnsi"/>
                <w:color w:val="FFFFFF" w:themeColor="background1"/>
                <w:szCs w:val="24"/>
                <w:lang w:eastAsia="en-GB"/>
              </w:rPr>
            </w:pPr>
            <w:r w:rsidRPr="00BD4B16">
              <w:rPr>
                <w:rFonts w:asciiTheme="minorHAnsi" w:hAnsiTheme="minorHAnsi" w:cstheme="minorHAnsi"/>
                <w:color w:val="FFFFFF" w:themeColor="background1"/>
                <w:szCs w:val="24"/>
                <w:lang w:eastAsia="en-GB"/>
              </w:rPr>
              <w:t>(After PSM)</w:t>
            </w:r>
          </w:p>
        </w:tc>
      </w:tr>
      <w:tr w:rsidR="00BD4B16" w:rsidRPr="00BD4B16" w14:paraId="36E32D99"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DBFD976" w14:textId="0F4338CF" w:rsidR="00BD4B16" w:rsidRPr="00BD4B16" w:rsidRDefault="00BD4B16" w:rsidP="00BD4B16">
            <w:pPr>
              <w:pStyle w:val="Tabletext"/>
            </w:pPr>
            <w:r w:rsidRPr="00CB5608">
              <w:t>Use of Support</w:t>
            </w:r>
          </w:p>
        </w:tc>
        <w:tc>
          <w:tcPr>
            <w:tcW w:w="1184" w:type="pct"/>
            <w:vAlign w:val="top"/>
          </w:tcPr>
          <w:p w14:paraId="74066F50" w14:textId="20E707C3" w:rsidR="00BD4B16" w:rsidRPr="00BD4B16" w:rsidRDefault="00BD4B16" w:rsidP="00BD4B16">
            <w:pPr>
              <w:pStyle w:val="Tabletext"/>
              <w:rPr>
                <w:b/>
                <w:bCs/>
              </w:rPr>
            </w:pPr>
            <w:r w:rsidRPr="00CB5608">
              <w:t>Used Covid loans</w:t>
            </w:r>
          </w:p>
        </w:tc>
        <w:tc>
          <w:tcPr>
            <w:tcW w:w="1384" w:type="pct"/>
            <w:vAlign w:val="top"/>
          </w:tcPr>
          <w:p w14:paraId="35E93C2F" w14:textId="5FF8312D" w:rsidR="00BD4B16" w:rsidRPr="00BD4B16" w:rsidRDefault="00BD4B16" w:rsidP="00BD4B16">
            <w:pPr>
              <w:pStyle w:val="Tabletext"/>
              <w:jc w:val="right"/>
            </w:pPr>
            <w:r w:rsidRPr="00D31FFA">
              <w:t>34.9%</w:t>
            </w:r>
          </w:p>
        </w:tc>
        <w:tc>
          <w:tcPr>
            <w:tcW w:w="1384" w:type="pct"/>
            <w:vAlign w:val="top"/>
          </w:tcPr>
          <w:p w14:paraId="4FB6B51C" w14:textId="5B1050FB" w:rsidR="00BD4B16" w:rsidRPr="00BD4B16" w:rsidRDefault="00BD4B16" w:rsidP="00BD4B16">
            <w:pPr>
              <w:pStyle w:val="Tabletext"/>
              <w:jc w:val="right"/>
            </w:pPr>
            <w:r w:rsidRPr="006202DC">
              <w:t>2.4%</w:t>
            </w:r>
          </w:p>
        </w:tc>
      </w:tr>
      <w:tr w:rsidR="00BD4B16" w:rsidRPr="00BD4B16" w14:paraId="0E70A0D2" w14:textId="77777777" w:rsidTr="00BD4B16">
        <w:tblPrEx>
          <w:tblCellMar>
            <w:left w:w="108" w:type="dxa"/>
            <w:right w:w="108" w:type="dxa"/>
          </w:tblCellMar>
        </w:tblPrEx>
        <w:tc>
          <w:tcPr>
            <w:tcW w:w="1047" w:type="pct"/>
            <w:vAlign w:val="top"/>
          </w:tcPr>
          <w:p w14:paraId="2B180067" w14:textId="5A217DE8" w:rsidR="00BD4B16" w:rsidRPr="00BD4B16" w:rsidRDefault="00BD4B16" w:rsidP="00BD4B16">
            <w:pPr>
              <w:pStyle w:val="Tabletext"/>
            </w:pPr>
            <w:r w:rsidRPr="00CB5608">
              <w:t>Use of Support</w:t>
            </w:r>
          </w:p>
        </w:tc>
        <w:tc>
          <w:tcPr>
            <w:tcW w:w="1184" w:type="pct"/>
            <w:vAlign w:val="top"/>
          </w:tcPr>
          <w:p w14:paraId="52D43866" w14:textId="51E824B7" w:rsidR="00BD4B16" w:rsidRPr="00BD4B16" w:rsidRDefault="00BD4B16" w:rsidP="00BD4B16">
            <w:pPr>
              <w:pStyle w:val="Tabletext"/>
              <w:rPr>
                <w:b/>
                <w:bCs/>
              </w:rPr>
            </w:pPr>
            <w:r w:rsidRPr="00CB5608">
              <w:t>Used CJRS</w:t>
            </w:r>
          </w:p>
        </w:tc>
        <w:tc>
          <w:tcPr>
            <w:tcW w:w="1384" w:type="pct"/>
            <w:vAlign w:val="top"/>
          </w:tcPr>
          <w:p w14:paraId="328477BF" w14:textId="4F836F00" w:rsidR="00BD4B16" w:rsidRPr="00BD4B16" w:rsidRDefault="00BD4B16" w:rsidP="00BD4B16">
            <w:pPr>
              <w:pStyle w:val="Tabletext"/>
              <w:jc w:val="right"/>
            </w:pPr>
            <w:r w:rsidRPr="00D31FFA">
              <w:t>3.5%</w:t>
            </w:r>
          </w:p>
        </w:tc>
        <w:tc>
          <w:tcPr>
            <w:tcW w:w="1384" w:type="pct"/>
            <w:vAlign w:val="top"/>
          </w:tcPr>
          <w:p w14:paraId="1EF2BA4C" w14:textId="1BFF89B9" w:rsidR="00BD4B16" w:rsidRPr="00BD4B16" w:rsidRDefault="00BD4B16" w:rsidP="00BD4B16">
            <w:pPr>
              <w:pStyle w:val="Tabletext"/>
              <w:jc w:val="right"/>
            </w:pPr>
            <w:r w:rsidRPr="006202DC">
              <w:t>2.4%</w:t>
            </w:r>
          </w:p>
        </w:tc>
      </w:tr>
      <w:tr w:rsidR="00BD4B16" w:rsidRPr="00BD4B16" w14:paraId="57BBC4E1"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048F5D47" w14:textId="51D56ED9" w:rsidR="00BD4B16" w:rsidRPr="00BD4B16" w:rsidRDefault="00BD4B16" w:rsidP="00BD4B16">
            <w:pPr>
              <w:pStyle w:val="Tabletext"/>
            </w:pPr>
            <w:r w:rsidRPr="00CB5608">
              <w:t>Use of Support</w:t>
            </w:r>
          </w:p>
        </w:tc>
        <w:tc>
          <w:tcPr>
            <w:tcW w:w="1184" w:type="pct"/>
            <w:vAlign w:val="top"/>
          </w:tcPr>
          <w:p w14:paraId="0AFA10FD" w14:textId="040A6A08" w:rsidR="00BD4B16" w:rsidRPr="00BD4B16" w:rsidRDefault="00BD4B16" w:rsidP="00BD4B16">
            <w:pPr>
              <w:pStyle w:val="Tabletext"/>
              <w:rPr>
                <w:b/>
                <w:bCs/>
              </w:rPr>
            </w:pPr>
            <w:r w:rsidRPr="00CB5608">
              <w:t>Used VAT deferral</w:t>
            </w:r>
          </w:p>
        </w:tc>
        <w:tc>
          <w:tcPr>
            <w:tcW w:w="1384" w:type="pct"/>
            <w:vAlign w:val="top"/>
          </w:tcPr>
          <w:p w14:paraId="366A631F" w14:textId="0046432C" w:rsidR="00BD4B16" w:rsidRPr="00BD4B16" w:rsidRDefault="00BD4B16" w:rsidP="00BD4B16">
            <w:pPr>
              <w:pStyle w:val="Tabletext"/>
              <w:jc w:val="right"/>
            </w:pPr>
            <w:r w:rsidRPr="00D31FFA">
              <w:t>12.7%</w:t>
            </w:r>
          </w:p>
        </w:tc>
        <w:tc>
          <w:tcPr>
            <w:tcW w:w="1384" w:type="pct"/>
            <w:vAlign w:val="top"/>
          </w:tcPr>
          <w:p w14:paraId="2A69725B" w14:textId="35533E32" w:rsidR="00BD4B16" w:rsidRPr="00BD4B16" w:rsidRDefault="00BD4B16" w:rsidP="00BD4B16">
            <w:pPr>
              <w:pStyle w:val="Tabletext"/>
              <w:jc w:val="right"/>
            </w:pPr>
            <w:r w:rsidRPr="006202DC">
              <w:t>0.6%</w:t>
            </w:r>
          </w:p>
        </w:tc>
      </w:tr>
      <w:tr w:rsidR="00BD4B16" w:rsidRPr="00BD4B16" w14:paraId="0F3C9E96" w14:textId="77777777" w:rsidTr="00BD4B16">
        <w:tblPrEx>
          <w:tblCellMar>
            <w:left w:w="108" w:type="dxa"/>
            <w:right w:w="108" w:type="dxa"/>
          </w:tblCellMar>
        </w:tblPrEx>
        <w:tc>
          <w:tcPr>
            <w:tcW w:w="1047" w:type="pct"/>
            <w:vAlign w:val="top"/>
          </w:tcPr>
          <w:p w14:paraId="23C81F7A" w14:textId="1E92574D" w:rsidR="00BD4B16" w:rsidRPr="00BD4B16" w:rsidRDefault="00BD4B16" w:rsidP="00BD4B16">
            <w:pPr>
              <w:pStyle w:val="Tabletext"/>
            </w:pPr>
            <w:r w:rsidRPr="00CB5608">
              <w:t>Use of Support</w:t>
            </w:r>
          </w:p>
        </w:tc>
        <w:tc>
          <w:tcPr>
            <w:tcW w:w="1184" w:type="pct"/>
            <w:vAlign w:val="top"/>
          </w:tcPr>
          <w:p w14:paraId="4F6C51D4" w14:textId="6F2BE6C2" w:rsidR="00BD4B16" w:rsidRPr="00BD4B16" w:rsidRDefault="00BD4B16" w:rsidP="00BD4B16">
            <w:pPr>
              <w:pStyle w:val="Tabletext"/>
              <w:rPr>
                <w:b/>
                <w:bCs/>
              </w:rPr>
            </w:pPr>
            <w:r w:rsidRPr="00CB5608">
              <w:t>Used other support schemes</w:t>
            </w:r>
          </w:p>
        </w:tc>
        <w:tc>
          <w:tcPr>
            <w:tcW w:w="1384" w:type="pct"/>
            <w:vAlign w:val="top"/>
          </w:tcPr>
          <w:p w14:paraId="098C08F0" w14:textId="228B9F3E" w:rsidR="00BD4B16" w:rsidRPr="00BD4B16" w:rsidRDefault="00BD4B16" w:rsidP="00BD4B16">
            <w:pPr>
              <w:pStyle w:val="Tabletext"/>
              <w:jc w:val="right"/>
            </w:pPr>
            <w:r w:rsidRPr="00D31FFA">
              <w:t>16.9%</w:t>
            </w:r>
          </w:p>
        </w:tc>
        <w:tc>
          <w:tcPr>
            <w:tcW w:w="1384" w:type="pct"/>
            <w:vAlign w:val="top"/>
          </w:tcPr>
          <w:p w14:paraId="5C3F8746" w14:textId="5585E2A6" w:rsidR="00BD4B16" w:rsidRPr="00BD4B16" w:rsidRDefault="00BD4B16" w:rsidP="00BD4B16">
            <w:pPr>
              <w:pStyle w:val="Tabletext"/>
              <w:jc w:val="right"/>
            </w:pPr>
            <w:r w:rsidRPr="006202DC">
              <w:t>2.4%</w:t>
            </w:r>
          </w:p>
        </w:tc>
      </w:tr>
      <w:tr w:rsidR="00BD4B16" w:rsidRPr="00BD4B16" w14:paraId="25EC1CCE"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3820ECF0" w14:textId="02408CC1" w:rsidR="00BD4B16" w:rsidRPr="00BD4B16" w:rsidRDefault="00BD4B16" w:rsidP="00BD4B16">
            <w:pPr>
              <w:pStyle w:val="Tabletext"/>
            </w:pPr>
            <w:r w:rsidRPr="00CB5608">
              <w:t>Business Interruption</w:t>
            </w:r>
          </w:p>
        </w:tc>
        <w:tc>
          <w:tcPr>
            <w:tcW w:w="1184" w:type="pct"/>
            <w:vAlign w:val="top"/>
          </w:tcPr>
          <w:p w14:paraId="622E921F" w14:textId="0164675D" w:rsidR="00BD4B16" w:rsidRPr="00BD4B16" w:rsidRDefault="00BD4B16" w:rsidP="00BD4B16">
            <w:pPr>
              <w:pStyle w:val="Tabletext"/>
              <w:rPr>
                <w:b/>
                <w:bCs/>
              </w:rPr>
            </w:pPr>
            <w:r w:rsidRPr="00CB5608">
              <w:t>Changes for Covid-19 compliance</w:t>
            </w:r>
          </w:p>
        </w:tc>
        <w:tc>
          <w:tcPr>
            <w:tcW w:w="1384" w:type="pct"/>
            <w:vAlign w:val="top"/>
          </w:tcPr>
          <w:p w14:paraId="2FA88E6C" w14:textId="6168C01A" w:rsidR="00BD4B16" w:rsidRPr="00BD4B16" w:rsidRDefault="00BD4B16" w:rsidP="00BD4B16">
            <w:pPr>
              <w:pStyle w:val="Tabletext"/>
              <w:jc w:val="right"/>
            </w:pPr>
            <w:r w:rsidRPr="00D31FFA">
              <w:t>0.4%</w:t>
            </w:r>
          </w:p>
        </w:tc>
        <w:tc>
          <w:tcPr>
            <w:tcW w:w="1384" w:type="pct"/>
            <w:vAlign w:val="top"/>
          </w:tcPr>
          <w:p w14:paraId="706C92EF" w14:textId="0C54D605" w:rsidR="00BD4B16" w:rsidRPr="00BD4B16" w:rsidRDefault="00BD4B16" w:rsidP="00BD4B16">
            <w:pPr>
              <w:pStyle w:val="Tabletext"/>
              <w:jc w:val="right"/>
            </w:pPr>
            <w:r w:rsidRPr="006202DC">
              <w:t>1.8%</w:t>
            </w:r>
          </w:p>
        </w:tc>
      </w:tr>
      <w:tr w:rsidR="00BD4B16" w:rsidRPr="00BD4B16" w14:paraId="79F1ED8F" w14:textId="77777777" w:rsidTr="00BD4B16">
        <w:tblPrEx>
          <w:tblCellMar>
            <w:left w:w="108" w:type="dxa"/>
            <w:right w:w="108" w:type="dxa"/>
          </w:tblCellMar>
        </w:tblPrEx>
        <w:tc>
          <w:tcPr>
            <w:tcW w:w="1047" w:type="pct"/>
            <w:vAlign w:val="top"/>
          </w:tcPr>
          <w:p w14:paraId="150193A7" w14:textId="03DE0474" w:rsidR="00BD4B16" w:rsidRPr="00BD4B16" w:rsidRDefault="00BD4B16" w:rsidP="00BD4B16">
            <w:pPr>
              <w:pStyle w:val="Tabletext"/>
            </w:pPr>
            <w:r w:rsidRPr="00CB5608">
              <w:t>Business Interruption</w:t>
            </w:r>
          </w:p>
        </w:tc>
        <w:tc>
          <w:tcPr>
            <w:tcW w:w="1184" w:type="pct"/>
            <w:vAlign w:val="top"/>
          </w:tcPr>
          <w:p w14:paraId="788A2EA1" w14:textId="775D79F3" w:rsidR="00BD4B16" w:rsidRPr="00BD4B16" w:rsidRDefault="00BD4B16" w:rsidP="00BD4B16">
            <w:pPr>
              <w:pStyle w:val="Tabletext"/>
              <w:rPr>
                <w:b/>
                <w:bCs/>
              </w:rPr>
            </w:pPr>
            <w:r w:rsidRPr="00CB5608">
              <w:t>Strain from Debt</w:t>
            </w:r>
          </w:p>
        </w:tc>
        <w:tc>
          <w:tcPr>
            <w:tcW w:w="1384" w:type="pct"/>
            <w:vAlign w:val="top"/>
          </w:tcPr>
          <w:p w14:paraId="682BC2D5" w14:textId="0A9E7E9D" w:rsidR="00BD4B16" w:rsidRPr="00BD4B16" w:rsidRDefault="00BD4B16" w:rsidP="00BD4B16">
            <w:pPr>
              <w:pStyle w:val="Tabletext"/>
              <w:jc w:val="right"/>
            </w:pPr>
            <w:r w:rsidRPr="00D31FFA">
              <w:t>25.0%</w:t>
            </w:r>
          </w:p>
        </w:tc>
        <w:tc>
          <w:tcPr>
            <w:tcW w:w="1384" w:type="pct"/>
            <w:vAlign w:val="top"/>
          </w:tcPr>
          <w:p w14:paraId="71DE5864" w14:textId="2DA33DE2" w:rsidR="00BD4B16" w:rsidRPr="00BD4B16" w:rsidRDefault="00BD4B16" w:rsidP="00BD4B16">
            <w:pPr>
              <w:pStyle w:val="Tabletext"/>
              <w:jc w:val="right"/>
            </w:pPr>
            <w:r w:rsidRPr="006202DC">
              <w:t>1.8%</w:t>
            </w:r>
          </w:p>
        </w:tc>
      </w:tr>
      <w:tr w:rsidR="00BD4B16" w:rsidRPr="00BD4B16" w14:paraId="5CC71A7C"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51338341" w14:textId="581C459C" w:rsidR="00BD4B16" w:rsidRPr="00BD4B16" w:rsidRDefault="00BD4B16" w:rsidP="00BD4B16">
            <w:pPr>
              <w:pStyle w:val="Tabletext"/>
            </w:pPr>
            <w:r w:rsidRPr="00CB5608">
              <w:t>Business Interruption</w:t>
            </w:r>
          </w:p>
        </w:tc>
        <w:tc>
          <w:tcPr>
            <w:tcW w:w="1184" w:type="pct"/>
            <w:vAlign w:val="top"/>
          </w:tcPr>
          <w:p w14:paraId="403F3BA4" w14:textId="4FA75819" w:rsidR="00BD4B16" w:rsidRPr="00BD4B16" w:rsidRDefault="00BD4B16" w:rsidP="00BD4B16">
            <w:pPr>
              <w:pStyle w:val="Tabletext"/>
              <w:rPr>
                <w:b/>
                <w:bCs/>
              </w:rPr>
            </w:pPr>
            <w:r w:rsidRPr="00CB5608">
              <w:t>Access to External Finance</w:t>
            </w:r>
          </w:p>
        </w:tc>
        <w:tc>
          <w:tcPr>
            <w:tcW w:w="1384" w:type="pct"/>
            <w:vAlign w:val="top"/>
          </w:tcPr>
          <w:p w14:paraId="54DFD30D" w14:textId="7D6C065A" w:rsidR="00BD4B16" w:rsidRPr="00BD4B16" w:rsidRDefault="00BD4B16" w:rsidP="00BD4B16">
            <w:pPr>
              <w:pStyle w:val="Tabletext"/>
              <w:jc w:val="right"/>
            </w:pPr>
            <w:r w:rsidRPr="00D31FFA">
              <w:t>6.6%</w:t>
            </w:r>
          </w:p>
        </w:tc>
        <w:tc>
          <w:tcPr>
            <w:tcW w:w="1384" w:type="pct"/>
            <w:vAlign w:val="top"/>
          </w:tcPr>
          <w:p w14:paraId="29B076B6" w14:textId="6A89C630" w:rsidR="00BD4B16" w:rsidRPr="00BD4B16" w:rsidRDefault="00BD4B16" w:rsidP="00BD4B16">
            <w:pPr>
              <w:pStyle w:val="Tabletext"/>
              <w:jc w:val="right"/>
            </w:pPr>
            <w:r w:rsidRPr="006202DC">
              <w:t>1.2%</w:t>
            </w:r>
          </w:p>
        </w:tc>
      </w:tr>
      <w:tr w:rsidR="00BD4B16" w:rsidRPr="00BD4B16" w14:paraId="08BD920B" w14:textId="77777777" w:rsidTr="00BD4B16">
        <w:tblPrEx>
          <w:tblCellMar>
            <w:left w:w="108" w:type="dxa"/>
            <w:right w:w="108" w:type="dxa"/>
          </w:tblCellMar>
        </w:tblPrEx>
        <w:tc>
          <w:tcPr>
            <w:tcW w:w="1047" w:type="pct"/>
            <w:vAlign w:val="top"/>
          </w:tcPr>
          <w:p w14:paraId="76ADF857" w14:textId="61EB9C88" w:rsidR="00BD4B16" w:rsidRPr="00BD4B16" w:rsidRDefault="00BD4B16" w:rsidP="00BD4B16">
            <w:pPr>
              <w:pStyle w:val="Tabletext"/>
            </w:pPr>
            <w:r w:rsidRPr="00CB5608">
              <w:t>Business Interruption</w:t>
            </w:r>
          </w:p>
        </w:tc>
        <w:tc>
          <w:tcPr>
            <w:tcW w:w="1184" w:type="pct"/>
            <w:vAlign w:val="top"/>
          </w:tcPr>
          <w:p w14:paraId="0B1D2602" w14:textId="26E10B5D" w:rsidR="00BD4B16" w:rsidRPr="00BD4B16" w:rsidRDefault="00BD4B16" w:rsidP="00BD4B16">
            <w:pPr>
              <w:pStyle w:val="Tabletext"/>
              <w:rPr>
                <w:b/>
                <w:bCs/>
              </w:rPr>
            </w:pPr>
            <w:r w:rsidRPr="00CB5608">
              <w:t>Issues with Late Payment</w:t>
            </w:r>
          </w:p>
        </w:tc>
        <w:tc>
          <w:tcPr>
            <w:tcW w:w="1384" w:type="pct"/>
            <w:vAlign w:val="top"/>
          </w:tcPr>
          <w:p w14:paraId="7847CCB3" w14:textId="343CA92D" w:rsidR="00BD4B16" w:rsidRPr="00BD4B16" w:rsidRDefault="00BD4B16" w:rsidP="00BD4B16">
            <w:pPr>
              <w:pStyle w:val="Tabletext"/>
              <w:jc w:val="right"/>
            </w:pPr>
            <w:r w:rsidRPr="00D31FFA">
              <w:t>18.0%</w:t>
            </w:r>
          </w:p>
        </w:tc>
        <w:tc>
          <w:tcPr>
            <w:tcW w:w="1384" w:type="pct"/>
            <w:vAlign w:val="top"/>
          </w:tcPr>
          <w:p w14:paraId="7584F525" w14:textId="42851D64" w:rsidR="00BD4B16" w:rsidRPr="00BD4B16" w:rsidRDefault="00BD4B16" w:rsidP="00BD4B16">
            <w:pPr>
              <w:pStyle w:val="Tabletext"/>
              <w:jc w:val="right"/>
            </w:pPr>
            <w:r w:rsidRPr="006202DC">
              <w:t>1.2%</w:t>
            </w:r>
          </w:p>
        </w:tc>
      </w:tr>
      <w:tr w:rsidR="00BD4B16" w:rsidRPr="00BD4B16" w14:paraId="36C0E7DD"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B985E60" w14:textId="227DAF3A" w:rsidR="00BD4B16" w:rsidRPr="00BD4B16" w:rsidRDefault="00BD4B16" w:rsidP="00BD4B16">
            <w:pPr>
              <w:pStyle w:val="Tabletext"/>
            </w:pPr>
            <w:r w:rsidRPr="00CB5608">
              <w:t>Business Interruption</w:t>
            </w:r>
          </w:p>
        </w:tc>
        <w:tc>
          <w:tcPr>
            <w:tcW w:w="1184" w:type="pct"/>
            <w:vAlign w:val="top"/>
          </w:tcPr>
          <w:p w14:paraId="4F69736C" w14:textId="4AB7FFA3" w:rsidR="00BD4B16" w:rsidRPr="00BD4B16" w:rsidRDefault="00BD4B16" w:rsidP="00BD4B16">
            <w:pPr>
              <w:pStyle w:val="Tabletext"/>
              <w:rPr>
                <w:b/>
                <w:bCs/>
              </w:rPr>
            </w:pPr>
            <w:r w:rsidRPr="00CB5608">
              <w:t>Changes in Market Demand</w:t>
            </w:r>
          </w:p>
        </w:tc>
        <w:tc>
          <w:tcPr>
            <w:tcW w:w="1384" w:type="pct"/>
            <w:vAlign w:val="top"/>
          </w:tcPr>
          <w:p w14:paraId="1B7DDB77" w14:textId="1632EE34" w:rsidR="00BD4B16" w:rsidRPr="00BD4B16" w:rsidRDefault="00BD4B16" w:rsidP="00BD4B16">
            <w:pPr>
              <w:pStyle w:val="Tabletext"/>
              <w:jc w:val="right"/>
            </w:pPr>
            <w:r w:rsidRPr="00D31FFA">
              <w:t>10.3%</w:t>
            </w:r>
          </w:p>
        </w:tc>
        <w:tc>
          <w:tcPr>
            <w:tcW w:w="1384" w:type="pct"/>
            <w:vAlign w:val="top"/>
          </w:tcPr>
          <w:p w14:paraId="465926EB" w14:textId="07C56C22" w:rsidR="00BD4B16" w:rsidRPr="00BD4B16" w:rsidRDefault="00BD4B16" w:rsidP="00BD4B16">
            <w:pPr>
              <w:pStyle w:val="Tabletext"/>
              <w:jc w:val="right"/>
            </w:pPr>
            <w:r w:rsidRPr="006202DC">
              <w:t>2.4%</w:t>
            </w:r>
          </w:p>
        </w:tc>
      </w:tr>
      <w:tr w:rsidR="00BD4B16" w:rsidRPr="00BD4B16" w14:paraId="17BC2085" w14:textId="77777777" w:rsidTr="00BD4B16">
        <w:tblPrEx>
          <w:tblCellMar>
            <w:left w:w="108" w:type="dxa"/>
            <w:right w:w="108" w:type="dxa"/>
          </w:tblCellMar>
        </w:tblPrEx>
        <w:tc>
          <w:tcPr>
            <w:tcW w:w="1047" w:type="pct"/>
            <w:vAlign w:val="top"/>
          </w:tcPr>
          <w:p w14:paraId="0329C2CC" w14:textId="0FD6F991" w:rsidR="00BD4B16" w:rsidRPr="00BD4B16" w:rsidRDefault="00BD4B16" w:rsidP="00BD4B16">
            <w:pPr>
              <w:pStyle w:val="Tabletext"/>
            </w:pPr>
            <w:r w:rsidRPr="00CB5608">
              <w:t>Business Interruption</w:t>
            </w:r>
          </w:p>
        </w:tc>
        <w:tc>
          <w:tcPr>
            <w:tcW w:w="1184" w:type="pct"/>
            <w:vAlign w:val="top"/>
          </w:tcPr>
          <w:p w14:paraId="7422B34B" w14:textId="4530F1FD" w:rsidR="00BD4B16" w:rsidRPr="00BD4B16" w:rsidRDefault="00BD4B16" w:rsidP="00BD4B16">
            <w:pPr>
              <w:pStyle w:val="Tabletext"/>
              <w:rPr>
                <w:b/>
                <w:bCs/>
              </w:rPr>
            </w:pPr>
            <w:r w:rsidRPr="00CB5608">
              <w:t>Availability of Staff</w:t>
            </w:r>
          </w:p>
        </w:tc>
        <w:tc>
          <w:tcPr>
            <w:tcW w:w="1384" w:type="pct"/>
            <w:vAlign w:val="top"/>
          </w:tcPr>
          <w:p w14:paraId="72454460" w14:textId="3AE905FA" w:rsidR="00BD4B16" w:rsidRPr="00BD4B16" w:rsidRDefault="00BD4B16" w:rsidP="00BD4B16">
            <w:pPr>
              <w:pStyle w:val="Tabletext"/>
              <w:jc w:val="right"/>
            </w:pPr>
            <w:r w:rsidRPr="00D31FFA">
              <w:t>3.3%</w:t>
            </w:r>
          </w:p>
        </w:tc>
        <w:tc>
          <w:tcPr>
            <w:tcW w:w="1384" w:type="pct"/>
            <w:vAlign w:val="top"/>
          </w:tcPr>
          <w:p w14:paraId="665CF8A8" w14:textId="3BD20FEC" w:rsidR="00BD4B16" w:rsidRPr="00BD4B16" w:rsidRDefault="00BD4B16" w:rsidP="00BD4B16">
            <w:pPr>
              <w:pStyle w:val="Tabletext"/>
              <w:jc w:val="right"/>
            </w:pPr>
            <w:r w:rsidRPr="006202DC">
              <w:t>6.7%</w:t>
            </w:r>
          </w:p>
        </w:tc>
      </w:tr>
      <w:tr w:rsidR="00BD4B16" w:rsidRPr="00BD4B16" w14:paraId="52B44F1D"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0C8F1950" w14:textId="01C0473D" w:rsidR="00BD4B16" w:rsidRPr="00BD4B16" w:rsidRDefault="00BD4B16" w:rsidP="00BD4B16">
            <w:pPr>
              <w:pStyle w:val="Tabletext"/>
            </w:pPr>
            <w:r w:rsidRPr="00CB5608">
              <w:t>Business Interruption</w:t>
            </w:r>
          </w:p>
        </w:tc>
        <w:tc>
          <w:tcPr>
            <w:tcW w:w="1184" w:type="pct"/>
            <w:vAlign w:val="top"/>
          </w:tcPr>
          <w:p w14:paraId="68CAD918" w14:textId="487997D9" w:rsidR="00BD4B16" w:rsidRPr="00BD4B16" w:rsidRDefault="00BD4B16" w:rsidP="00BD4B16">
            <w:pPr>
              <w:pStyle w:val="Tabletext"/>
              <w:rPr>
                <w:b/>
                <w:bCs/>
              </w:rPr>
            </w:pPr>
            <w:r w:rsidRPr="00CB5608">
              <w:t>Supply Chain Disruption</w:t>
            </w:r>
          </w:p>
        </w:tc>
        <w:tc>
          <w:tcPr>
            <w:tcW w:w="1384" w:type="pct"/>
            <w:vAlign w:val="top"/>
          </w:tcPr>
          <w:p w14:paraId="48F74F0D" w14:textId="18970D6E" w:rsidR="00BD4B16" w:rsidRPr="00BD4B16" w:rsidRDefault="00BD4B16" w:rsidP="00BD4B16">
            <w:pPr>
              <w:pStyle w:val="Tabletext"/>
              <w:jc w:val="right"/>
            </w:pPr>
            <w:r w:rsidRPr="00D31FFA">
              <w:t>8.7%</w:t>
            </w:r>
          </w:p>
        </w:tc>
        <w:tc>
          <w:tcPr>
            <w:tcW w:w="1384" w:type="pct"/>
            <w:vAlign w:val="top"/>
          </w:tcPr>
          <w:p w14:paraId="52A07DB0" w14:textId="04B993B9" w:rsidR="00BD4B16" w:rsidRPr="00BD4B16" w:rsidRDefault="00BD4B16" w:rsidP="00BD4B16">
            <w:pPr>
              <w:pStyle w:val="Tabletext"/>
              <w:jc w:val="right"/>
            </w:pPr>
            <w:r w:rsidRPr="006202DC">
              <w:t>9.1%</w:t>
            </w:r>
          </w:p>
        </w:tc>
      </w:tr>
      <w:tr w:rsidR="00BD4B16" w:rsidRPr="00BD4B16" w14:paraId="14342357" w14:textId="77777777" w:rsidTr="00BD4B16">
        <w:tblPrEx>
          <w:tblCellMar>
            <w:left w:w="108" w:type="dxa"/>
            <w:right w:w="108" w:type="dxa"/>
          </w:tblCellMar>
        </w:tblPrEx>
        <w:tc>
          <w:tcPr>
            <w:tcW w:w="1047" w:type="pct"/>
            <w:vAlign w:val="top"/>
          </w:tcPr>
          <w:p w14:paraId="6B95ADAB" w14:textId="7BC32B82" w:rsidR="00BD4B16" w:rsidRPr="00BD4B16" w:rsidRDefault="00BD4B16" w:rsidP="00BD4B16">
            <w:pPr>
              <w:pStyle w:val="Tabletext"/>
            </w:pPr>
            <w:r w:rsidRPr="00CB5608">
              <w:t>Turnover</w:t>
            </w:r>
          </w:p>
        </w:tc>
        <w:tc>
          <w:tcPr>
            <w:tcW w:w="1184" w:type="pct"/>
            <w:vAlign w:val="top"/>
          </w:tcPr>
          <w:p w14:paraId="68346457" w14:textId="09691C9B" w:rsidR="00BD4B16" w:rsidRPr="00BD4B16" w:rsidRDefault="00BD4B16" w:rsidP="00BD4B16">
            <w:pPr>
              <w:pStyle w:val="Tabletext"/>
              <w:rPr>
                <w:b/>
                <w:bCs/>
              </w:rPr>
            </w:pPr>
            <w:r w:rsidRPr="00CB5608">
              <w:t>less than 100,000</w:t>
            </w:r>
          </w:p>
        </w:tc>
        <w:tc>
          <w:tcPr>
            <w:tcW w:w="1384" w:type="pct"/>
            <w:vAlign w:val="top"/>
          </w:tcPr>
          <w:p w14:paraId="3CFA5B1C" w14:textId="75EB04FB" w:rsidR="00BD4B16" w:rsidRPr="00BD4B16" w:rsidRDefault="00BD4B16" w:rsidP="00BD4B16">
            <w:pPr>
              <w:pStyle w:val="Tabletext"/>
              <w:jc w:val="right"/>
            </w:pPr>
            <w:r w:rsidRPr="00D31FFA">
              <w:t>6.7%</w:t>
            </w:r>
          </w:p>
        </w:tc>
        <w:tc>
          <w:tcPr>
            <w:tcW w:w="1384" w:type="pct"/>
            <w:vAlign w:val="top"/>
          </w:tcPr>
          <w:p w14:paraId="6B862486" w14:textId="5E64E284" w:rsidR="00BD4B16" w:rsidRPr="00BD4B16" w:rsidRDefault="00BD4B16" w:rsidP="00BD4B16">
            <w:pPr>
              <w:pStyle w:val="Tabletext"/>
              <w:jc w:val="right"/>
            </w:pPr>
            <w:r w:rsidRPr="006202DC">
              <w:t>1.2%</w:t>
            </w:r>
          </w:p>
        </w:tc>
      </w:tr>
      <w:tr w:rsidR="00BD4B16" w:rsidRPr="00BD4B16" w14:paraId="0E08E395"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2F3C816B" w14:textId="207B1BE2" w:rsidR="00BD4B16" w:rsidRPr="00BD4B16" w:rsidRDefault="00BD4B16" w:rsidP="00BD4B16">
            <w:pPr>
              <w:pStyle w:val="Tabletext"/>
            </w:pPr>
            <w:r w:rsidRPr="00CB5608">
              <w:t>Turnover</w:t>
            </w:r>
          </w:p>
        </w:tc>
        <w:tc>
          <w:tcPr>
            <w:tcW w:w="1184" w:type="pct"/>
            <w:vAlign w:val="top"/>
          </w:tcPr>
          <w:p w14:paraId="3F3DC448" w14:textId="2DE98212" w:rsidR="00BD4B16" w:rsidRPr="00BD4B16" w:rsidRDefault="00BD4B16" w:rsidP="00BD4B16">
            <w:pPr>
              <w:pStyle w:val="Tabletext"/>
              <w:rPr>
                <w:b/>
                <w:bCs/>
              </w:rPr>
            </w:pPr>
            <w:r w:rsidRPr="00CB5608">
              <w:t>100,000 or more but less than 250,000</w:t>
            </w:r>
          </w:p>
        </w:tc>
        <w:tc>
          <w:tcPr>
            <w:tcW w:w="1384" w:type="pct"/>
            <w:vAlign w:val="top"/>
          </w:tcPr>
          <w:p w14:paraId="3F9FD2E7" w14:textId="542B1116" w:rsidR="00BD4B16" w:rsidRPr="00BD4B16" w:rsidRDefault="00BD4B16" w:rsidP="00BD4B16">
            <w:pPr>
              <w:pStyle w:val="Tabletext"/>
              <w:jc w:val="right"/>
            </w:pPr>
            <w:r w:rsidRPr="00D31FFA">
              <w:t>0.4%</w:t>
            </w:r>
          </w:p>
        </w:tc>
        <w:tc>
          <w:tcPr>
            <w:tcW w:w="1384" w:type="pct"/>
            <w:vAlign w:val="top"/>
          </w:tcPr>
          <w:p w14:paraId="716AAC1A" w14:textId="5F52D8A3" w:rsidR="00BD4B16" w:rsidRPr="00BD4B16" w:rsidRDefault="00BD4B16" w:rsidP="00BD4B16">
            <w:pPr>
              <w:pStyle w:val="Tabletext"/>
              <w:jc w:val="right"/>
            </w:pPr>
            <w:r w:rsidRPr="006202DC">
              <w:t>0.6%</w:t>
            </w:r>
          </w:p>
        </w:tc>
      </w:tr>
      <w:tr w:rsidR="00BD4B16" w:rsidRPr="00BD4B16" w14:paraId="52AB7EEC" w14:textId="77777777" w:rsidTr="00BD4B16">
        <w:tblPrEx>
          <w:tblCellMar>
            <w:left w:w="108" w:type="dxa"/>
            <w:right w:w="108" w:type="dxa"/>
          </w:tblCellMar>
        </w:tblPrEx>
        <w:tc>
          <w:tcPr>
            <w:tcW w:w="1047" w:type="pct"/>
            <w:vAlign w:val="top"/>
          </w:tcPr>
          <w:p w14:paraId="0FF35DDF" w14:textId="722FC5A0" w:rsidR="00BD4B16" w:rsidRPr="00BD4B16" w:rsidRDefault="00BD4B16" w:rsidP="00BD4B16">
            <w:pPr>
              <w:pStyle w:val="Tabletext"/>
            </w:pPr>
            <w:r w:rsidRPr="00CB5608">
              <w:t>Turnover</w:t>
            </w:r>
          </w:p>
        </w:tc>
        <w:tc>
          <w:tcPr>
            <w:tcW w:w="1184" w:type="pct"/>
            <w:vAlign w:val="top"/>
          </w:tcPr>
          <w:p w14:paraId="0664E9AA" w14:textId="2DBD8A34" w:rsidR="00BD4B16" w:rsidRPr="00BD4B16" w:rsidRDefault="00BD4B16" w:rsidP="00BD4B16">
            <w:pPr>
              <w:pStyle w:val="Tabletext"/>
              <w:rPr>
                <w:b/>
                <w:bCs/>
              </w:rPr>
            </w:pPr>
            <w:r w:rsidRPr="00CB5608">
              <w:t>250,000 or more but less than 500,000</w:t>
            </w:r>
          </w:p>
        </w:tc>
        <w:tc>
          <w:tcPr>
            <w:tcW w:w="1384" w:type="pct"/>
            <w:vAlign w:val="top"/>
          </w:tcPr>
          <w:p w14:paraId="6864D454" w14:textId="133B553B" w:rsidR="00BD4B16" w:rsidRPr="00BD4B16" w:rsidRDefault="00BD4B16" w:rsidP="00BD4B16">
            <w:pPr>
              <w:pStyle w:val="Tabletext"/>
              <w:jc w:val="right"/>
            </w:pPr>
            <w:r w:rsidRPr="00D31FFA">
              <w:t>11.6%</w:t>
            </w:r>
          </w:p>
        </w:tc>
        <w:tc>
          <w:tcPr>
            <w:tcW w:w="1384" w:type="pct"/>
            <w:vAlign w:val="top"/>
          </w:tcPr>
          <w:p w14:paraId="7F3295D8" w14:textId="084DDAA2" w:rsidR="00BD4B16" w:rsidRPr="00BD4B16" w:rsidRDefault="00BD4B16" w:rsidP="00BD4B16">
            <w:pPr>
              <w:pStyle w:val="Tabletext"/>
              <w:jc w:val="right"/>
            </w:pPr>
            <w:r w:rsidRPr="006202DC">
              <w:t>4.8%</w:t>
            </w:r>
          </w:p>
        </w:tc>
      </w:tr>
      <w:tr w:rsidR="00BD4B16" w:rsidRPr="00BD4B16" w14:paraId="5F7E71C7"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1830FC87" w14:textId="5B6BC920" w:rsidR="00BD4B16" w:rsidRPr="00BD4B16" w:rsidRDefault="00BD4B16" w:rsidP="00BD4B16">
            <w:pPr>
              <w:pStyle w:val="Tabletext"/>
            </w:pPr>
            <w:r w:rsidRPr="00CB5608">
              <w:t>Turnover</w:t>
            </w:r>
          </w:p>
        </w:tc>
        <w:tc>
          <w:tcPr>
            <w:tcW w:w="1184" w:type="pct"/>
            <w:vAlign w:val="top"/>
          </w:tcPr>
          <w:p w14:paraId="2A5483E3" w14:textId="510FC177" w:rsidR="00BD4B16" w:rsidRPr="00BD4B16" w:rsidRDefault="00BD4B16" w:rsidP="00BD4B16">
            <w:pPr>
              <w:pStyle w:val="Tabletext"/>
              <w:rPr>
                <w:b/>
                <w:bCs/>
              </w:rPr>
            </w:pPr>
            <w:r w:rsidRPr="00CB5608">
              <w:t>500,000 or more but less than 1 million</w:t>
            </w:r>
          </w:p>
        </w:tc>
        <w:tc>
          <w:tcPr>
            <w:tcW w:w="1384" w:type="pct"/>
            <w:vAlign w:val="top"/>
          </w:tcPr>
          <w:p w14:paraId="075461D4" w14:textId="664182E9" w:rsidR="00BD4B16" w:rsidRPr="00BD4B16" w:rsidRDefault="00BD4B16" w:rsidP="00BD4B16">
            <w:pPr>
              <w:pStyle w:val="Tabletext"/>
              <w:jc w:val="right"/>
            </w:pPr>
            <w:r w:rsidRPr="00D31FFA">
              <w:t>6.4%</w:t>
            </w:r>
          </w:p>
        </w:tc>
        <w:tc>
          <w:tcPr>
            <w:tcW w:w="1384" w:type="pct"/>
            <w:vAlign w:val="top"/>
          </w:tcPr>
          <w:p w14:paraId="4B39A4A2" w14:textId="2DC91E2B" w:rsidR="00BD4B16" w:rsidRPr="00BD4B16" w:rsidRDefault="00BD4B16" w:rsidP="00BD4B16">
            <w:pPr>
              <w:pStyle w:val="Tabletext"/>
              <w:jc w:val="right"/>
            </w:pPr>
            <w:r w:rsidRPr="006202DC">
              <w:t>1.2%</w:t>
            </w:r>
          </w:p>
        </w:tc>
      </w:tr>
      <w:tr w:rsidR="00BD4B16" w:rsidRPr="00BD4B16" w14:paraId="4FB219EC" w14:textId="77777777" w:rsidTr="00BD4B16">
        <w:tblPrEx>
          <w:tblCellMar>
            <w:left w:w="108" w:type="dxa"/>
            <w:right w:w="108" w:type="dxa"/>
          </w:tblCellMar>
        </w:tblPrEx>
        <w:tc>
          <w:tcPr>
            <w:tcW w:w="1047" w:type="pct"/>
            <w:vAlign w:val="top"/>
          </w:tcPr>
          <w:p w14:paraId="19E1F15C" w14:textId="647DE133" w:rsidR="00BD4B16" w:rsidRPr="00BD4B16" w:rsidRDefault="00BD4B16" w:rsidP="00BD4B16">
            <w:pPr>
              <w:pStyle w:val="Tabletext"/>
            </w:pPr>
            <w:r w:rsidRPr="00CB5608">
              <w:t>Turnover</w:t>
            </w:r>
          </w:p>
        </w:tc>
        <w:tc>
          <w:tcPr>
            <w:tcW w:w="1184" w:type="pct"/>
            <w:vAlign w:val="top"/>
          </w:tcPr>
          <w:p w14:paraId="0BF52061" w14:textId="4C353BBE" w:rsidR="00BD4B16" w:rsidRPr="00BD4B16" w:rsidRDefault="00BD4B16" w:rsidP="00BD4B16">
            <w:pPr>
              <w:pStyle w:val="Tabletext"/>
              <w:rPr>
                <w:b/>
                <w:bCs/>
              </w:rPr>
            </w:pPr>
            <w:r w:rsidRPr="00CB5608">
              <w:t>1 million or more but less than 5 million</w:t>
            </w:r>
          </w:p>
        </w:tc>
        <w:tc>
          <w:tcPr>
            <w:tcW w:w="1384" w:type="pct"/>
            <w:vAlign w:val="top"/>
          </w:tcPr>
          <w:p w14:paraId="55E7E76E" w14:textId="7A48139C" w:rsidR="00BD4B16" w:rsidRPr="00BD4B16" w:rsidRDefault="00BD4B16" w:rsidP="00BD4B16">
            <w:pPr>
              <w:pStyle w:val="Tabletext"/>
              <w:jc w:val="right"/>
            </w:pPr>
            <w:r w:rsidRPr="00D31FFA">
              <w:t>4.2%</w:t>
            </w:r>
          </w:p>
        </w:tc>
        <w:tc>
          <w:tcPr>
            <w:tcW w:w="1384" w:type="pct"/>
            <w:vAlign w:val="top"/>
          </w:tcPr>
          <w:p w14:paraId="3CA637A9" w14:textId="17971CA2" w:rsidR="00BD4B16" w:rsidRPr="00BD4B16" w:rsidRDefault="00BD4B16" w:rsidP="00BD4B16">
            <w:pPr>
              <w:pStyle w:val="Tabletext"/>
              <w:jc w:val="right"/>
            </w:pPr>
            <w:r w:rsidRPr="006202DC">
              <w:t>4.2%</w:t>
            </w:r>
          </w:p>
        </w:tc>
      </w:tr>
      <w:tr w:rsidR="00BD4B16" w:rsidRPr="00BD4B16" w14:paraId="150F7FBA"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7E99502B" w14:textId="3141B62D" w:rsidR="00BD4B16" w:rsidRPr="00BD4B16" w:rsidRDefault="00BD4B16" w:rsidP="00BD4B16">
            <w:pPr>
              <w:pStyle w:val="Tabletext"/>
            </w:pPr>
            <w:r w:rsidRPr="00CB5608">
              <w:t>Turnover</w:t>
            </w:r>
          </w:p>
        </w:tc>
        <w:tc>
          <w:tcPr>
            <w:tcW w:w="1184" w:type="pct"/>
            <w:vAlign w:val="top"/>
          </w:tcPr>
          <w:p w14:paraId="5AA56EDE" w14:textId="40F6A122" w:rsidR="00BD4B16" w:rsidRPr="00BD4B16" w:rsidRDefault="00BD4B16" w:rsidP="00BD4B16">
            <w:pPr>
              <w:pStyle w:val="Tabletext"/>
              <w:rPr>
                <w:b/>
                <w:bCs/>
              </w:rPr>
            </w:pPr>
            <w:r w:rsidRPr="00CB5608">
              <w:t>5 million or more</w:t>
            </w:r>
          </w:p>
        </w:tc>
        <w:tc>
          <w:tcPr>
            <w:tcW w:w="1384" w:type="pct"/>
            <w:vAlign w:val="top"/>
          </w:tcPr>
          <w:p w14:paraId="179B0E32" w14:textId="3A254840" w:rsidR="00BD4B16" w:rsidRPr="00BD4B16" w:rsidRDefault="00BD4B16" w:rsidP="00BD4B16">
            <w:pPr>
              <w:pStyle w:val="Tabletext"/>
              <w:jc w:val="right"/>
            </w:pPr>
            <w:r w:rsidRPr="00D31FFA">
              <w:t>6.7%</w:t>
            </w:r>
          </w:p>
        </w:tc>
        <w:tc>
          <w:tcPr>
            <w:tcW w:w="1384" w:type="pct"/>
            <w:vAlign w:val="top"/>
          </w:tcPr>
          <w:p w14:paraId="327C5BF2" w14:textId="1B32317F" w:rsidR="00BD4B16" w:rsidRPr="00BD4B16" w:rsidRDefault="00BD4B16" w:rsidP="00BD4B16">
            <w:pPr>
              <w:pStyle w:val="Tabletext"/>
              <w:jc w:val="right"/>
            </w:pPr>
            <w:r w:rsidRPr="006202DC">
              <w:t>0.0%</w:t>
            </w:r>
          </w:p>
        </w:tc>
      </w:tr>
      <w:tr w:rsidR="00BD4B16" w:rsidRPr="00BD4B16" w14:paraId="4756B11E" w14:textId="77777777" w:rsidTr="00BD4B16">
        <w:tblPrEx>
          <w:tblCellMar>
            <w:left w:w="108" w:type="dxa"/>
            <w:right w:w="108" w:type="dxa"/>
          </w:tblCellMar>
        </w:tblPrEx>
        <w:tc>
          <w:tcPr>
            <w:tcW w:w="1047" w:type="pct"/>
            <w:vAlign w:val="top"/>
          </w:tcPr>
          <w:p w14:paraId="1E32F903" w14:textId="50906573" w:rsidR="00BD4B16" w:rsidRPr="00BD4B16" w:rsidRDefault="00BD4B16" w:rsidP="00BD4B16">
            <w:pPr>
              <w:pStyle w:val="Tabletext"/>
            </w:pPr>
            <w:r w:rsidRPr="00CB5608">
              <w:t>Staff</w:t>
            </w:r>
          </w:p>
        </w:tc>
        <w:tc>
          <w:tcPr>
            <w:tcW w:w="1184" w:type="pct"/>
            <w:vAlign w:val="top"/>
          </w:tcPr>
          <w:p w14:paraId="2487A8C1" w14:textId="4E90CD49" w:rsidR="00BD4B16" w:rsidRPr="00BD4B16" w:rsidRDefault="00BD4B16" w:rsidP="00BD4B16">
            <w:pPr>
              <w:pStyle w:val="Tabletext"/>
              <w:rPr>
                <w:b/>
                <w:bCs/>
              </w:rPr>
            </w:pPr>
            <w:r w:rsidRPr="00CB5608">
              <w:t>Unknown</w:t>
            </w:r>
          </w:p>
        </w:tc>
        <w:tc>
          <w:tcPr>
            <w:tcW w:w="1384" w:type="pct"/>
            <w:vAlign w:val="top"/>
          </w:tcPr>
          <w:p w14:paraId="0361C497" w14:textId="43518D66" w:rsidR="00BD4B16" w:rsidRPr="00BD4B16" w:rsidRDefault="00BD4B16" w:rsidP="00BD4B16">
            <w:pPr>
              <w:pStyle w:val="Tabletext"/>
              <w:jc w:val="right"/>
            </w:pPr>
            <w:r w:rsidRPr="00D31FFA">
              <w:t>0.5%</w:t>
            </w:r>
          </w:p>
        </w:tc>
        <w:tc>
          <w:tcPr>
            <w:tcW w:w="1384" w:type="pct"/>
            <w:vAlign w:val="top"/>
          </w:tcPr>
          <w:p w14:paraId="58BF8B7A" w14:textId="6FA182EA" w:rsidR="00BD4B16" w:rsidRPr="00BD4B16" w:rsidRDefault="00BD4B16" w:rsidP="00BD4B16">
            <w:pPr>
              <w:pStyle w:val="Tabletext"/>
              <w:jc w:val="right"/>
            </w:pPr>
            <w:r w:rsidRPr="006202DC">
              <w:t>0.0%</w:t>
            </w:r>
          </w:p>
        </w:tc>
      </w:tr>
      <w:tr w:rsidR="00BD4B16" w:rsidRPr="00BD4B16" w14:paraId="73A04D0C"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3D5B805" w14:textId="24204190" w:rsidR="00BD4B16" w:rsidRPr="00BD4B16" w:rsidRDefault="00BD4B16" w:rsidP="00BD4B16">
            <w:pPr>
              <w:pStyle w:val="Tabletext"/>
            </w:pPr>
            <w:r w:rsidRPr="00CB5608">
              <w:t>Staff</w:t>
            </w:r>
          </w:p>
        </w:tc>
        <w:tc>
          <w:tcPr>
            <w:tcW w:w="1184" w:type="pct"/>
            <w:vAlign w:val="top"/>
          </w:tcPr>
          <w:p w14:paraId="190175C7" w14:textId="047FF534" w:rsidR="00BD4B16" w:rsidRPr="00BD4B16" w:rsidRDefault="00BD4B16" w:rsidP="00BD4B16">
            <w:pPr>
              <w:pStyle w:val="Tabletext"/>
              <w:rPr>
                <w:b/>
                <w:bCs/>
              </w:rPr>
            </w:pPr>
            <w:r w:rsidRPr="00CB5608">
              <w:t>1</w:t>
            </w:r>
          </w:p>
        </w:tc>
        <w:tc>
          <w:tcPr>
            <w:tcW w:w="1384" w:type="pct"/>
            <w:vAlign w:val="top"/>
          </w:tcPr>
          <w:p w14:paraId="68102497" w14:textId="2AAA6D34" w:rsidR="00BD4B16" w:rsidRPr="00BD4B16" w:rsidRDefault="00BD4B16" w:rsidP="00BD4B16">
            <w:pPr>
              <w:pStyle w:val="Tabletext"/>
              <w:jc w:val="right"/>
            </w:pPr>
            <w:r w:rsidRPr="00D31FFA">
              <w:t>3.4%</w:t>
            </w:r>
          </w:p>
        </w:tc>
        <w:tc>
          <w:tcPr>
            <w:tcW w:w="1384" w:type="pct"/>
            <w:vAlign w:val="top"/>
          </w:tcPr>
          <w:p w14:paraId="4E5891C4" w14:textId="22284A8A" w:rsidR="00BD4B16" w:rsidRPr="00BD4B16" w:rsidRDefault="00BD4B16" w:rsidP="00BD4B16">
            <w:pPr>
              <w:pStyle w:val="Tabletext"/>
              <w:jc w:val="right"/>
            </w:pPr>
            <w:r w:rsidRPr="006202DC">
              <w:t>3.0%</w:t>
            </w:r>
          </w:p>
        </w:tc>
      </w:tr>
      <w:tr w:rsidR="00BD4B16" w:rsidRPr="00BD4B16" w14:paraId="0FD0D576" w14:textId="77777777" w:rsidTr="00BD4B16">
        <w:tblPrEx>
          <w:tblCellMar>
            <w:left w:w="108" w:type="dxa"/>
            <w:right w:w="108" w:type="dxa"/>
          </w:tblCellMar>
        </w:tblPrEx>
        <w:tc>
          <w:tcPr>
            <w:tcW w:w="1047" w:type="pct"/>
            <w:vAlign w:val="top"/>
          </w:tcPr>
          <w:p w14:paraId="11ED0C8A" w14:textId="3BEE6EBC" w:rsidR="00BD4B16" w:rsidRPr="00BD4B16" w:rsidRDefault="00BD4B16" w:rsidP="00BD4B16">
            <w:pPr>
              <w:pStyle w:val="Tabletext"/>
            </w:pPr>
            <w:r w:rsidRPr="00CB5608">
              <w:t>Staff</w:t>
            </w:r>
          </w:p>
        </w:tc>
        <w:tc>
          <w:tcPr>
            <w:tcW w:w="1184" w:type="pct"/>
            <w:vAlign w:val="top"/>
          </w:tcPr>
          <w:p w14:paraId="4E06B9C9" w14:textId="451AE788" w:rsidR="00BD4B16" w:rsidRPr="00BD4B16" w:rsidRDefault="00BD4B16" w:rsidP="00BD4B16">
            <w:pPr>
              <w:pStyle w:val="Tabletext"/>
              <w:rPr>
                <w:b/>
                <w:bCs/>
              </w:rPr>
            </w:pPr>
            <w:r w:rsidRPr="00CB5608">
              <w:t>2-4</w:t>
            </w:r>
          </w:p>
        </w:tc>
        <w:tc>
          <w:tcPr>
            <w:tcW w:w="1384" w:type="pct"/>
            <w:vAlign w:val="top"/>
          </w:tcPr>
          <w:p w14:paraId="731241F0" w14:textId="672C33FD" w:rsidR="00BD4B16" w:rsidRPr="00BD4B16" w:rsidRDefault="00BD4B16" w:rsidP="00BD4B16">
            <w:pPr>
              <w:pStyle w:val="Tabletext"/>
              <w:jc w:val="right"/>
            </w:pPr>
            <w:r w:rsidRPr="00D31FFA">
              <w:t>2.5%</w:t>
            </w:r>
          </w:p>
        </w:tc>
        <w:tc>
          <w:tcPr>
            <w:tcW w:w="1384" w:type="pct"/>
            <w:vAlign w:val="top"/>
          </w:tcPr>
          <w:p w14:paraId="1E787FF0" w14:textId="7EC04999" w:rsidR="00BD4B16" w:rsidRPr="00BD4B16" w:rsidRDefault="00BD4B16" w:rsidP="00BD4B16">
            <w:pPr>
              <w:pStyle w:val="Tabletext"/>
              <w:jc w:val="right"/>
            </w:pPr>
            <w:r w:rsidRPr="006202DC">
              <w:t>1.2%</w:t>
            </w:r>
          </w:p>
        </w:tc>
      </w:tr>
      <w:tr w:rsidR="00BD4B16" w:rsidRPr="00BD4B16" w14:paraId="46221434"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22B8DA6F" w14:textId="34311FF4" w:rsidR="00BD4B16" w:rsidRPr="00BD4B16" w:rsidRDefault="00BD4B16" w:rsidP="00BD4B16">
            <w:pPr>
              <w:pStyle w:val="Tabletext"/>
            </w:pPr>
            <w:r w:rsidRPr="00CB5608">
              <w:t>Staff</w:t>
            </w:r>
          </w:p>
        </w:tc>
        <w:tc>
          <w:tcPr>
            <w:tcW w:w="1184" w:type="pct"/>
            <w:vAlign w:val="top"/>
          </w:tcPr>
          <w:p w14:paraId="28A090CB" w14:textId="5BA39B6C" w:rsidR="00BD4B16" w:rsidRPr="00BD4B16" w:rsidRDefault="00BD4B16" w:rsidP="00BD4B16">
            <w:pPr>
              <w:pStyle w:val="Tabletext"/>
            </w:pPr>
            <w:r w:rsidRPr="00CB5608">
              <w:t>5-9</w:t>
            </w:r>
          </w:p>
        </w:tc>
        <w:tc>
          <w:tcPr>
            <w:tcW w:w="1384" w:type="pct"/>
            <w:vAlign w:val="top"/>
          </w:tcPr>
          <w:p w14:paraId="32DF85A0" w14:textId="25D3516B" w:rsidR="00BD4B16" w:rsidRPr="00BD4B16" w:rsidRDefault="00BD4B16" w:rsidP="00BD4B16">
            <w:pPr>
              <w:pStyle w:val="Tabletext"/>
              <w:jc w:val="right"/>
            </w:pPr>
            <w:r w:rsidRPr="00D31FFA">
              <w:t>11.5%</w:t>
            </w:r>
          </w:p>
        </w:tc>
        <w:tc>
          <w:tcPr>
            <w:tcW w:w="1384" w:type="pct"/>
            <w:vAlign w:val="top"/>
          </w:tcPr>
          <w:p w14:paraId="441628B6" w14:textId="31D47F00" w:rsidR="00BD4B16" w:rsidRPr="00BD4B16" w:rsidRDefault="00BD4B16" w:rsidP="00BD4B16">
            <w:pPr>
              <w:pStyle w:val="Tabletext"/>
              <w:jc w:val="right"/>
            </w:pPr>
            <w:r w:rsidRPr="006202DC">
              <w:t>2.4%</w:t>
            </w:r>
          </w:p>
        </w:tc>
      </w:tr>
      <w:tr w:rsidR="00BD4B16" w:rsidRPr="00BD4B16" w14:paraId="6265DC16" w14:textId="77777777" w:rsidTr="00BD4B16">
        <w:tblPrEx>
          <w:tblCellMar>
            <w:left w:w="108" w:type="dxa"/>
            <w:right w:w="108" w:type="dxa"/>
          </w:tblCellMar>
        </w:tblPrEx>
        <w:tc>
          <w:tcPr>
            <w:tcW w:w="1047" w:type="pct"/>
            <w:vAlign w:val="top"/>
          </w:tcPr>
          <w:p w14:paraId="158B9C58" w14:textId="2E8E5886" w:rsidR="00BD4B16" w:rsidRPr="00BD4B16" w:rsidRDefault="00BD4B16" w:rsidP="00BD4B16">
            <w:pPr>
              <w:pStyle w:val="Tabletext"/>
            </w:pPr>
            <w:r w:rsidRPr="00CB5608">
              <w:t>Staff</w:t>
            </w:r>
          </w:p>
        </w:tc>
        <w:tc>
          <w:tcPr>
            <w:tcW w:w="1184" w:type="pct"/>
            <w:vAlign w:val="top"/>
          </w:tcPr>
          <w:p w14:paraId="27F99691" w14:textId="25E6E1CD" w:rsidR="00BD4B16" w:rsidRPr="00BD4B16" w:rsidRDefault="00BD4B16" w:rsidP="00BD4B16">
            <w:pPr>
              <w:pStyle w:val="Tabletext"/>
            </w:pPr>
            <w:r w:rsidRPr="00CB5608">
              <w:t>10-24</w:t>
            </w:r>
          </w:p>
        </w:tc>
        <w:tc>
          <w:tcPr>
            <w:tcW w:w="1384" w:type="pct"/>
            <w:vAlign w:val="top"/>
          </w:tcPr>
          <w:p w14:paraId="2D11EDCD" w14:textId="36E74DEA" w:rsidR="00BD4B16" w:rsidRPr="00BD4B16" w:rsidRDefault="00BD4B16" w:rsidP="00BD4B16">
            <w:pPr>
              <w:pStyle w:val="Tabletext"/>
              <w:jc w:val="right"/>
            </w:pPr>
            <w:r w:rsidRPr="00D31FFA">
              <w:t>4.6%</w:t>
            </w:r>
          </w:p>
        </w:tc>
        <w:tc>
          <w:tcPr>
            <w:tcW w:w="1384" w:type="pct"/>
            <w:vAlign w:val="top"/>
          </w:tcPr>
          <w:p w14:paraId="23DCA2FF" w14:textId="4018E5C3" w:rsidR="00BD4B16" w:rsidRPr="00BD4B16" w:rsidRDefault="00BD4B16" w:rsidP="00BD4B16">
            <w:pPr>
              <w:pStyle w:val="Tabletext"/>
              <w:jc w:val="right"/>
            </w:pPr>
            <w:r w:rsidRPr="006202DC">
              <w:t>2.4%</w:t>
            </w:r>
          </w:p>
        </w:tc>
      </w:tr>
      <w:tr w:rsidR="00BD4B16" w:rsidRPr="00BD4B16" w14:paraId="19C22F0D"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78B934D2" w14:textId="25713623" w:rsidR="00BD4B16" w:rsidRPr="00BD4B16" w:rsidRDefault="00BD4B16" w:rsidP="00BD4B16">
            <w:pPr>
              <w:pStyle w:val="Tabletext"/>
            </w:pPr>
            <w:r w:rsidRPr="00CB5608">
              <w:t>Staff</w:t>
            </w:r>
          </w:p>
        </w:tc>
        <w:tc>
          <w:tcPr>
            <w:tcW w:w="1184" w:type="pct"/>
            <w:vAlign w:val="top"/>
          </w:tcPr>
          <w:p w14:paraId="742C4DA7" w14:textId="0336AD31" w:rsidR="00BD4B16" w:rsidRPr="00BD4B16" w:rsidRDefault="00BD4B16" w:rsidP="00BD4B16">
            <w:pPr>
              <w:pStyle w:val="Tabletext"/>
            </w:pPr>
            <w:r w:rsidRPr="00CB5608">
              <w:t>25-49</w:t>
            </w:r>
          </w:p>
        </w:tc>
        <w:tc>
          <w:tcPr>
            <w:tcW w:w="1384" w:type="pct"/>
            <w:vAlign w:val="top"/>
          </w:tcPr>
          <w:p w14:paraId="62ABF920" w14:textId="62A4CDE4" w:rsidR="00BD4B16" w:rsidRPr="00BD4B16" w:rsidRDefault="00BD4B16" w:rsidP="00BD4B16">
            <w:pPr>
              <w:pStyle w:val="Tabletext"/>
              <w:jc w:val="right"/>
            </w:pPr>
            <w:r w:rsidRPr="00D31FFA">
              <w:t>4.9%</w:t>
            </w:r>
          </w:p>
        </w:tc>
        <w:tc>
          <w:tcPr>
            <w:tcW w:w="1384" w:type="pct"/>
            <w:vAlign w:val="top"/>
          </w:tcPr>
          <w:p w14:paraId="7A812B65" w14:textId="16333D9D" w:rsidR="00BD4B16" w:rsidRPr="00BD4B16" w:rsidRDefault="00BD4B16" w:rsidP="00BD4B16">
            <w:pPr>
              <w:pStyle w:val="Tabletext"/>
              <w:jc w:val="right"/>
            </w:pPr>
            <w:r w:rsidRPr="006202DC">
              <w:t>2.4%</w:t>
            </w:r>
          </w:p>
        </w:tc>
      </w:tr>
      <w:tr w:rsidR="00BD4B16" w:rsidRPr="00BD4B16" w14:paraId="4413F0C6" w14:textId="77777777" w:rsidTr="00BD4B16">
        <w:tblPrEx>
          <w:tblCellMar>
            <w:left w:w="108" w:type="dxa"/>
            <w:right w:w="108" w:type="dxa"/>
          </w:tblCellMar>
        </w:tblPrEx>
        <w:tc>
          <w:tcPr>
            <w:tcW w:w="1047" w:type="pct"/>
            <w:vAlign w:val="top"/>
          </w:tcPr>
          <w:p w14:paraId="41AEAA99" w14:textId="639EE76C" w:rsidR="00BD4B16" w:rsidRPr="00BD4B16" w:rsidRDefault="00BD4B16" w:rsidP="00BD4B16">
            <w:pPr>
              <w:pStyle w:val="Tabletext"/>
            </w:pPr>
            <w:r w:rsidRPr="00CB5608">
              <w:t>Staff</w:t>
            </w:r>
          </w:p>
        </w:tc>
        <w:tc>
          <w:tcPr>
            <w:tcW w:w="1184" w:type="pct"/>
            <w:vAlign w:val="top"/>
          </w:tcPr>
          <w:p w14:paraId="64D385BF" w14:textId="62210409" w:rsidR="00BD4B16" w:rsidRPr="00BD4B16" w:rsidRDefault="00BD4B16" w:rsidP="00BD4B16">
            <w:pPr>
              <w:pStyle w:val="Tabletext"/>
            </w:pPr>
            <w:r w:rsidRPr="00CB5608">
              <w:t>50+</w:t>
            </w:r>
          </w:p>
        </w:tc>
        <w:tc>
          <w:tcPr>
            <w:tcW w:w="1384" w:type="pct"/>
            <w:vAlign w:val="top"/>
          </w:tcPr>
          <w:p w14:paraId="21BEEC3F" w14:textId="677B9365" w:rsidR="00BD4B16" w:rsidRPr="00BD4B16" w:rsidRDefault="00BD4B16" w:rsidP="00BD4B16">
            <w:pPr>
              <w:pStyle w:val="Tabletext"/>
              <w:jc w:val="right"/>
            </w:pPr>
            <w:r w:rsidRPr="00D31FFA">
              <w:t>4.8%</w:t>
            </w:r>
          </w:p>
        </w:tc>
        <w:tc>
          <w:tcPr>
            <w:tcW w:w="1384" w:type="pct"/>
            <w:vAlign w:val="top"/>
          </w:tcPr>
          <w:p w14:paraId="3479EA07" w14:textId="46CF665C" w:rsidR="00BD4B16" w:rsidRPr="00BD4B16" w:rsidRDefault="00BD4B16" w:rsidP="00BD4B16">
            <w:pPr>
              <w:pStyle w:val="Tabletext"/>
              <w:jc w:val="right"/>
            </w:pPr>
            <w:r w:rsidRPr="006202DC">
              <w:t>0.6%</w:t>
            </w:r>
          </w:p>
        </w:tc>
      </w:tr>
      <w:tr w:rsidR="00BD4B16" w:rsidRPr="00BD4B16" w14:paraId="70A0C558"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4C08BACA" w14:textId="27A4AA08" w:rsidR="00BD4B16" w:rsidRPr="00BD4B16" w:rsidRDefault="00BD4B16" w:rsidP="00BD4B16">
            <w:pPr>
              <w:pStyle w:val="Tabletext"/>
            </w:pPr>
            <w:r w:rsidRPr="00CB5608">
              <w:t>Turnover Growth</w:t>
            </w:r>
          </w:p>
        </w:tc>
        <w:tc>
          <w:tcPr>
            <w:tcW w:w="1184" w:type="pct"/>
            <w:vAlign w:val="top"/>
          </w:tcPr>
          <w:p w14:paraId="05F2AF94" w14:textId="731BC9CC" w:rsidR="00BD4B16" w:rsidRPr="00BD4B16" w:rsidRDefault="00BD4B16" w:rsidP="00BD4B16">
            <w:pPr>
              <w:pStyle w:val="Tabletext"/>
            </w:pPr>
            <w:r w:rsidRPr="00CB5608">
              <w:t>&lt;= -50%</w:t>
            </w:r>
          </w:p>
        </w:tc>
        <w:tc>
          <w:tcPr>
            <w:tcW w:w="1384" w:type="pct"/>
            <w:vAlign w:val="top"/>
          </w:tcPr>
          <w:p w14:paraId="4A466C39" w14:textId="0AD2754B" w:rsidR="00BD4B16" w:rsidRPr="00BD4B16" w:rsidRDefault="00BD4B16" w:rsidP="00BD4B16">
            <w:pPr>
              <w:pStyle w:val="Tabletext"/>
              <w:jc w:val="right"/>
            </w:pPr>
            <w:r w:rsidRPr="00D31FFA">
              <w:t>2.1%</w:t>
            </w:r>
          </w:p>
        </w:tc>
        <w:tc>
          <w:tcPr>
            <w:tcW w:w="1384" w:type="pct"/>
            <w:vAlign w:val="top"/>
          </w:tcPr>
          <w:p w14:paraId="0AB2AE09" w14:textId="1D96A55A" w:rsidR="00BD4B16" w:rsidRPr="00BD4B16" w:rsidRDefault="00BD4B16" w:rsidP="00BD4B16">
            <w:pPr>
              <w:pStyle w:val="Tabletext"/>
              <w:jc w:val="right"/>
            </w:pPr>
            <w:r w:rsidRPr="006202DC">
              <w:t>0.0%</w:t>
            </w:r>
          </w:p>
        </w:tc>
      </w:tr>
      <w:tr w:rsidR="00BD4B16" w:rsidRPr="00BD4B16" w14:paraId="5D0991B8" w14:textId="77777777" w:rsidTr="00BD4B16">
        <w:tblPrEx>
          <w:tblCellMar>
            <w:left w:w="108" w:type="dxa"/>
            <w:right w:w="108" w:type="dxa"/>
          </w:tblCellMar>
        </w:tblPrEx>
        <w:tc>
          <w:tcPr>
            <w:tcW w:w="1047" w:type="pct"/>
            <w:vAlign w:val="top"/>
          </w:tcPr>
          <w:p w14:paraId="2A926B1E" w14:textId="0C198F99" w:rsidR="00BD4B16" w:rsidRPr="00BD4B16" w:rsidRDefault="00BD4B16" w:rsidP="00BD4B16">
            <w:pPr>
              <w:pStyle w:val="Tabletext"/>
            </w:pPr>
            <w:r w:rsidRPr="00CB5608">
              <w:t>Turnover Growth</w:t>
            </w:r>
          </w:p>
        </w:tc>
        <w:tc>
          <w:tcPr>
            <w:tcW w:w="1184" w:type="pct"/>
            <w:vAlign w:val="top"/>
          </w:tcPr>
          <w:p w14:paraId="4E2422D5" w14:textId="4BA6970E" w:rsidR="00BD4B16" w:rsidRPr="00BD4B16" w:rsidRDefault="00BD4B16" w:rsidP="00BD4B16">
            <w:pPr>
              <w:pStyle w:val="Tabletext"/>
            </w:pPr>
            <w:r w:rsidRPr="00CB5608">
              <w:t>&gt;-50% but less than -20%</w:t>
            </w:r>
          </w:p>
        </w:tc>
        <w:tc>
          <w:tcPr>
            <w:tcW w:w="1384" w:type="pct"/>
            <w:vAlign w:val="top"/>
          </w:tcPr>
          <w:p w14:paraId="5B59236A" w14:textId="46EA6B6E" w:rsidR="00BD4B16" w:rsidRPr="00BD4B16" w:rsidRDefault="00BD4B16" w:rsidP="00BD4B16">
            <w:pPr>
              <w:pStyle w:val="Tabletext"/>
              <w:jc w:val="right"/>
            </w:pPr>
            <w:r w:rsidRPr="00D31FFA">
              <w:t>5.3%</w:t>
            </w:r>
          </w:p>
        </w:tc>
        <w:tc>
          <w:tcPr>
            <w:tcW w:w="1384" w:type="pct"/>
            <w:vAlign w:val="top"/>
          </w:tcPr>
          <w:p w14:paraId="05B071C7" w14:textId="37521D93" w:rsidR="00BD4B16" w:rsidRPr="00BD4B16" w:rsidRDefault="00BD4B16" w:rsidP="00BD4B16">
            <w:pPr>
              <w:pStyle w:val="Tabletext"/>
              <w:jc w:val="right"/>
            </w:pPr>
            <w:r w:rsidRPr="006202DC">
              <w:t>0.0%</w:t>
            </w:r>
          </w:p>
        </w:tc>
      </w:tr>
      <w:tr w:rsidR="00BD4B16" w:rsidRPr="00BD4B16" w14:paraId="45FEB949"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54CAF626" w14:textId="50FDCFF3" w:rsidR="00BD4B16" w:rsidRPr="00BD4B16" w:rsidRDefault="00BD4B16" w:rsidP="00BD4B16">
            <w:pPr>
              <w:pStyle w:val="Tabletext"/>
            </w:pPr>
            <w:r w:rsidRPr="00CB5608">
              <w:t>Turnover Growth</w:t>
            </w:r>
          </w:p>
        </w:tc>
        <w:tc>
          <w:tcPr>
            <w:tcW w:w="1184" w:type="pct"/>
            <w:vAlign w:val="top"/>
          </w:tcPr>
          <w:p w14:paraId="0951ED65" w14:textId="341F6B47" w:rsidR="00BD4B16" w:rsidRPr="00BD4B16" w:rsidRDefault="00BD4B16" w:rsidP="00BD4B16">
            <w:pPr>
              <w:pStyle w:val="Tabletext"/>
              <w:rPr>
                <w:b/>
                <w:bCs/>
              </w:rPr>
            </w:pPr>
            <w:r w:rsidRPr="00CB5608">
              <w:t>&gt;=-20% but less than 0%</w:t>
            </w:r>
          </w:p>
        </w:tc>
        <w:tc>
          <w:tcPr>
            <w:tcW w:w="1384" w:type="pct"/>
            <w:vAlign w:val="top"/>
          </w:tcPr>
          <w:p w14:paraId="270CEA26" w14:textId="2A2822BE" w:rsidR="00BD4B16" w:rsidRPr="00BD4B16" w:rsidRDefault="00BD4B16" w:rsidP="00BD4B16">
            <w:pPr>
              <w:pStyle w:val="Tabletext"/>
              <w:jc w:val="right"/>
            </w:pPr>
            <w:r w:rsidRPr="00D31FFA">
              <w:t>0.1%</w:t>
            </w:r>
          </w:p>
        </w:tc>
        <w:tc>
          <w:tcPr>
            <w:tcW w:w="1384" w:type="pct"/>
            <w:vAlign w:val="top"/>
          </w:tcPr>
          <w:p w14:paraId="357F7EF5" w14:textId="64456CDD" w:rsidR="00BD4B16" w:rsidRPr="00BD4B16" w:rsidRDefault="00BD4B16" w:rsidP="00BD4B16">
            <w:pPr>
              <w:pStyle w:val="Tabletext"/>
              <w:jc w:val="right"/>
            </w:pPr>
            <w:r w:rsidRPr="006202DC">
              <w:t>0.0%</w:t>
            </w:r>
          </w:p>
        </w:tc>
      </w:tr>
      <w:tr w:rsidR="00BD4B16" w:rsidRPr="00BD4B16" w14:paraId="340C656D" w14:textId="77777777" w:rsidTr="00BD4B16">
        <w:tblPrEx>
          <w:tblCellMar>
            <w:left w:w="108" w:type="dxa"/>
            <w:right w:w="108" w:type="dxa"/>
          </w:tblCellMar>
        </w:tblPrEx>
        <w:tc>
          <w:tcPr>
            <w:tcW w:w="1047" w:type="pct"/>
            <w:vAlign w:val="top"/>
          </w:tcPr>
          <w:p w14:paraId="7D05C43F" w14:textId="34636001" w:rsidR="00BD4B16" w:rsidRPr="00BD4B16" w:rsidRDefault="00BD4B16" w:rsidP="00BD4B16">
            <w:pPr>
              <w:pStyle w:val="Tabletext"/>
            </w:pPr>
            <w:r w:rsidRPr="00CB5608">
              <w:t>Turnover Growth</w:t>
            </w:r>
          </w:p>
        </w:tc>
        <w:tc>
          <w:tcPr>
            <w:tcW w:w="1184" w:type="pct"/>
            <w:vAlign w:val="top"/>
          </w:tcPr>
          <w:p w14:paraId="6146A0D1" w14:textId="6366DEB4" w:rsidR="00BD4B16" w:rsidRPr="00BD4B16" w:rsidRDefault="00BD4B16" w:rsidP="00BD4B16">
            <w:pPr>
              <w:pStyle w:val="Tabletext"/>
            </w:pPr>
            <w:r w:rsidRPr="00CB5608">
              <w:t>0%</w:t>
            </w:r>
          </w:p>
        </w:tc>
        <w:tc>
          <w:tcPr>
            <w:tcW w:w="1384" w:type="pct"/>
            <w:vAlign w:val="top"/>
          </w:tcPr>
          <w:p w14:paraId="6D945C8C" w14:textId="60C9AD4F" w:rsidR="00BD4B16" w:rsidRPr="00BD4B16" w:rsidRDefault="00BD4B16" w:rsidP="00BD4B16">
            <w:pPr>
              <w:pStyle w:val="Tabletext"/>
              <w:jc w:val="right"/>
            </w:pPr>
            <w:r w:rsidRPr="00D31FFA">
              <w:t>11.6%</w:t>
            </w:r>
          </w:p>
        </w:tc>
        <w:tc>
          <w:tcPr>
            <w:tcW w:w="1384" w:type="pct"/>
            <w:vAlign w:val="top"/>
          </w:tcPr>
          <w:p w14:paraId="6FAF52E7" w14:textId="566E39AB" w:rsidR="00BD4B16" w:rsidRPr="00BD4B16" w:rsidRDefault="00BD4B16" w:rsidP="00BD4B16">
            <w:pPr>
              <w:pStyle w:val="Tabletext"/>
              <w:jc w:val="right"/>
            </w:pPr>
            <w:r w:rsidRPr="006202DC">
              <w:t>0.0%</w:t>
            </w:r>
          </w:p>
        </w:tc>
      </w:tr>
      <w:tr w:rsidR="00BD4B16" w:rsidRPr="00BD4B16" w14:paraId="5DBC2E5A"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7AD2F6CB" w14:textId="7C7A7F25" w:rsidR="00BD4B16" w:rsidRPr="00BD4B16" w:rsidRDefault="00BD4B16" w:rsidP="00BD4B16">
            <w:pPr>
              <w:pStyle w:val="Tabletext"/>
            </w:pPr>
            <w:r w:rsidRPr="00CB5608">
              <w:t>Turnover Growth</w:t>
            </w:r>
          </w:p>
        </w:tc>
        <w:tc>
          <w:tcPr>
            <w:tcW w:w="1184" w:type="pct"/>
            <w:vAlign w:val="top"/>
          </w:tcPr>
          <w:p w14:paraId="0A52B1FA" w14:textId="026CB3E5" w:rsidR="00BD4B16" w:rsidRPr="00BD4B16" w:rsidRDefault="00BD4B16" w:rsidP="00BD4B16">
            <w:pPr>
              <w:pStyle w:val="Tabletext"/>
            </w:pPr>
            <w:r w:rsidRPr="00CB5608">
              <w:t>&gt;0% but less than 20%</w:t>
            </w:r>
          </w:p>
        </w:tc>
        <w:tc>
          <w:tcPr>
            <w:tcW w:w="1384" w:type="pct"/>
            <w:vAlign w:val="top"/>
          </w:tcPr>
          <w:p w14:paraId="21826A69" w14:textId="340AAB2F" w:rsidR="00BD4B16" w:rsidRPr="00BD4B16" w:rsidRDefault="00BD4B16" w:rsidP="00BD4B16">
            <w:pPr>
              <w:pStyle w:val="Tabletext"/>
              <w:jc w:val="right"/>
            </w:pPr>
            <w:r w:rsidRPr="00D31FFA">
              <w:t>1.5%</w:t>
            </w:r>
          </w:p>
        </w:tc>
        <w:tc>
          <w:tcPr>
            <w:tcW w:w="1384" w:type="pct"/>
            <w:vAlign w:val="top"/>
          </w:tcPr>
          <w:p w14:paraId="23390687" w14:textId="5DA737BA" w:rsidR="00BD4B16" w:rsidRPr="00BD4B16" w:rsidRDefault="00BD4B16" w:rsidP="00BD4B16">
            <w:pPr>
              <w:pStyle w:val="Tabletext"/>
              <w:jc w:val="right"/>
            </w:pPr>
            <w:r w:rsidRPr="006202DC">
              <w:t>0.0%</w:t>
            </w:r>
          </w:p>
        </w:tc>
      </w:tr>
      <w:tr w:rsidR="00BD4B16" w:rsidRPr="00BD4B16" w14:paraId="3FEC3BF1" w14:textId="77777777" w:rsidTr="00BD4B16">
        <w:tblPrEx>
          <w:tblCellMar>
            <w:left w:w="108" w:type="dxa"/>
            <w:right w:w="108" w:type="dxa"/>
          </w:tblCellMar>
        </w:tblPrEx>
        <w:tc>
          <w:tcPr>
            <w:tcW w:w="1047" w:type="pct"/>
            <w:vAlign w:val="top"/>
          </w:tcPr>
          <w:p w14:paraId="174B0D36" w14:textId="1F3DF8A3" w:rsidR="00BD4B16" w:rsidRPr="00BD4B16" w:rsidRDefault="00BD4B16" w:rsidP="00BD4B16">
            <w:pPr>
              <w:pStyle w:val="Tabletext"/>
            </w:pPr>
            <w:r w:rsidRPr="00CB5608">
              <w:t>Turnover Growth</w:t>
            </w:r>
          </w:p>
        </w:tc>
        <w:tc>
          <w:tcPr>
            <w:tcW w:w="1184" w:type="pct"/>
            <w:vAlign w:val="top"/>
          </w:tcPr>
          <w:p w14:paraId="35469447" w14:textId="277851A5" w:rsidR="00BD4B16" w:rsidRPr="00BD4B16" w:rsidRDefault="00BD4B16" w:rsidP="00BD4B16">
            <w:pPr>
              <w:pStyle w:val="Tabletext"/>
            </w:pPr>
            <w:r w:rsidRPr="00CB5608">
              <w:t>&gt;=20% but less than 50%</w:t>
            </w:r>
          </w:p>
        </w:tc>
        <w:tc>
          <w:tcPr>
            <w:tcW w:w="1384" w:type="pct"/>
            <w:vAlign w:val="top"/>
          </w:tcPr>
          <w:p w14:paraId="6FB34274" w14:textId="1855EABD" w:rsidR="00BD4B16" w:rsidRPr="00BD4B16" w:rsidRDefault="00BD4B16" w:rsidP="00BD4B16">
            <w:pPr>
              <w:pStyle w:val="Tabletext"/>
              <w:jc w:val="right"/>
            </w:pPr>
            <w:r w:rsidRPr="00D31FFA">
              <w:t>2.0%</w:t>
            </w:r>
          </w:p>
        </w:tc>
        <w:tc>
          <w:tcPr>
            <w:tcW w:w="1384" w:type="pct"/>
            <w:vAlign w:val="top"/>
          </w:tcPr>
          <w:p w14:paraId="4B09541A" w14:textId="7311B5E8" w:rsidR="00BD4B16" w:rsidRPr="00BD4B16" w:rsidRDefault="00BD4B16" w:rsidP="00BD4B16">
            <w:pPr>
              <w:pStyle w:val="Tabletext"/>
              <w:jc w:val="right"/>
            </w:pPr>
            <w:r w:rsidRPr="006202DC">
              <w:t>0.0%</w:t>
            </w:r>
          </w:p>
        </w:tc>
      </w:tr>
      <w:tr w:rsidR="00BD4B16" w:rsidRPr="00BD4B16" w14:paraId="19F83EC2"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4C465DD" w14:textId="4DE0FBE9" w:rsidR="00BD4B16" w:rsidRPr="00BD4B16" w:rsidRDefault="00BD4B16" w:rsidP="00BD4B16">
            <w:pPr>
              <w:pStyle w:val="Tabletext"/>
            </w:pPr>
            <w:r w:rsidRPr="00CB5608">
              <w:t>Turnover Growth</w:t>
            </w:r>
          </w:p>
        </w:tc>
        <w:tc>
          <w:tcPr>
            <w:tcW w:w="1184" w:type="pct"/>
            <w:vAlign w:val="top"/>
          </w:tcPr>
          <w:p w14:paraId="5D84BCE7" w14:textId="4B2CF2BC" w:rsidR="00BD4B16" w:rsidRPr="00BD4B16" w:rsidRDefault="00BD4B16" w:rsidP="00BD4B16">
            <w:pPr>
              <w:pStyle w:val="Tabletext"/>
            </w:pPr>
            <w:r w:rsidRPr="00CB5608">
              <w:t>&gt;= 50%</w:t>
            </w:r>
          </w:p>
        </w:tc>
        <w:tc>
          <w:tcPr>
            <w:tcW w:w="1384" w:type="pct"/>
            <w:vAlign w:val="top"/>
          </w:tcPr>
          <w:p w14:paraId="484FE028" w14:textId="331B2522" w:rsidR="00BD4B16" w:rsidRPr="00BD4B16" w:rsidRDefault="00BD4B16" w:rsidP="00BD4B16">
            <w:pPr>
              <w:pStyle w:val="Tabletext"/>
              <w:jc w:val="right"/>
            </w:pPr>
            <w:r w:rsidRPr="00D31FFA">
              <w:t>4.9%</w:t>
            </w:r>
          </w:p>
        </w:tc>
        <w:tc>
          <w:tcPr>
            <w:tcW w:w="1384" w:type="pct"/>
            <w:vAlign w:val="top"/>
          </w:tcPr>
          <w:p w14:paraId="3B572A22" w14:textId="097C6F3C" w:rsidR="00BD4B16" w:rsidRPr="00BD4B16" w:rsidRDefault="00BD4B16" w:rsidP="00BD4B16">
            <w:pPr>
              <w:pStyle w:val="Tabletext"/>
              <w:jc w:val="right"/>
            </w:pPr>
            <w:r w:rsidRPr="006202DC">
              <w:t>0.0%</w:t>
            </w:r>
          </w:p>
        </w:tc>
      </w:tr>
      <w:tr w:rsidR="00BD4B16" w:rsidRPr="00BD4B16" w14:paraId="79191C2C" w14:textId="77777777" w:rsidTr="00BD4B16">
        <w:tblPrEx>
          <w:tblCellMar>
            <w:left w:w="108" w:type="dxa"/>
            <w:right w:w="108" w:type="dxa"/>
          </w:tblCellMar>
        </w:tblPrEx>
        <w:tc>
          <w:tcPr>
            <w:tcW w:w="1047" w:type="pct"/>
            <w:vAlign w:val="top"/>
          </w:tcPr>
          <w:p w14:paraId="638C5B3C" w14:textId="1668EF04" w:rsidR="00BD4B16" w:rsidRPr="00BD4B16" w:rsidRDefault="00BD4B16" w:rsidP="00BD4B16">
            <w:pPr>
              <w:pStyle w:val="Tabletext"/>
            </w:pPr>
            <w:r w:rsidRPr="00CB5608">
              <w:t>Staff Growth</w:t>
            </w:r>
          </w:p>
        </w:tc>
        <w:tc>
          <w:tcPr>
            <w:tcW w:w="1184" w:type="pct"/>
            <w:vAlign w:val="top"/>
          </w:tcPr>
          <w:p w14:paraId="1A9506EF" w14:textId="52A62253" w:rsidR="00BD4B16" w:rsidRPr="00BD4B16" w:rsidRDefault="00BD4B16" w:rsidP="00BD4B16">
            <w:pPr>
              <w:pStyle w:val="Tabletext"/>
            </w:pPr>
            <w:r w:rsidRPr="00CB5608">
              <w:t>Unknown</w:t>
            </w:r>
          </w:p>
        </w:tc>
        <w:tc>
          <w:tcPr>
            <w:tcW w:w="1384" w:type="pct"/>
            <w:vAlign w:val="top"/>
          </w:tcPr>
          <w:p w14:paraId="6237B525" w14:textId="336C6657" w:rsidR="00BD4B16" w:rsidRPr="00BD4B16" w:rsidRDefault="00BD4B16" w:rsidP="00BD4B16">
            <w:pPr>
              <w:pStyle w:val="Tabletext"/>
              <w:jc w:val="right"/>
            </w:pPr>
            <w:r w:rsidRPr="00D31FFA">
              <w:t>0.0%</w:t>
            </w:r>
          </w:p>
        </w:tc>
        <w:tc>
          <w:tcPr>
            <w:tcW w:w="1384" w:type="pct"/>
            <w:vAlign w:val="top"/>
          </w:tcPr>
          <w:p w14:paraId="0E2D40BC" w14:textId="05C3FE48" w:rsidR="00BD4B16" w:rsidRPr="00BD4B16" w:rsidRDefault="00BD4B16" w:rsidP="00BD4B16">
            <w:pPr>
              <w:pStyle w:val="Tabletext"/>
              <w:jc w:val="right"/>
            </w:pPr>
            <w:r w:rsidRPr="006202DC">
              <w:t>0.0%</w:t>
            </w:r>
          </w:p>
        </w:tc>
      </w:tr>
      <w:tr w:rsidR="00BD4B16" w:rsidRPr="00BD4B16" w14:paraId="3EF3DC35"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535AC6CF" w14:textId="4A7FBAFE" w:rsidR="00BD4B16" w:rsidRPr="00BD4B16" w:rsidRDefault="00BD4B16" w:rsidP="00BD4B16">
            <w:pPr>
              <w:pStyle w:val="Tabletext"/>
            </w:pPr>
            <w:r w:rsidRPr="00CB5608">
              <w:t>Staff Growth</w:t>
            </w:r>
          </w:p>
        </w:tc>
        <w:tc>
          <w:tcPr>
            <w:tcW w:w="1184" w:type="pct"/>
            <w:vAlign w:val="top"/>
          </w:tcPr>
          <w:p w14:paraId="5C89D2BB" w14:textId="2135913F" w:rsidR="00BD4B16" w:rsidRPr="00BD4B16" w:rsidRDefault="00BD4B16" w:rsidP="00BD4B16">
            <w:pPr>
              <w:pStyle w:val="Tabletext"/>
            </w:pPr>
            <w:r w:rsidRPr="00CB5608">
              <w:t>&lt;= -20%</w:t>
            </w:r>
          </w:p>
        </w:tc>
        <w:tc>
          <w:tcPr>
            <w:tcW w:w="1384" w:type="pct"/>
            <w:vAlign w:val="top"/>
          </w:tcPr>
          <w:p w14:paraId="2E66407A" w14:textId="609EDB0A" w:rsidR="00BD4B16" w:rsidRPr="00BD4B16" w:rsidRDefault="00BD4B16" w:rsidP="00BD4B16">
            <w:pPr>
              <w:pStyle w:val="Tabletext"/>
              <w:jc w:val="right"/>
            </w:pPr>
            <w:r w:rsidRPr="00D31FFA">
              <w:t>0.2%</w:t>
            </w:r>
          </w:p>
        </w:tc>
        <w:tc>
          <w:tcPr>
            <w:tcW w:w="1384" w:type="pct"/>
            <w:vAlign w:val="top"/>
          </w:tcPr>
          <w:p w14:paraId="23C45B6B" w14:textId="4AFECD72" w:rsidR="00BD4B16" w:rsidRPr="00BD4B16" w:rsidRDefault="00BD4B16" w:rsidP="00BD4B16">
            <w:pPr>
              <w:pStyle w:val="Tabletext"/>
              <w:jc w:val="right"/>
            </w:pPr>
            <w:r w:rsidRPr="006202DC">
              <w:t>1.2%</w:t>
            </w:r>
          </w:p>
        </w:tc>
      </w:tr>
      <w:tr w:rsidR="00BD4B16" w:rsidRPr="00BD4B16" w14:paraId="1FC3605A" w14:textId="77777777" w:rsidTr="00BD4B16">
        <w:tblPrEx>
          <w:tblCellMar>
            <w:left w:w="108" w:type="dxa"/>
            <w:right w:w="108" w:type="dxa"/>
          </w:tblCellMar>
        </w:tblPrEx>
        <w:tc>
          <w:tcPr>
            <w:tcW w:w="1047" w:type="pct"/>
            <w:vAlign w:val="top"/>
          </w:tcPr>
          <w:p w14:paraId="2C53A9E8" w14:textId="1F11D1BD" w:rsidR="00BD4B16" w:rsidRPr="00BD4B16" w:rsidRDefault="00BD4B16" w:rsidP="00BD4B16">
            <w:pPr>
              <w:pStyle w:val="Tabletext"/>
            </w:pPr>
            <w:r w:rsidRPr="00CB5608">
              <w:t>Staff Growth</w:t>
            </w:r>
          </w:p>
        </w:tc>
        <w:tc>
          <w:tcPr>
            <w:tcW w:w="1184" w:type="pct"/>
            <w:vAlign w:val="top"/>
          </w:tcPr>
          <w:p w14:paraId="20A9FC27" w14:textId="09A80DD0" w:rsidR="00BD4B16" w:rsidRPr="00BD4B16" w:rsidRDefault="00BD4B16" w:rsidP="00BD4B16">
            <w:pPr>
              <w:pStyle w:val="Tabletext"/>
            </w:pPr>
            <w:r w:rsidRPr="00CB5608">
              <w:t>&gt;-20% but less than 0%</w:t>
            </w:r>
          </w:p>
        </w:tc>
        <w:tc>
          <w:tcPr>
            <w:tcW w:w="1384" w:type="pct"/>
            <w:vAlign w:val="top"/>
          </w:tcPr>
          <w:p w14:paraId="343B39F6" w14:textId="4945FAC1" w:rsidR="00BD4B16" w:rsidRPr="00BD4B16" w:rsidRDefault="00BD4B16" w:rsidP="00BD4B16">
            <w:pPr>
              <w:pStyle w:val="Tabletext"/>
              <w:jc w:val="right"/>
            </w:pPr>
            <w:r w:rsidRPr="00D31FFA">
              <w:t>2.5%</w:t>
            </w:r>
          </w:p>
        </w:tc>
        <w:tc>
          <w:tcPr>
            <w:tcW w:w="1384" w:type="pct"/>
            <w:vAlign w:val="top"/>
          </w:tcPr>
          <w:p w14:paraId="5F2B6B61" w14:textId="2C1C7E95" w:rsidR="00BD4B16" w:rsidRPr="00BD4B16" w:rsidRDefault="00BD4B16" w:rsidP="00BD4B16">
            <w:pPr>
              <w:pStyle w:val="Tabletext"/>
              <w:jc w:val="right"/>
            </w:pPr>
            <w:r w:rsidRPr="006202DC">
              <w:t>0.6%</w:t>
            </w:r>
          </w:p>
        </w:tc>
      </w:tr>
      <w:tr w:rsidR="00BD4B16" w:rsidRPr="00BD4B16" w14:paraId="68A067B8"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255416B1" w14:textId="0F26A95A" w:rsidR="00BD4B16" w:rsidRPr="00BD4B16" w:rsidRDefault="00BD4B16" w:rsidP="00BD4B16">
            <w:pPr>
              <w:pStyle w:val="Tabletext"/>
            </w:pPr>
            <w:r w:rsidRPr="00CB5608">
              <w:t>Staff Growth</w:t>
            </w:r>
          </w:p>
        </w:tc>
        <w:tc>
          <w:tcPr>
            <w:tcW w:w="1184" w:type="pct"/>
            <w:vAlign w:val="top"/>
          </w:tcPr>
          <w:p w14:paraId="25F74E68" w14:textId="593B8B6E" w:rsidR="00BD4B16" w:rsidRPr="00BD4B16" w:rsidRDefault="00BD4B16" w:rsidP="00BD4B16">
            <w:pPr>
              <w:pStyle w:val="Tabletext"/>
            </w:pPr>
            <w:r w:rsidRPr="00CB5608">
              <w:t>0%</w:t>
            </w:r>
          </w:p>
        </w:tc>
        <w:tc>
          <w:tcPr>
            <w:tcW w:w="1384" w:type="pct"/>
            <w:vAlign w:val="top"/>
          </w:tcPr>
          <w:p w14:paraId="1B87B7E9" w14:textId="1CB19C13" w:rsidR="00BD4B16" w:rsidRPr="00BD4B16" w:rsidRDefault="00BD4B16" w:rsidP="00BD4B16">
            <w:pPr>
              <w:pStyle w:val="Tabletext"/>
              <w:jc w:val="right"/>
            </w:pPr>
            <w:r w:rsidRPr="00D31FFA">
              <w:t>10.1%</w:t>
            </w:r>
          </w:p>
        </w:tc>
        <w:tc>
          <w:tcPr>
            <w:tcW w:w="1384" w:type="pct"/>
            <w:vAlign w:val="top"/>
          </w:tcPr>
          <w:p w14:paraId="40A72E1A" w14:textId="5C30F0BF" w:rsidR="00BD4B16" w:rsidRPr="00BD4B16" w:rsidRDefault="00BD4B16" w:rsidP="00BD4B16">
            <w:pPr>
              <w:pStyle w:val="Tabletext"/>
              <w:jc w:val="right"/>
            </w:pPr>
            <w:r w:rsidRPr="006202DC">
              <w:t>1.8%</w:t>
            </w:r>
          </w:p>
        </w:tc>
      </w:tr>
      <w:tr w:rsidR="00BD4B16" w:rsidRPr="00BD4B16" w14:paraId="205AD7AC" w14:textId="77777777" w:rsidTr="00BD4B16">
        <w:tblPrEx>
          <w:tblCellMar>
            <w:left w:w="108" w:type="dxa"/>
            <w:right w:w="108" w:type="dxa"/>
          </w:tblCellMar>
        </w:tblPrEx>
        <w:tc>
          <w:tcPr>
            <w:tcW w:w="1047" w:type="pct"/>
            <w:vAlign w:val="top"/>
          </w:tcPr>
          <w:p w14:paraId="6CB7FA99" w14:textId="5C60DB78" w:rsidR="00BD4B16" w:rsidRPr="00BD4B16" w:rsidRDefault="00BD4B16" w:rsidP="00BD4B16">
            <w:pPr>
              <w:pStyle w:val="Tabletext"/>
            </w:pPr>
            <w:r w:rsidRPr="00CB5608">
              <w:t>Staff Growth</w:t>
            </w:r>
          </w:p>
        </w:tc>
        <w:tc>
          <w:tcPr>
            <w:tcW w:w="1184" w:type="pct"/>
            <w:vAlign w:val="top"/>
          </w:tcPr>
          <w:p w14:paraId="6915A9FA" w14:textId="0AD062A3" w:rsidR="00BD4B16" w:rsidRPr="00BD4B16" w:rsidRDefault="00BD4B16" w:rsidP="00BD4B16">
            <w:pPr>
              <w:pStyle w:val="Tabletext"/>
            </w:pPr>
            <w:r w:rsidRPr="00CB5608">
              <w:t>&gt;0% but less than 20%</w:t>
            </w:r>
          </w:p>
        </w:tc>
        <w:tc>
          <w:tcPr>
            <w:tcW w:w="1384" w:type="pct"/>
            <w:vAlign w:val="top"/>
          </w:tcPr>
          <w:p w14:paraId="7F26D952" w14:textId="64BD5633" w:rsidR="00BD4B16" w:rsidRPr="00BD4B16" w:rsidRDefault="00BD4B16" w:rsidP="00BD4B16">
            <w:pPr>
              <w:pStyle w:val="Tabletext"/>
              <w:jc w:val="right"/>
            </w:pPr>
            <w:r w:rsidRPr="00D31FFA">
              <w:t>1.2%</w:t>
            </w:r>
          </w:p>
        </w:tc>
        <w:tc>
          <w:tcPr>
            <w:tcW w:w="1384" w:type="pct"/>
            <w:vAlign w:val="top"/>
          </w:tcPr>
          <w:p w14:paraId="106C2883" w14:textId="5C90A853" w:rsidR="00BD4B16" w:rsidRPr="00BD4B16" w:rsidRDefault="00BD4B16" w:rsidP="00BD4B16">
            <w:pPr>
              <w:pStyle w:val="Tabletext"/>
              <w:jc w:val="right"/>
            </w:pPr>
            <w:r w:rsidRPr="006202DC">
              <w:t>1.8%</w:t>
            </w:r>
          </w:p>
        </w:tc>
      </w:tr>
      <w:tr w:rsidR="00BD4B16" w:rsidRPr="00BD4B16" w14:paraId="419E487B"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5810B028" w14:textId="7764CB19" w:rsidR="00BD4B16" w:rsidRPr="00BD4B16" w:rsidRDefault="00BD4B16" w:rsidP="00BD4B16">
            <w:pPr>
              <w:pStyle w:val="Tabletext"/>
            </w:pPr>
            <w:r w:rsidRPr="00CB5608">
              <w:t>Staff Growth</w:t>
            </w:r>
          </w:p>
        </w:tc>
        <w:tc>
          <w:tcPr>
            <w:tcW w:w="1184" w:type="pct"/>
            <w:vAlign w:val="top"/>
          </w:tcPr>
          <w:p w14:paraId="1342E419" w14:textId="70D06DA6" w:rsidR="00BD4B16" w:rsidRPr="00BD4B16" w:rsidRDefault="00BD4B16" w:rsidP="00BD4B16">
            <w:pPr>
              <w:pStyle w:val="Tabletext"/>
            </w:pPr>
            <w:r w:rsidRPr="00CB5608">
              <w:t>&gt;=20% but less than 50%</w:t>
            </w:r>
          </w:p>
        </w:tc>
        <w:tc>
          <w:tcPr>
            <w:tcW w:w="1384" w:type="pct"/>
            <w:vAlign w:val="top"/>
          </w:tcPr>
          <w:p w14:paraId="08354656" w14:textId="4EA0BF70" w:rsidR="00BD4B16" w:rsidRPr="00BD4B16" w:rsidRDefault="00BD4B16" w:rsidP="00BD4B16">
            <w:pPr>
              <w:pStyle w:val="Tabletext"/>
              <w:jc w:val="right"/>
            </w:pPr>
            <w:r w:rsidRPr="00D31FFA">
              <w:t>1.2%</w:t>
            </w:r>
          </w:p>
        </w:tc>
        <w:tc>
          <w:tcPr>
            <w:tcW w:w="1384" w:type="pct"/>
            <w:vAlign w:val="top"/>
          </w:tcPr>
          <w:p w14:paraId="7ED80E01" w14:textId="3496694C" w:rsidR="00BD4B16" w:rsidRPr="00BD4B16" w:rsidRDefault="00BD4B16" w:rsidP="00BD4B16">
            <w:pPr>
              <w:pStyle w:val="Tabletext"/>
              <w:jc w:val="right"/>
            </w:pPr>
            <w:r w:rsidRPr="006202DC">
              <w:t>8.5%</w:t>
            </w:r>
          </w:p>
        </w:tc>
      </w:tr>
      <w:tr w:rsidR="00BD4B16" w:rsidRPr="00BD4B16" w14:paraId="2E3493E3" w14:textId="77777777" w:rsidTr="00BD4B16">
        <w:tblPrEx>
          <w:tblCellMar>
            <w:left w:w="108" w:type="dxa"/>
            <w:right w:w="108" w:type="dxa"/>
          </w:tblCellMar>
        </w:tblPrEx>
        <w:tc>
          <w:tcPr>
            <w:tcW w:w="1047" w:type="pct"/>
            <w:vAlign w:val="top"/>
          </w:tcPr>
          <w:p w14:paraId="704F63EF" w14:textId="070B64FB" w:rsidR="00BD4B16" w:rsidRPr="00BD4B16" w:rsidRDefault="00BD4B16" w:rsidP="00BD4B16">
            <w:pPr>
              <w:pStyle w:val="Tabletext"/>
            </w:pPr>
            <w:r w:rsidRPr="00CB5608">
              <w:t>Staff Growth</w:t>
            </w:r>
          </w:p>
        </w:tc>
        <w:tc>
          <w:tcPr>
            <w:tcW w:w="1184" w:type="pct"/>
            <w:vAlign w:val="top"/>
          </w:tcPr>
          <w:p w14:paraId="30B9AC14" w14:textId="5B2DA568" w:rsidR="00BD4B16" w:rsidRPr="00BD4B16" w:rsidRDefault="00BD4B16" w:rsidP="00BD4B16">
            <w:pPr>
              <w:pStyle w:val="Tabletext"/>
            </w:pPr>
            <w:r w:rsidRPr="00CB5608">
              <w:t>&gt;= 50%</w:t>
            </w:r>
          </w:p>
        </w:tc>
        <w:tc>
          <w:tcPr>
            <w:tcW w:w="1384" w:type="pct"/>
            <w:vAlign w:val="top"/>
          </w:tcPr>
          <w:p w14:paraId="5E0B569A" w14:textId="07DD0E86" w:rsidR="00BD4B16" w:rsidRPr="00BD4B16" w:rsidRDefault="00BD4B16" w:rsidP="00BD4B16">
            <w:pPr>
              <w:pStyle w:val="Tabletext"/>
              <w:jc w:val="right"/>
            </w:pPr>
            <w:r w:rsidRPr="00D31FFA">
              <w:t>5.4%</w:t>
            </w:r>
          </w:p>
        </w:tc>
        <w:tc>
          <w:tcPr>
            <w:tcW w:w="1384" w:type="pct"/>
            <w:vAlign w:val="top"/>
          </w:tcPr>
          <w:p w14:paraId="74063BE4" w14:textId="095246BB" w:rsidR="00BD4B16" w:rsidRPr="00BD4B16" w:rsidRDefault="00BD4B16" w:rsidP="00BD4B16">
            <w:pPr>
              <w:pStyle w:val="Tabletext"/>
              <w:jc w:val="right"/>
            </w:pPr>
            <w:r w:rsidRPr="006202DC">
              <w:t>3.0%</w:t>
            </w:r>
          </w:p>
        </w:tc>
      </w:tr>
      <w:tr w:rsidR="00BD4B16" w:rsidRPr="00BD4B16" w14:paraId="547BD773"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321A4142" w14:textId="012F77C7" w:rsidR="00BD4B16" w:rsidRPr="00BD4B16" w:rsidRDefault="00BD4B16" w:rsidP="00BD4B16">
            <w:pPr>
              <w:pStyle w:val="Tabletext"/>
            </w:pPr>
            <w:r w:rsidRPr="00CB5608">
              <w:t>Region</w:t>
            </w:r>
          </w:p>
        </w:tc>
        <w:tc>
          <w:tcPr>
            <w:tcW w:w="1184" w:type="pct"/>
            <w:vAlign w:val="top"/>
          </w:tcPr>
          <w:p w14:paraId="344659FE" w14:textId="1512BD7A" w:rsidR="00BD4B16" w:rsidRPr="00BD4B16" w:rsidRDefault="00BD4B16" w:rsidP="00BD4B16">
            <w:pPr>
              <w:pStyle w:val="Tabletext"/>
            </w:pPr>
            <w:r w:rsidRPr="00CB5608">
              <w:t>East Midlands</w:t>
            </w:r>
          </w:p>
        </w:tc>
        <w:tc>
          <w:tcPr>
            <w:tcW w:w="1384" w:type="pct"/>
            <w:vAlign w:val="top"/>
          </w:tcPr>
          <w:p w14:paraId="09F73706" w14:textId="4682CE32" w:rsidR="00BD4B16" w:rsidRPr="00BD4B16" w:rsidRDefault="00BD4B16" w:rsidP="00BD4B16">
            <w:pPr>
              <w:pStyle w:val="Tabletext"/>
              <w:jc w:val="right"/>
            </w:pPr>
            <w:r w:rsidRPr="00D31FFA">
              <w:t>2.1%</w:t>
            </w:r>
          </w:p>
        </w:tc>
        <w:tc>
          <w:tcPr>
            <w:tcW w:w="1384" w:type="pct"/>
            <w:vAlign w:val="top"/>
          </w:tcPr>
          <w:p w14:paraId="6C069B2C" w14:textId="3470174D" w:rsidR="00BD4B16" w:rsidRPr="00BD4B16" w:rsidRDefault="00BD4B16" w:rsidP="00BD4B16">
            <w:pPr>
              <w:pStyle w:val="Tabletext"/>
              <w:jc w:val="right"/>
            </w:pPr>
            <w:r w:rsidRPr="006202DC">
              <w:t>0.6%</w:t>
            </w:r>
          </w:p>
        </w:tc>
      </w:tr>
      <w:tr w:rsidR="00BD4B16" w:rsidRPr="00BD4B16" w14:paraId="07363176" w14:textId="77777777" w:rsidTr="00BD4B16">
        <w:tblPrEx>
          <w:tblCellMar>
            <w:left w:w="108" w:type="dxa"/>
            <w:right w:w="108" w:type="dxa"/>
          </w:tblCellMar>
        </w:tblPrEx>
        <w:tc>
          <w:tcPr>
            <w:tcW w:w="1047" w:type="pct"/>
            <w:vAlign w:val="top"/>
          </w:tcPr>
          <w:p w14:paraId="2E054958" w14:textId="0AFB9CEF" w:rsidR="00BD4B16" w:rsidRPr="00BD4B16" w:rsidRDefault="00BD4B16" w:rsidP="00BD4B16">
            <w:pPr>
              <w:pStyle w:val="Tabletext"/>
            </w:pPr>
            <w:r w:rsidRPr="00CB5608">
              <w:t>Region</w:t>
            </w:r>
          </w:p>
        </w:tc>
        <w:tc>
          <w:tcPr>
            <w:tcW w:w="1184" w:type="pct"/>
            <w:vAlign w:val="top"/>
          </w:tcPr>
          <w:p w14:paraId="1BDB8465" w14:textId="71C030DC" w:rsidR="00BD4B16" w:rsidRPr="00BD4B16" w:rsidRDefault="00BD4B16" w:rsidP="00BD4B16">
            <w:pPr>
              <w:pStyle w:val="Tabletext"/>
            </w:pPr>
            <w:r w:rsidRPr="00CB5608">
              <w:t>East of England</w:t>
            </w:r>
          </w:p>
        </w:tc>
        <w:tc>
          <w:tcPr>
            <w:tcW w:w="1384" w:type="pct"/>
            <w:vAlign w:val="top"/>
          </w:tcPr>
          <w:p w14:paraId="4F72DED9" w14:textId="232D31C0" w:rsidR="00BD4B16" w:rsidRPr="00BD4B16" w:rsidRDefault="00BD4B16" w:rsidP="00BD4B16">
            <w:pPr>
              <w:pStyle w:val="Tabletext"/>
              <w:jc w:val="right"/>
            </w:pPr>
            <w:r w:rsidRPr="00D31FFA">
              <w:t>0.3%</w:t>
            </w:r>
          </w:p>
        </w:tc>
        <w:tc>
          <w:tcPr>
            <w:tcW w:w="1384" w:type="pct"/>
            <w:vAlign w:val="top"/>
          </w:tcPr>
          <w:p w14:paraId="04DC019A" w14:textId="4B3AB49F" w:rsidR="00BD4B16" w:rsidRPr="00BD4B16" w:rsidRDefault="00BD4B16" w:rsidP="00BD4B16">
            <w:pPr>
              <w:pStyle w:val="Tabletext"/>
              <w:jc w:val="right"/>
            </w:pPr>
            <w:r w:rsidRPr="006202DC">
              <w:t>3.6%</w:t>
            </w:r>
          </w:p>
        </w:tc>
      </w:tr>
      <w:tr w:rsidR="00BD4B16" w:rsidRPr="00BD4B16" w14:paraId="302476B6"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45143E67" w14:textId="751F5AAC" w:rsidR="00BD4B16" w:rsidRPr="00BD4B16" w:rsidRDefault="00BD4B16" w:rsidP="00BD4B16">
            <w:pPr>
              <w:pStyle w:val="Tabletext"/>
            </w:pPr>
            <w:r w:rsidRPr="00CB5608">
              <w:t>Region</w:t>
            </w:r>
          </w:p>
        </w:tc>
        <w:tc>
          <w:tcPr>
            <w:tcW w:w="1184" w:type="pct"/>
            <w:vAlign w:val="top"/>
          </w:tcPr>
          <w:p w14:paraId="34AADAA6" w14:textId="4EE66C8C" w:rsidR="00BD4B16" w:rsidRPr="00BD4B16" w:rsidRDefault="00BD4B16" w:rsidP="00BD4B16">
            <w:pPr>
              <w:pStyle w:val="Tabletext"/>
            </w:pPr>
            <w:r w:rsidRPr="00CB5608">
              <w:t>West Midlands</w:t>
            </w:r>
          </w:p>
        </w:tc>
        <w:tc>
          <w:tcPr>
            <w:tcW w:w="1384" w:type="pct"/>
            <w:vAlign w:val="top"/>
          </w:tcPr>
          <w:p w14:paraId="1992D4FE" w14:textId="17DA6792" w:rsidR="00BD4B16" w:rsidRPr="00BD4B16" w:rsidRDefault="00BD4B16" w:rsidP="00BD4B16">
            <w:pPr>
              <w:pStyle w:val="Tabletext"/>
              <w:jc w:val="right"/>
            </w:pPr>
            <w:r w:rsidRPr="00D31FFA">
              <w:t>0.2%</w:t>
            </w:r>
          </w:p>
        </w:tc>
        <w:tc>
          <w:tcPr>
            <w:tcW w:w="1384" w:type="pct"/>
            <w:vAlign w:val="top"/>
          </w:tcPr>
          <w:p w14:paraId="3101E114" w14:textId="263014D3" w:rsidR="00BD4B16" w:rsidRPr="00BD4B16" w:rsidRDefault="00BD4B16" w:rsidP="00BD4B16">
            <w:pPr>
              <w:pStyle w:val="Tabletext"/>
              <w:jc w:val="right"/>
            </w:pPr>
            <w:r w:rsidRPr="006202DC">
              <w:t>1.8%</w:t>
            </w:r>
          </w:p>
        </w:tc>
      </w:tr>
      <w:tr w:rsidR="00BD4B16" w:rsidRPr="00BD4B16" w14:paraId="17DB5074" w14:textId="77777777" w:rsidTr="00BD4B16">
        <w:tblPrEx>
          <w:tblCellMar>
            <w:left w:w="108" w:type="dxa"/>
            <w:right w:w="108" w:type="dxa"/>
          </w:tblCellMar>
        </w:tblPrEx>
        <w:tc>
          <w:tcPr>
            <w:tcW w:w="1047" w:type="pct"/>
            <w:vAlign w:val="top"/>
          </w:tcPr>
          <w:p w14:paraId="5A9BC3AA" w14:textId="78DF1EA2" w:rsidR="00BD4B16" w:rsidRPr="00BD4B16" w:rsidRDefault="00BD4B16" w:rsidP="00BD4B16">
            <w:pPr>
              <w:pStyle w:val="Tabletext"/>
            </w:pPr>
            <w:r w:rsidRPr="00CB5608">
              <w:t>Region</w:t>
            </w:r>
          </w:p>
        </w:tc>
        <w:tc>
          <w:tcPr>
            <w:tcW w:w="1184" w:type="pct"/>
            <w:vAlign w:val="top"/>
          </w:tcPr>
          <w:p w14:paraId="24AE2C06" w14:textId="22A71CA6" w:rsidR="00BD4B16" w:rsidRPr="00BD4B16" w:rsidRDefault="00BD4B16" w:rsidP="00BD4B16">
            <w:pPr>
              <w:pStyle w:val="Tabletext"/>
            </w:pPr>
            <w:r w:rsidRPr="00CB5608">
              <w:t>London</w:t>
            </w:r>
          </w:p>
        </w:tc>
        <w:tc>
          <w:tcPr>
            <w:tcW w:w="1384" w:type="pct"/>
            <w:vAlign w:val="top"/>
          </w:tcPr>
          <w:p w14:paraId="48DB9ECC" w14:textId="30C41732" w:rsidR="00BD4B16" w:rsidRPr="00BD4B16" w:rsidRDefault="00BD4B16" w:rsidP="00BD4B16">
            <w:pPr>
              <w:pStyle w:val="Tabletext"/>
              <w:jc w:val="right"/>
            </w:pPr>
            <w:r w:rsidRPr="00D31FFA">
              <w:t>2.6%</w:t>
            </w:r>
          </w:p>
        </w:tc>
        <w:tc>
          <w:tcPr>
            <w:tcW w:w="1384" w:type="pct"/>
            <w:vAlign w:val="top"/>
          </w:tcPr>
          <w:p w14:paraId="2C67CFED" w14:textId="1D9BAD0F" w:rsidR="00BD4B16" w:rsidRPr="00BD4B16" w:rsidRDefault="00BD4B16" w:rsidP="00BD4B16">
            <w:pPr>
              <w:pStyle w:val="Tabletext"/>
              <w:jc w:val="right"/>
            </w:pPr>
            <w:r w:rsidRPr="006202DC">
              <w:t>3.6%</w:t>
            </w:r>
          </w:p>
        </w:tc>
      </w:tr>
      <w:tr w:rsidR="00BD4B16" w:rsidRPr="00BD4B16" w14:paraId="189AB4E2"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1B38A09F" w14:textId="0002C016" w:rsidR="00BD4B16" w:rsidRPr="00BD4B16" w:rsidRDefault="00BD4B16" w:rsidP="00BD4B16">
            <w:pPr>
              <w:pStyle w:val="Tabletext"/>
            </w:pPr>
            <w:r w:rsidRPr="00CB5608">
              <w:t>Region</w:t>
            </w:r>
          </w:p>
        </w:tc>
        <w:tc>
          <w:tcPr>
            <w:tcW w:w="1184" w:type="pct"/>
            <w:vAlign w:val="top"/>
          </w:tcPr>
          <w:p w14:paraId="6676B7DF" w14:textId="048FACD1" w:rsidR="00BD4B16" w:rsidRPr="00BD4B16" w:rsidRDefault="00BD4B16" w:rsidP="00BD4B16">
            <w:pPr>
              <w:pStyle w:val="Tabletext"/>
            </w:pPr>
            <w:r w:rsidRPr="00CB5608">
              <w:t>North East</w:t>
            </w:r>
          </w:p>
        </w:tc>
        <w:tc>
          <w:tcPr>
            <w:tcW w:w="1384" w:type="pct"/>
            <w:vAlign w:val="top"/>
          </w:tcPr>
          <w:p w14:paraId="7378C41E" w14:textId="6DBA93C1" w:rsidR="00BD4B16" w:rsidRPr="00BD4B16" w:rsidRDefault="00BD4B16" w:rsidP="00BD4B16">
            <w:pPr>
              <w:pStyle w:val="Tabletext"/>
              <w:jc w:val="right"/>
            </w:pPr>
            <w:r w:rsidRPr="00D31FFA">
              <w:t>1.3%</w:t>
            </w:r>
          </w:p>
        </w:tc>
        <w:tc>
          <w:tcPr>
            <w:tcW w:w="1384" w:type="pct"/>
            <w:vAlign w:val="top"/>
          </w:tcPr>
          <w:p w14:paraId="7B08B87E" w14:textId="784ADA15" w:rsidR="00BD4B16" w:rsidRPr="00BD4B16" w:rsidRDefault="00BD4B16" w:rsidP="00BD4B16">
            <w:pPr>
              <w:pStyle w:val="Tabletext"/>
              <w:jc w:val="right"/>
            </w:pPr>
            <w:r w:rsidRPr="006202DC">
              <w:t>3.0%</w:t>
            </w:r>
          </w:p>
        </w:tc>
      </w:tr>
      <w:tr w:rsidR="00BD4B16" w:rsidRPr="00BD4B16" w14:paraId="4A05745B" w14:textId="77777777" w:rsidTr="00BD4B16">
        <w:tblPrEx>
          <w:tblCellMar>
            <w:left w:w="108" w:type="dxa"/>
            <w:right w:w="108" w:type="dxa"/>
          </w:tblCellMar>
        </w:tblPrEx>
        <w:tc>
          <w:tcPr>
            <w:tcW w:w="1047" w:type="pct"/>
            <w:vAlign w:val="top"/>
          </w:tcPr>
          <w:p w14:paraId="021A065E" w14:textId="16E57079" w:rsidR="00BD4B16" w:rsidRPr="00BD4B16" w:rsidRDefault="00BD4B16" w:rsidP="00BD4B16">
            <w:pPr>
              <w:pStyle w:val="Tabletext"/>
            </w:pPr>
            <w:r w:rsidRPr="00CB5608">
              <w:t>Region</w:t>
            </w:r>
          </w:p>
        </w:tc>
        <w:tc>
          <w:tcPr>
            <w:tcW w:w="1184" w:type="pct"/>
            <w:vAlign w:val="top"/>
          </w:tcPr>
          <w:p w14:paraId="3B72E378" w14:textId="7B188926" w:rsidR="00BD4B16" w:rsidRPr="00BD4B16" w:rsidRDefault="00BD4B16" w:rsidP="00BD4B16">
            <w:pPr>
              <w:pStyle w:val="Tabletext"/>
            </w:pPr>
            <w:r w:rsidRPr="00CB5608">
              <w:t>North West</w:t>
            </w:r>
          </w:p>
        </w:tc>
        <w:tc>
          <w:tcPr>
            <w:tcW w:w="1384" w:type="pct"/>
            <w:vAlign w:val="top"/>
          </w:tcPr>
          <w:p w14:paraId="418D4997" w14:textId="29C354F7" w:rsidR="00BD4B16" w:rsidRPr="00BD4B16" w:rsidRDefault="00BD4B16" w:rsidP="00BD4B16">
            <w:pPr>
              <w:pStyle w:val="Tabletext"/>
              <w:jc w:val="right"/>
            </w:pPr>
            <w:r w:rsidRPr="00D31FFA">
              <w:t>1.1%</w:t>
            </w:r>
          </w:p>
        </w:tc>
        <w:tc>
          <w:tcPr>
            <w:tcW w:w="1384" w:type="pct"/>
            <w:vAlign w:val="top"/>
          </w:tcPr>
          <w:p w14:paraId="644CEBE9" w14:textId="6A9D5C53" w:rsidR="00BD4B16" w:rsidRPr="00BD4B16" w:rsidRDefault="00BD4B16" w:rsidP="00BD4B16">
            <w:pPr>
              <w:pStyle w:val="Tabletext"/>
              <w:jc w:val="right"/>
            </w:pPr>
            <w:r w:rsidRPr="006202DC">
              <w:t>4.8%</w:t>
            </w:r>
          </w:p>
        </w:tc>
      </w:tr>
      <w:tr w:rsidR="00BD4B16" w:rsidRPr="00BD4B16" w14:paraId="04A37F71"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5E9594FC" w14:textId="77526A91" w:rsidR="00BD4B16" w:rsidRPr="00BD4B16" w:rsidRDefault="00BD4B16" w:rsidP="00BD4B16">
            <w:pPr>
              <w:pStyle w:val="Tabletext"/>
            </w:pPr>
            <w:r w:rsidRPr="00CB5608">
              <w:t>Region</w:t>
            </w:r>
          </w:p>
        </w:tc>
        <w:tc>
          <w:tcPr>
            <w:tcW w:w="1184" w:type="pct"/>
            <w:vAlign w:val="top"/>
          </w:tcPr>
          <w:p w14:paraId="2B816F06" w14:textId="2FCF2EF1" w:rsidR="00BD4B16" w:rsidRPr="00BD4B16" w:rsidRDefault="00BD4B16" w:rsidP="00BD4B16">
            <w:pPr>
              <w:pStyle w:val="Tabletext"/>
            </w:pPr>
            <w:r w:rsidRPr="00CB5608">
              <w:t>Yorkshire and The Humber</w:t>
            </w:r>
          </w:p>
        </w:tc>
        <w:tc>
          <w:tcPr>
            <w:tcW w:w="1384" w:type="pct"/>
            <w:vAlign w:val="top"/>
          </w:tcPr>
          <w:p w14:paraId="1F8D0D1A" w14:textId="459F5954" w:rsidR="00BD4B16" w:rsidRPr="00BD4B16" w:rsidRDefault="00BD4B16" w:rsidP="00BD4B16">
            <w:pPr>
              <w:pStyle w:val="Tabletext"/>
              <w:jc w:val="right"/>
            </w:pPr>
            <w:r w:rsidRPr="00D31FFA">
              <w:t>1.6%</w:t>
            </w:r>
          </w:p>
        </w:tc>
        <w:tc>
          <w:tcPr>
            <w:tcW w:w="1384" w:type="pct"/>
            <w:vAlign w:val="top"/>
          </w:tcPr>
          <w:p w14:paraId="013C62B6" w14:textId="31EBD05E" w:rsidR="00BD4B16" w:rsidRPr="00BD4B16" w:rsidRDefault="00BD4B16" w:rsidP="00BD4B16">
            <w:pPr>
              <w:pStyle w:val="Tabletext"/>
              <w:jc w:val="right"/>
            </w:pPr>
            <w:r w:rsidRPr="006202DC">
              <w:t>1.2%</w:t>
            </w:r>
          </w:p>
        </w:tc>
      </w:tr>
      <w:tr w:rsidR="00BD4B16" w:rsidRPr="00BD4B16" w14:paraId="0E57CDD6" w14:textId="77777777" w:rsidTr="00BD4B16">
        <w:tblPrEx>
          <w:tblCellMar>
            <w:left w:w="108" w:type="dxa"/>
            <w:right w:w="108" w:type="dxa"/>
          </w:tblCellMar>
        </w:tblPrEx>
        <w:tc>
          <w:tcPr>
            <w:tcW w:w="1047" w:type="pct"/>
            <w:vAlign w:val="top"/>
          </w:tcPr>
          <w:p w14:paraId="0F5CC2AF" w14:textId="3A48AD8A" w:rsidR="00BD4B16" w:rsidRPr="00BD4B16" w:rsidRDefault="00BD4B16" w:rsidP="00BD4B16">
            <w:pPr>
              <w:pStyle w:val="Tabletext"/>
            </w:pPr>
            <w:r w:rsidRPr="00CB5608">
              <w:t>Region</w:t>
            </w:r>
          </w:p>
        </w:tc>
        <w:tc>
          <w:tcPr>
            <w:tcW w:w="1184" w:type="pct"/>
            <w:vAlign w:val="top"/>
          </w:tcPr>
          <w:p w14:paraId="74A56E20" w14:textId="113666BF" w:rsidR="00BD4B16" w:rsidRPr="00BD4B16" w:rsidRDefault="00BD4B16" w:rsidP="00BD4B16">
            <w:pPr>
              <w:pStyle w:val="Tabletext"/>
            </w:pPr>
            <w:r w:rsidRPr="00CB5608">
              <w:t>South East</w:t>
            </w:r>
          </w:p>
        </w:tc>
        <w:tc>
          <w:tcPr>
            <w:tcW w:w="1384" w:type="pct"/>
            <w:vAlign w:val="top"/>
          </w:tcPr>
          <w:p w14:paraId="097EA531" w14:textId="0D32BDF1" w:rsidR="00BD4B16" w:rsidRPr="00BD4B16" w:rsidRDefault="00BD4B16" w:rsidP="00BD4B16">
            <w:pPr>
              <w:pStyle w:val="Tabletext"/>
              <w:jc w:val="right"/>
            </w:pPr>
            <w:r w:rsidRPr="00D31FFA">
              <w:t>7.0%</w:t>
            </w:r>
          </w:p>
        </w:tc>
        <w:tc>
          <w:tcPr>
            <w:tcW w:w="1384" w:type="pct"/>
            <w:vAlign w:val="top"/>
          </w:tcPr>
          <w:p w14:paraId="5A93ED24" w14:textId="3EA5756C" w:rsidR="00BD4B16" w:rsidRPr="00BD4B16" w:rsidRDefault="00BD4B16" w:rsidP="00BD4B16">
            <w:pPr>
              <w:pStyle w:val="Tabletext"/>
              <w:jc w:val="right"/>
            </w:pPr>
            <w:r w:rsidRPr="006202DC">
              <w:t>7.9%</w:t>
            </w:r>
          </w:p>
        </w:tc>
      </w:tr>
      <w:tr w:rsidR="00BD4B16" w:rsidRPr="00BD4B16" w14:paraId="4B100C2E"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4DAF7DB5" w14:textId="6F10582B" w:rsidR="00BD4B16" w:rsidRPr="00BD4B16" w:rsidRDefault="00BD4B16" w:rsidP="00BD4B16">
            <w:pPr>
              <w:pStyle w:val="Tabletext"/>
            </w:pPr>
            <w:r w:rsidRPr="00CB5608">
              <w:t>Region</w:t>
            </w:r>
          </w:p>
        </w:tc>
        <w:tc>
          <w:tcPr>
            <w:tcW w:w="1184" w:type="pct"/>
            <w:vAlign w:val="top"/>
          </w:tcPr>
          <w:p w14:paraId="6076581A" w14:textId="61135EF5" w:rsidR="00BD4B16" w:rsidRPr="00BD4B16" w:rsidRDefault="00BD4B16" w:rsidP="00BD4B16">
            <w:pPr>
              <w:pStyle w:val="Tabletext"/>
            </w:pPr>
            <w:r w:rsidRPr="00CB5608">
              <w:t>South West</w:t>
            </w:r>
          </w:p>
        </w:tc>
        <w:tc>
          <w:tcPr>
            <w:tcW w:w="1384" w:type="pct"/>
            <w:vAlign w:val="top"/>
          </w:tcPr>
          <w:p w14:paraId="371EC4FF" w14:textId="6EAD7288" w:rsidR="00BD4B16" w:rsidRPr="00BD4B16" w:rsidRDefault="00BD4B16" w:rsidP="00BD4B16">
            <w:pPr>
              <w:pStyle w:val="Tabletext"/>
              <w:jc w:val="right"/>
            </w:pPr>
            <w:r w:rsidRPr="00D31FFA">
              <w:t>4.9%</w:t>
            </w:r>
          </w:p>
        </w:tc>
        <w:tc>
          <w:tcPr>
            <w:tcW w:w="1384" w:type="pct"/>
            <w:vAlign w:val="top"/>
          </w:tcPr>
          <w:p w14:paraId="32784587" w14:textId="6C9690D1" w:rsidR="00BD4B16" w:rsidRPr="00BD4B16" w:rsidRDefault="00BD4B16" w:rsidP="00BD4B16">
            <w:pPr>
              <w:pStyle w:val="Tabletext"/>
              <w:jc w:val="right"/>
            </w:pPr>
            <w:r w:rsidRPr="006202DC">
              <w:t>4.8%</w:t>
            </w:r>
          </w:p>
        </w:tc>
      </w:tr>
      <w:tr w:rsidR="00BD4B16" w:rsidRPr="00BD4B16" w14:paraId="4FC0D387" w14:textId="77777777" w:rsidTr="00BD4B16">
        <w:tblPrEx>
          <w:tblCellMar>
            <w:left w:w="108" w:type="dxa"/>
            <w:right w:w="108" w:type="dxa"/>
          </w:tblCellMar>
        </w:tblPrEx>
        <w:tc>
          <w:tcPr>
            <w:tcW w:w="1047" w:type="pct"/>
            <w:vAlign w:val="top"/>
          </w:tcPr>
          <w:p w14:paraId="7D0D4D8C" w14:textId="3F2EC83A" w:rsidR="00BD4B16" w:rsidRPr="00BD4B16" w:rsidRDefault="00BD4B16" w:rsidP="00BD4B16">
            <w:pPr>
              <w:pStyle w:val="Tabletext"/>
            </w:pPr>
            <w:r w:rsidRPr="00CB5608">
              <w:t>Region</w:t>
            </w:r>
          </w:p>
        </w:tc>
        <w:tc>
          <w:tcPr>
            <w:tcW w:w="1184" w:type="pct"/>
            <w:vAlign w:val="top"/>
          </w:tcPr>
          <w:p w14:paraId="0264E54E" w14:textId="00C43024" w:rsidR="00BD4B16" w:rsidRPr="00BD4B16" w:rsidRDefault="00BD4B16" w:rsidP="00BD4B16">
            <w:pPr>
              <w:pStyle w:val="Tabletext"/>
            </w:pPr>
            <w:r w:rsidRPr="00CB5608">
              <w:t>Scotland</w:t>
            </w:r>
          </w:p>
        </w:tc>
        <w:tc>
          <w:tcPr>
            <w:tcW w:w="1384" w:type="pct"/>
            <w:vAlign w:val="top"/>
          </w:tcPr>
          <w:p w14:paraId="73BD951C" w14:textId="0F0FBD27" w:rsidR="00BD4B16" w:rsidRPr="00BD4B16" w:rsidRDefault="00BD4B16" w:rsidP="00BD4B16">
            <w:pPr>
              <w:pStyle w:val="Tabletext"/>
              <w:jc w:val="right"/>
            </w:pPr>
            <w:r w:rsidRPr="00D31FFA">
              <w:t>3.9%</w:t>
            </w:r>
          </w:p>
        </w:tc>
        <w:tc>
          <w:tcPr>
            <w:tcW w:w="1384" w:type="pct"/>
            <w:vAlign w:val="top"/>
          </w:tcPr>
          <w:p w14:paraId="4B0E40B8" w14:textId="673E80EF" w:rsidR="00BD4B16" w:rsidRPr="00BD4B16" w:rsidRDefault="00BD4B16" w:rsidP="00BD4B16">
            <w:pPr>
              <w:pStyle w:val="Tabletext"/>
              <w:jc w:val="right"/>
            </w:pPr>
            <w:r w:rsidRPr="006202DC">
              <w:t>1.8%</w:t>
            </w:r>
          </w:p>
        </w:tc>
      </w:tr>
      <w:tr w:rsidR="00BD4B16" w:rsidRPr="00BD4B16" w14:paraId="58B0C558"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2D3A3CA5" w14:textId="01778B1B" w:rsidR="00BD4B16" w:rsidRPr="00BD4B16" w:rsidRDefault="00BD4B16" w:rsidP="00BD4B16">
            <w:pPr>
              <w:pStyle w:val="Tabletext"/>
            </w:pPr>
            <w:r w:rsidRPr="00CB5608">
              <w:t>Region</w:t>
            </w:r>
          </w:p>
        </w:tc>
        <w:tc>
          <w:tcPr>
            <w:tcW w:w="1184" w:type="pct"/>
            <w:vAlign w:val="top"/>
          </w:tcPr>
          <w:p w14:paraId="2E354050" w14:textId="62203CDC" w:rsidR="00BD4B16" w:rsidRPr="00BD4B16" w:rsidRDefault="00BD4B16" w:rsidP="00BD4B16">
            <w:pPr>
              <w:pStyle w:val="Tabletext"/>
            </w:pPr>
            <w:r w:rsidRPr="00CB5608">
              <w:t>Wales</w:t>
            </w:r>
          </w:p>
        </w:tc>
        <w:tc>
          <w:tcPr>
            <w:tcW w:w="1384" w:type="pct"/>
            <w:vAlign w:val="top"/>
          </w:tcPr>
          <w:p w14:paraId="4BF103A5" w14:textId="69D82A74" w:rsidR="00BD4B16" w:rsidRPr="00BD4B16" w:rsidRDefault="00BD4B16" w:rsidP="00BD4B16">
            <w:pPr>
              <w:pStyle w:val="Tabletext"/>
              <w:jc w:val="right"/>
            </w:pPr>
            <w:r w:rsidRPr="00D31FFA">
              <w:t>1.8%</w:t>
            </w:r>
          </w:p>
        </w:tc>
        <w:tc>
          <w:tcPr>
            <w:tcW w:w="1384" w:type="pct"/>
            <w:vAlign w:val="top"/>
          </w:tcPr>
          <w:p w14:paraId="7825AED3" w14:textId="63E536F3" w:rsidR="00BD4B16" w:rsidRPr="00BD4B16" w:rsidRDefault="00BD4B16" w:rsidP="00BD4B16">
            <w:pPr>
              <w:pStyle w:val="Tabletext"/>
              <w:jc w:val="right"/>
            </w:pPr>
            <w:r w:rsidRPr="006202DC">
              <w:t>0.6%</w:t>
            </w:r>
          </w:p>
        </w:tc>
      </w:tr>
      <w:tr w:rsidR="00BD4B16" w:rsidRPr="00BD4B16" w14:paraId="128E9DFE" w14:textId="77777777" w:rsidTr="00BD4B16">
        <w:tblPrEx>
          <w:tblCellMar>
            <w:left w:w="108" w:type="dxa"/>
            <w:right w:w="108" w:type="dxa"/>
          </w:tblCellMar>
        </w:tblPrEx>
        <w:tc>
          <w:tcPr>
            <w:tcW w:w="1047" w:type="pct"/>
            <w:vAlign w:val="top"/>
          </w:tcPr>
          <w:p w14:paraId="108FA201" w14:textId="09CBB627" w:rsidR="00BD4B16" w:rsidRPr="00BD4B16" w:rsidRDefault="00BD4B16" w:rsidP="00BD4B16">
            <w:pPr>
              <w:pStyle w:val="Tabletext"/>
            </w:pPr>
            <w:r w:rsidRPr="00CB5608">
              <w:t>Region</w:t>
            </w:r>
          </w:p>
        </w:tc>
        <w:tc>
          <w:tcPr>
            <w:tcW w:w="1184" w:type="pct"/>
            <w:vAlign w:val="top"/>
          </w:tcPr>
          <w:p w14:paraId="7146BC74" w14:textId="6717A273" w:rsidR="00BD4B16" w:rsidRPr="00BD4B16" w:rsidRDefault="00BD4B16" w:rsidP="00BD4B16">
            <w:pPr>
              <w:pStyle w:val="Tabletext"/>
            </w:pPr>
            <w:r w:rsidRPr="00CB5608">
              <w:t>Northern Ireland</w:t>
            </w:r>
          </w:p>
        </w:tc>
        <w:tc>
          <w:tcPr>
            <w:tcW w:w="1384" w:type="pct"/>
            <w:vAlign w:val="top"/>
          </w:tcPr>
          <w:p w14:paraId="41B8A1E8" w14:textId="24E18134" w:rsidR="00BD4B16" w:rsidRPr="00BD4B16" w:rsidRDefault="00BD4B16" w:rsidP="00BD4B16">
            <w:pPr>
              <w:pStyle w:val="Tabletext"/>
              <w:jc w:val="right"/>
            </w:pPr>
            <w:r w:rsidRPr="00D31FFA">
              <w:t>0.9%</w:t>
            </w:r>
          </w:p>
        </w:tc>
        <w:tc>
          <w:tcPr>
            <w:tcW w:w="1384" w:type="pct"/>
            <w:vAlign w:val="top"/>
          </w:tcPr>
          <w:p w14:paraId="63280D2F" w14:textId="6B79F838" w:rsidR="00BD4B16" w:rsidRPr="00BD4B16" w:rsidRDefault="00BD4B16" w:rsidP="00BD4B16">
            <w:pPr>
              <w:pStyle w:val="Tabletext"/>
              <w:jc w:val="right"/>
            </w:pPr>
            <w:r w:rsidRPr="006202DC">
              <w:t>0.0%</w:t>
            </w:r>
          </w:p>
        </w:tc>
      </w:tr>
      <w:tr w:rsidR="00BD4B16" w:rsidRPr="000056E7" w14:paraId="4ECE418B"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044FCB8E" w14:textId="10BFFD08" w:rsidR="00BD4B16" w:rsidRPr="00BD4B16" w:rsidRDefault="00BD4B16" w:rsidP="00BD4B16">
            <w:pPr>
              <w:pStyle w:val="Tabletext"/>
            </w:pPr>
            <w:r w:rsidRPr="00CB5608">
              <w:t>Sector</w:t>
            </w:r>
          </w:p>
        </w:tc>
        <w:tc>
          <w:tcPr>
            <w:tcW w:w="1184" w:type="pct"/>
            <w:vAlign w:val="top"/>
          </w:tcPr>
          <w:p w14:paraId="0440B57F" w14:textId="305ADAEC" w:rsidR="00BD4B16" w:rsidRPr="00BD4B16" w:rsidRDefault="00BD4B16" w:rsidP="00BD4B16">
            <w:pPr>
              <w:pStyle w:val="Tabletext"/>
            </w:pPr>
            <w:r w:rsidRPr="00CB5608">
              <w:t>Production</w:t>
            </w:r>
          </w:p>
        </w:tc>
        <w:tc>
          <w:tcPr>
            <w:tcW w:w="1384" w:type="pct"/>
            <w:vAlign w:val="top"/>
          </w:tcPr>
          <w:p w14:paraId="417F7160" w14:textId="7A26724B" w:rsidR="00BD4B16" w:rsidRPr="00BD4B16" w:rsidRDefault="00BD4B16" w:rsidP="00BD4B16">
            <w:pPr>
              <w:pStyle w:val="Tabletext"/>
              <w:jc w:val="right"/>
            </w:pPr>
            <w:r w:rsidRPr="00D31FFA">
              <w:t>3.7%</w:t>
            </w:r>
          </w:p>
        </w:tc>
        <w:tc>
          <w:tcPr>
            <w:tcW w:w="1384" w:type="pct"/>
            <w:vAlign w:val="top"/>
          </w:tcPr>
          <w:p w14:paraId="512D381B" w14:textId="4134646B" w:rsidR="00BD4B16" w:rsidRPr="00BD4B16" w:rsidRDefault="00BD4B16" w:rsidP="00BD4B16">
            <w:pPr>
              <w:pStyle w:val="Tabletext"/>
              <w:jc w:val="right"/>
            </w:pPr>
            <w:r w:rsidRPr="006202DC">
              <w:t>3.0%</w:t>
            </w:r>
          </w:p>
        </w:tc>
      </w:tr>
      <w:tr w:rsidR="00BD4B16" w:rsidRPr="000056E7" w14:paraId="3EEFE3C3" w14:textId="77777777" w:rsidTr="00BD4B16">
        <w:tblPrEx>
          <w:tblCellMar>
            <w:left w:w="108" w:type="dxa"/>
            <w:right w:w="108" w:type="dxa"/>
          </w:tblCellMar>
        </w:tblPrEx>
        <w:tc>
          <w:tcPr>
            <w:tcW w:w="1047" w:type="pct"/>
            <w:vAlign w:val="top"/>
          </w:tcPr>
          <w:p w14:paraId="06DFE412" w14:textId="288D605C" w:rsidR="00BD4B16" w:rsidRPr="00BD4B16" w:rsidRDefault="00BD4B16" w:rsidP="00BD4B16">
            <w:pPr>
              <w:pStyle w:val="Tabletext"/>
            </w:pPr>
            <w:r w:rsidRPr="00CB5608">
              <w:t>Sector</w:t>
            </w:r>
          </w:p>
        </w:tc>
        <w:tc>
          <w:tcPr>
            <w:tcW w:w="1184" w:type="pct"/>
            <w:vAlign w:val="top"/>
          </w:tcPr>
          <w:p w14:paraId="563D3C43" w14:textId="52B66DFB" w:rsidR="00BD4B16" w:rsidRPr="00BD4B16" w:rsidRDefault="00BD4B16" w:rsidP="00BD4B16">
            <w:pPr>
              <w:pStyle w:val="Tabletext"/>
            </w:pPr>
            <w:r w:rsidRPr="00CB5608">
              <w:t>Construction</w:t>
            </w:r>
          </w:p>
        </w:tc>
        <w:tc>
          <w:tcPr>
            <w:tcW w:w="1384" w:type="pct"/>
            <w:vAlign w:val="top"/>
          </w:tcPr>
          <w:p w14:paraId="063DB940" w14:textId="2FFB8F3F" w:rsidR="00BD4B16" w:rsidRPr="00BD4B16" w:rsidRDefault="00BD4B16" w:rsidP="00BD4B16">
            <w:pPr>
              <w:pStyle w:val="Tabletext"/>
              <w:jc w:val="right"/>
            </w:pPr>
            <w:r w:rsidRPr="00D31FFA">
              <w:t>3.0%</w:t>
            </w:r>
          </w:p>
        </w:tc>
        <w:tc>
          <w:tcPr>
            <w:tcW w:w="1384" w:type="pct"/>
            <w:vAlign w:val="top"/>
          </w:tcPr>
          <w:p w14:paraId="08F876BD" w14:textId="11FD4241" w:rsidR="00BD4B16" w:rsidRPr="00BD4B16" w:rsidRDefault="00BD4B16" w:rsidP="00BD4B16">
            <w:pPr>
              <w:pStyle w:val="Tabletext"/>
              <w:jc w:val="right"/>
            </w:pPr>
            <w:r w:rsidRPr="006202DC">
              <w:t>3.0%</w:t>
            </w:r>
          </w:p>
        </w:tc>
      </w:tr>
      <w:tr w:rsidR="00BD4B16" w:rsidRPr="000056E7" w14:paraId="55C68EE0"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14018509" w14:textId="3BA617BE" w:rsidR="00BD4B16" w:rsidRPr="00BD4B16" w:rsidRDefault="00BD4B16" w:rsidP="00BD4B16">
            <w:pPr>
              <w:pStyle w:val="Tabletext"/>
            </w:pPr>
            <w:r w:rsidRPr="00CB5608">
              <w:t>Sector</w:t>
            </w:r>
          </w:p>
        </w:tc>
        <w:tc>
          <w:tcPr>
            <w:tcW w:w="1184" w:type="pct"/>
            <w:vAlign w:val="top"/>
          </w:tcPr>
          <w:p w14:paraId="195971E7" w14:textId="6DE99A87" w:rsidR="00BD4B16" w:rsidRPr="00BD4B16" w:rsidRDefault="00BD4B16" w:rsidP="00BD4B16">
            <w:pPr>
              <w:pStyle w:val="Tabletext"/>
            </w:pPr>
            <w:r w:rsidRPr="00CB5608">
              <w:t>Distribution</w:t>
            </w:r>
          </w:p>
        </w:tc>
        <w:tc>
          <w:tcPr>
            <w:tcW w:w="1384" w:type="pct"/>
            <w:vAlign w:val="top"/>
          </w:tcPr>
          <w:p w14:paraId="17737746" w14:textId="60B34238" w:rsidR="00BD4B16" w:rsidRPr="00BD4B16" w:rsidRDefault="00BD4B16" w:rsidP="00BD4B16">
            <w:pPr>
              <w:pStyle w:val="Tabletext"/>
              <w:jc w:val="right"/>
            </w:pPr>
            <w:r w:rsidRPr="00D31FFA">
              <w:t>2.4%</w:t>
            </w:r>
          </w:p>
        </w:tc>
        <w:tc>
          <w:tcPr>
            <w:tcW w:w="1384" w:type="pct"/>
            <w:vAlign w:val="top"/>
          </w:tcPr>
          <w:p w14:paraId="43B36F6D" w14:textId="3BE361E0" w:rsidR="00BD4B16" w:rsidRPr="00BD4B16" w:rsidRDefault="00BD4B16" w:rsidP="00BD4B16">
            <w:pPr>
              <w:pStyle w:val="Tabletext"/>
              <w:jc w:val="right"/>
            </w:pPr>
            <w:r w:rsidRPr="006202DC">
              <w:t>7.3%</w:t>
            </w:r>
          </w:p>
        </w:tc>
      </w:tr>
      <w:tr w:rsidR="00BD4B16" w:rsidRPr="000056E7" w14:paraId="185C593D" w14:textId="77777777" w:rsidTr="00BD4B16">
        <w:tblPrEx>
          <w:tblCellMar>
            <w:left w:w="108" w:type="dxa"/>
            <w:right w:w="108" w:type="dxa"/>
          </w:tblCellMar>
        </w:tblPrEx>
        <w:tc>
          <w:tcPr>
            <w:tcW w:w="1047" w:type="pct"/>
            <w:vAlign w:val="top"/>
          </w:tcPr>
          <w:p w14:paraId="3D63FEE4" w14:textId="35DA2A53" w:rsidR="00BD4B16" w:rsidRPr="00BD4B16" w:rsidRDefault="00BD4B16" w:rsidP="00BD4B16">
            <w:pPr>
              <w:pStyle w:val="Tabletext"/>
            </w:pPr>
            <w:r w:rsidRPr="00CB5608">
              <w:t>Sector</w:t>
            </w:r>
          </w:p>
        </w:tc>
        <w:tc>
          <w:tcPr>
            <w:tcW w:w="1184" w:type="pct"/>
            <w:vAlign w:val="top"/>
          </w:tcPr>
          <w:p w14:paraId="403650A9" w14:textId="0D96809B" w:rsidR="00BD4B16" w:rsidRPr="00BD4B16" w:rsidRDefault="00BD4B16" w:rsidP="00BD4B16">
            <w:pPr>
              <w:pStyle w:val="Tabletext"/>
            </w:pPr>
            <w:r w:rsidRPr="00CB5608">
              <w:t>Business Services</w:t>
            </w:r>
          </w:p>
        </w:tc>
        <w:tc>
          <w:tcPr>
            <w:tcW w:w="1384" w:type="pct"/>
            <w:vAlign w:val="top"/>
          </w:tcPr>
          <w:p w14:paraId="7EC14971" w14:textId="5800527B" w:rsidR="00BD4B16" w:rsidRPr="00BD4B16" w:rsidRDefault="00BD4B16" w:rsidP="00BD4B16">
            <w:pPr>
              <w:pStyle w:val="Tabletext"/>
              <w:jc w:val="right"/>
            </w:pPr>
            <w:r w:rsidRPr="00D31FFA">
              <w:t>5.7%</w:t>
            </w:r>
          </w:p>
        </w:tc>
        <w:tc>
          <w:tcPr>
            <w:tcW w:w="1384" w:type="pct"/>
            <w:vAlign w:val="top"/>
          </w:tcPr>
          <w:p w14:paraId="582B8363" w14:textId="1D2E92F0" w:rsidR="00BD4B16" w:rsidRPr="00BD4B16" w:rsidRDefault="00BD4B16" w:rsidP="00BD4B16">
            <w:pPr>
              <w:pStyle w:val="Tabletext"/>
              <w:jc w:val="right"/>
            </w:pPr>
            <w:r w:rsidRPr="006202DC">
              <w:t>0.0%</w:t>
            </w:r>
          </w:p>
        </w:tc>
      </w:tr>
      <w:tr w:rsidR="00BD4B16" w:rsidRPr="000056E7" w14:paraId="2F1114B4"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29D83EB2" w14:textId="61D0749A" w:rsidR="00BD4B16" w:rsidRPr="00BD4B16" w:rsidRDefault="00BD4B16" w:rsidP="00BD4B16">
            <w:pPr>
              <w:pStyle w:val="Tabletext"/>
            </w:pPr>
            <w:r w:rsidRPr="00CB5608">
              <w:t>Sector</w:t>
            </w:r>
          </w:p>
        </w:tc>
        <w:tc>
          <w:tcPr>
            <w:tcW w:w="1184" w:type="pct"/>
            <w:vAlign w:val="top"/>
          </w:tcPr>
          <w:p w14:paraId="67E9FBB8" w14:textId="15161DED" w:rsidR="00BD4B16" w:rsidRPr="00BD4B16" w:rsidRDefault="00BD4B16" w:rsidP="00BD4B16">
            <w:pPr>
              <w:pStyle w:val="Tabletext"/>
            </w:pPr>
            <w:r w:rsidRPr="00CB5608">
              <w:t>Other Services</w:t>
            </w:r>
          </w:p>
        </w:tc>
        <w:tc>
          <w:tcPr>
            <w:tcW w:w="1384" w:type="pct"/>
            <w:vAlign w:val="top"/>
          </w:tcPr>
          <w:p w14:paraId="166A9F82" w14:textId="1F69275B" w:rsidR="00BD4B16" w:rsidRPr="00BD4B16" w:rsidRDefault="00BD4B16" w:rsidP="00BD4B16">
            <w:pPr>
              <w:pStyle w:val="Tabletext"/>
              <w:jc w:val="right"/>
            </w:pPr>
            <w:r w:rsidRPr="00D31FFA">
              <w:t>10.0%</w:t>
            </w:r>
          </w:p>
        </w:tc>
        <w:tc>
          <w:tcPr>
            <w:tcW w:w="1384" w:type="pct"/>
            <w:vAlign w:val="top"/>
          </w:tcPr>
          <w:p w14:paraId="1375F3A7" w14:textId="1EC7BC62" w:rsidR="00BD4B16" w:rsidRPr="00BD4B16" w:rsidRDefault="00BD4B16" w:rsidP="00BD4B16">
            <w:pPr>
              <w:pStyle w:val="Tabletext"/>
              <w:jc w:val="right"/>
            </w:pPr>
            <w:r w:rsidRPr="006202DC">
              <w:t>1.2%</w:t>
            </w:r>
          </w:p>
        </w:tc>
      </w:tr>
      <w:tr w:rsidR="00BD4B16" w:rsidRPr="000056E7" w14:paraId="695966D6" w14:textId="77777777" w:rsidTr="00BD4B16">
        <w:tblPrEx>
          <w:tblCellMar>
            <w:left w:w="108" w:type="dxa"/>
            <w:right w:w="108" w:type="dxa"/>
          </w:tblCellMar>
        </w:tblPrEx>
        <w:tc>
          <w:tcPr>
            <w:tcW w:w="1047" w:type="pct"/>
            <w:vAlign w:val="top"/>
          </w:tcPr>
          <w:p w14:paraId="3D53F85C" w14:textId="0C86C8BE" w:rsidR="00BD4B16" w:rsidRPr="00BD4B16" w:rsidRDefault="00BD4B16" w:rsidP="00BD4B16">
            <w:pPr>
              <w:pStyle w:val="Tabletext"/>
            </w:pPr>
            <w:r w:rsidRPr="00CB5608">
              <w:t>Age</w:t>
            </w:r>
          </w:p>
        </w:tc>
        <w:tc>
          <w:tcPr>
            <w:tcW w:w="1184" w:type="pct"/>
            <w:vAlign w:val="top"/>
          </w:tcPr>
          <w:p w14:paraId="596BB963" w14:textId="29CFEAFB" w:rsidR="00BD4B16" w:rsidRPr="00BD4B16" w:rsidRDefault="00BD4B16" w:rsidP="00BD4B16">
            <w:pPr>
              <w:pStyle w:val="Tabletext"/>
            </w:pPr>
            <w:r w:rsidRPr="00CB5608">
              <w:t>9 years or less</w:t>
            </w:r>
          </w:p>
        </w:tc>
        <w:tc>
          <w:tcPr>
            <w:tcW w:w="1384" w:type="pct"/>
            <w:vAlign w:val="top"/>
          </w:tcPr>
          <w:p w14:paraId="14B3EE3F" w14:textId="20178C67" w:rsidR="00BD4B16" w:rsidRPr="00BD4B16" w:rsidRDefault="00BD4B16" w:rsidP="00BD4B16">
            <w:pPr>
              <w:pStyle w:val="Tabletext"/>
              <w:jc w:val="right"/>
            </w:pPr>
            <w:r w:rsidRPr="00D31FFA">
              <w:t>15.3%</w:t>
            </w:r>
          </w:p>
        </w:tc>
        <w:tc>
          <w:tcPr>
            <w:tcW w:w="1384" w:type="pct"/>
            <w:vAlign w:val="top"/>
          </w:tcPr>
          <w:p w14:paraId="55C7B436" w14:textId="6F92C21B" w:rsidR="00BD4B16" w:rsidRPr="00BD4B16" w:rsidRDefault="00BD4B16" w:rsidP="00BD4B16">
            <w:pPr>
              <w:pStyle w:val="Tabletext"/>
              <w:jc w:val="right"/>
            </w:pPr>
            <w:r w:rsidRPr="006202DC">
              <w:t>0.0%</w:t>
            </w:r>
          </w:p>
        </w:tc>
      </w:tr>
      <w:tr w:rsidR="00BD4B16" w:rsidRPr="000056E7" w14:paraId="6704A09D"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25CB1D2D" w14:textId="28765D60" w:rsidR="00BD4B16" w:rsidRPr="00BD4B16" w:rsidRDefault="00BD4B16" w:rsidP="00BD4B16">
            <w:pPr>
              <w:pStyle w:val="Tabletext"/>
            </w:pPr>
            <w:r w:rsidRPr="00CB5608">
              <w:t>Age</w:t>
            </w:r>
          </w:p>
        </w:tc>
        <w:tc>
          <w:tcPr>
            <w:tcW w:w="1184" w:type="pct"/>
            <w:vAlign w:val="top"/>
          </w:tcPr>
          <w:p w14:paraId="7C2AFD5E" w14:textId="5FE8FC92" w:rsidR="00BD4B16" w:rsidRPr="00BD4B16" w:rsidRDefault="00BD4B16" w:rsidP="00BD4B16">
            <w:pPr>
              <w:pStyle w:val="Tabletext"/>
            </w:pPr>
            <w:r w:rsidRPr="00CB5608">
              <w:t>10 to 20 years</w:t>
            </w:r>
          </w:p>
        </w:tc>
        <w:tc>
          <w:tcPr>
            <w:tcW w:w="1384" w:type="pct"/>
            <w:vAlign w:val="top"/>
          </w:tcPr>
          <w:p w14:paraId="1846FDEE" w14:textId="427203B0" w:rsidR="00BD4B16" w:rsidRPr="00BD4B16" w:rsidRDefault="00BD4B16" w:rsidP="00BD4B16">
            <w:pPr>
              <w:pStyle w:val="Tabletext"/>
              <w:jc w:val="right"/>
            </w:pPr>
            <w:r w:rsidRPr="00D31FFA">
              <w:t>8.4%</w:t>
            </w:r>
          </w:p>
        </w:tc>
        <w:tc>
          <w:tcPr>
            <w:tcW w:w="1384" w:type="pct"/>
            <w:vAlign w:val="top"/>
          </w:tcPr>
          <w:p w14:paraId="768853D2" w14:textId="6C2D8316" w:rsidR="00BD4B16" w:rsidRPr="00BD4B16" w:rsidRDefault="00BD4B16" w:rsidP="00BD4B16">
            <w:pPr>
              <w:pStyle w:val="Tabletext"/>
              <w:jc w:val="right"/>
            </w:pPr>
            <w:r w:rsidRPr="006202DC">
              <w:t>8.5%</w:t>
            </w:r>
          </w:p>
        </w:tc>
      </w:tr>
      <w:tr w:rsidR="00BD4B16" w:rsidRPr="000056E7" w14:paraId="52A7BEFD" w14:textId="77777777" w:rsidTr="00BD4B16">
        <w:tblPrEx>
          <w:tblCellMar>
            <w:left w:w="108" w:type="dxa"/>
            <w:right w:w="108" w:type="dxa"/>
          </w:tblCellMar>
        </w:tblPrEx>
        <w:tc>
          <w:tcPr>
            <w:tcW w:w="1047" w:type="pct"/>
            <w:vAlign w:val="top"/>
          </w:tcPr>
          <w:p w14:paraId="379294A8" w14:textId="082E5EEF" w:rsidR="00BD4B16" w:rsidRPr="00BD4B16" w:rsidRDefault="00BD4B16" w:rsidP="00BD4B16">
            <w:pPr>
              <w:pStyle w:val="Tabletext"/>
            </w:pPr>
            <w:r w:rsidRPr="00CB5608">
              <w:t>Age</w:t>
            </w:r>
          </w:p>
        </w:tc>
        <w:tc>
          <w:tcPr>
            <w:tcW w:w="1184" w:type="pct"/>
            <w:vAlign w:val="top"/>
          </w:tcPr>
          <w:p w14:paraId="0D5DC0E9" w14:textId="75FCADE5" w:rsidR="00BD4B16" w:rsidRPr="00BD4B16" w:rsidRDefault="00BD4B16" w:rsidP="00BD4B16">
            <w:pPr>
              <w:pStyle w:val="Tabletext"/>
            </w:pPr>
            <w:r w:rsidRPr="00CB5608">
              <w:t>More than 20 years</w:t>
            </w:r>
          </w:p>
        </w:tc>
        <w:tc>
          <w:tcPr>
            <w:tcW w:w="1384" w:type="pct"/>
            <w:vAlign w:val="top"/>
          </w:tcPr>
          <w:p w14:paraId="60BE4FE2" w14:textId="2B046097" w:rsidR="00BD4B16" w:rsidRPr="00BD4B16" w:rsidRDefault="00BD4B16" w:rsidP="00BD4B16">
            <w:pPr>
              <w:pStyle w:val="Tabletext"/>
              <w:jc w:val="right"/>
            </w:pPr>
            <w:r w:rsidRPr="00D31FFA">
              <w:t>23.7%</w:t>
            </w:r>
          </w:p>
        </w:tc>
        <w:tc>
          <w:tcPr>
            <w:tcW w:w="1384" w:type="pct"/>
            <w:vAlign w:val="top"/>
          </w:tcPr>
          <w:p w14:paraId="000B7582" w14:textId="290AD7CF" w:rsidR="00BD4B16" w:rsidRPr="00BD4B16" w:rsidRDefault="00BD4B16" w:rsidP="00BD4B16">
            <w:pPr>
              <w:pStyle w:val="Tabletext"/>
              <w:jc w:val="right"/>
            </w:pPr>
            <w:r w:rsidRPr="006202DC">
              <w:t>8.5%</w:t>
            </w:r>
          </w:p>
        </w:tc>
      </w:tr>
      <w:tr w:rsidR="00BD4B16" w:rsidRPr="000056E7" w14:paraId="438CAD44" w14:textId="77777777" w:rsidTr="00BD4B1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tcBorders>
              <w:bottom w:val="single" w:sz="4" w:space="0" w:color="0054BA" w:themeColor="accent2"/>
            </w:tcBorders>
            <w:vAlign w:val="top"/>
          </w:tcPr>
          <w:p w14:paraId="7DA04843" w14:textId="2CBB37B6" w:rsidR="00BD4B16" w:rsidRPr="00BD4B16" w:rsidRDefault="00BD4B16" w:rsidP="00BD4B16">
            <w:pPr>
              <w:pStyle w:val="Tabletext"/>
            </w:pPr>
            <w:r w:rsidRPr="00CB5608">
              <w:t>Average</w:t>
            </w:r>
          </w:p>
        </w:tc>
        <w:tc>
          <w:tcPr>
            <w:tcW w:w="1184" w:type="pct"/>
            <w:tcBorders>
              <w:bottom w:val="single" w:sz="4" w:space="0" w:color="0054BA" w:themeColor="accent2"/>
            </w:tcBorders>
            <w:vAlign w:val="top"/>
          </w:tcPr>
          <w:p w14:paraId="09013997" w14:textId="345027D8" w:rsidR="00BD4B16" w:rsidRPr="00BD4B16" w:rsidRDefault="00BD4B16" w:rsidP="00BD4B16">
            <w:pPr>
              <w:pStyle w:val="Tabletext"/>
            </w:pPr>
          </w:p>
        </w:tc>
        <w:tc>
          <w:tcPr>
            <w:tcW w:w="1384" w:type="pct"/>
            <w:tcBorders>
              <w:bottom w:val="single" w:sz="4" w:space="0" w:color="0054BA" w:themeColor="accent2"/>
            </w:tcBorders>
            <w:vAlign w:val="top"/>
          </w:tcPr>
          <w:p w14:paraId="0F0B0417" w14:textId="61FA38AD" w:rsidR="00BD4B16" w:rsidRPr="00BD4B16" w:rsidRDefault="00BD4B16" w:rsidP="00BD4B16">
            <w:pPr>
              <w:pStyle w:val="Tabletext"/>
              <w:jc w:val="right"/>
            </w:pPr>
            <w:r w:rsidRPr="00D31FFA">
              <w:t>6.1%</w:t>
            </w:r>
          </w:p>
        </w:tc>
        <w:tc>
          <w:tcPr>
            <w:tcW w:w="1384" w:type="pct"/>
            <w:tcBorders>
              <w:bottom w:val="single" w:sz="4" w:space="0" w:color="0054BA" w:themeColor="accent2"/>
            </w:tcBorders>
            <w:vAlign w:val="top"/>
          </w:tcPr>
          <w:p w14:paraId="34A89C9B" w14:textId="2005DA92" w:rsidR="00BD4B16" w:rsidRPr="00BD4B16" w:rsidRDefault="00BD4B16" w:rsidP="00BD4B16">
            <w:pPr>
              <w:pStyle w:val="Tabletext"/>
              <w:jc w:val="right"/>
            </w:pPr>
            <w:r w:rsidRPr="006202DC">
              <w:t>2.4%</w:t>
            </w:r>
          </w:p>
        </w:tc>
      </w:tr>
    </w:tbl>
    <w:p w14:paraId="5E862D2D" w14:textId="77777777" w:rsidR="00771D6D" w:rsidRPr="00BD4B16" w:rsidRDefault="00771D6D" w:rsidP="00771D6D">
      <w:pPr>
        <w:pStyle w:val="Caption"/>
      </w:pPr>
      <w:r w:rsidRPr="00BD4B16">
        <w:t>Source: London Economics’ analysis of survey data</w:t>
      </w:r>
    </w:p>
    <w:p w14:paraId="41B9D0DD" w14:textId="5A67B20C" w:rsidR="0071783B" w:rsidRPr="00BD4B16" w:rsidRDefault="0071783B" w:rsidP="000138D1">
      <w:pPr>
        <w:pStyle w:val="Heading5"/>
      </w:pPr>
      <w:bookmarkStart w:id="148" w:name="_Ref92818914"/>
      <w:r w:rsidRPr="00BD4B16">
        <w:t xml:space="preserve">Table </w:t>
      </w:r>
      <w:r>
        <w:fldChar w:fldCharType="begin"/>
      </w:r>
      <w:r>
        <w:instrText xml:space="preserve"> SEQ Table \* ARABIC </w:instrText>
      </w:r>
      <w:r>
        <w:fldChar w:fldCharType="separate"/>
      </w:r>
      <w:r w:rsidR="001525E9">
        <w:rPr>
          <w:noProof/>
        </w:rPr>
        <w:t>29</w:t>
      </w:r>
      <w:r>
        <w:rPr>
          <w:noProof/>
        </w:rPr>
        <w:fldChar w:fldCharType="end"/>
      </w:r>
      <w:bookmarkEnd w:id="148"/>
      <w:r w:rsidRPr="00BD4B16">
        <w:t>: Balance table</w:t>
      </w:r>
      <w:r w:rsidR="00EF2B19" w:rsidRPr="00BD4B16">
        <w:t xml:space="preserve"> </w:t>
      </w:r>
      <w:r w:rsidR="00BD4B16" w:rsidRPr="00BD4B16">
        <w:t>–</w:t>
      </w:r>
      <w:r w:rsidRPr="00BD4B16">
        <w:t xml:space="preserve"> </w:t>
      </w:r>
      <w:r w:rsidR="00BD4B16" w:rsidRPr="00BD4B16">
        <w:t>employment sample</w:t>
      </w:r>
    </w:p>
    <w:tbl>
      <w:tblPr>
        <w:tblStyle w:val="TableGrid"/>
        <w:tblW w:w="5000" w:type="pct"/>
        <w:tblLook w:val="04A0" w:firstRow="1" w:lastRow="0" w:firstColumn="1" w:lastColumn="0" w:noHBand="0" w:noVBand="1"/>
      </w:tblPr>
      <w:tblGrid>
        <w:gridCol w:w="2127"/>
        <w:gridCol w:w="2405"/>
        <w:gridCol w:w="2811"/>
        <w:gridCol w:w="2811"/>
      </w:tblGrid>
      <w:tr w:rsidR="00BD4B16" w:rsidRPr="00BD4B16" w14:paraId="69917897" w14:textId="77777777" w:rsidTr="00AB3D40">
        <w:trPr>
          <w:cnfStyle w:val="100000000000" w:firstRow="1" w:lastRow="0" w:firstColumn="0" w:lastColumn="0" w:oddVBand="0" w:evenVBand="0" w:oddHBand="0" w:evenHBand="0" w:firstRowFirstColumn="0" w:firstRowLastColumn="0" w:lastRowFirstColumn="0" w:lastRowLastColumn="0"/>
          <w:tblHeader/>
        </w:trPr>
        <w:tc>
          <w:tcPr>
            <w:tcW w:w="1047" w:type="pct"/>
            <w:vAlign w:val="center"/>
            <w:hideMark/>
          </w:tcPr>
          <w:p w14:paraId="4D334D5A" w14:textId="77777777" w:rsidR="00BD4B16" w:rsidRPr="00BD4B16" w:rsidRDefault="00BD4B16" w:rsidP="00AB3D40">
            <w:pPr>
              <w:pStyle w:val="Tabletext"/>
              <w:rPr>
                <w:color w:val="FFFFFF" w:themeColor="background1"/>
                <w:sz w:val="21"/>
                <w:szCs w:val="21"/>
                <w:lang w:eastAsia="en-GB"/>
              </w:rPr>
            </w:pPr>
            <w:r w:rsidRPr="00BD4B16">
              <w:rPr>
                <w:color w:val="FFFFFF" w:themeColor="background1"/>
                <w:lang w:eastAsia="en-GB"/>
              </w:rPr>
              <w:t>Characteristic</w:t>
            </w:r>
          </w:p>
        </w:tc>
        <w:tc>
          <w:tcPr>
            <w:tcW w:w="1184" w:type="pct"/>
            <w:vAlign w:val="center"/>
          </w:tcPr>
          <w:p w14:paraId="442B5155" w14:textId="77777777" w:rsidR="00BD4B16" w:rsidRPr="00BD4B16" w:rsidRDefault="00BD4B16" w:rsidP="00AB3D40">
            <w:pPr>
              <w:pStyle w:val="Tabletext"/>
              <w:rPr>
                <w:rFonts w:asciiTheme="minorHAnsi" w:hAnsiTheme="minorHAnsi" w:cstheme="minorHAnsi"/>
                <w:color w:val="FFFFFF" w:themeColor="background1"/>
                <w:szCs w:val="24"/>
                <w:lang w:eastAsia="en-GB"/>
              </w:rPr>
            </w:pPr>
            <w:r w:rsidRPr="00BD4B16">
              <w:rPr>
                <w:rFonts w:asciiTheme="minorHAnsi" w:hAnsiTheme="minorHAnsi" w:cstheme="minorHAnsi"/>
                <w:color w:val="FFFFFF" w:themeColor="background1"/>
                <w:szCs w:val="24"/>
                <w:lang w:eastAsia="en-GB"/>
              </w:rPr>
              <w:t>Feature</w:t>
            </w:r>
          </w:p>
        </w:tc>
        <w:tc>
          <w:tcPr>
            <w:tcW w:w="1384" w:type="pct"/>
            <w:vAlign w:val="center"/>
            <w:hideMark/>
          </w:tcPr>
          <w:p w14:paraId="4CDC0956" w14:textId="77777777" w:rsidR="00BD4B16" w:rsidRPr="00BD4B16" w:rsidRDefault="00BD4B16" w:rsidP="00AB3D40">
            <w:pPr>
              <w:pStyle w:val="Tabletext"/>
              <w:jc w:val="right"/>
              <w:rPr>
                <w:rFonts w:cstheme="minorHAnsi"/>
                <w:b w:val="0"/>
                <w:color w:val="FFFFFF" w:themeColor="background1"/>
                <w:szCs w:val="24"/>
                <w:lang w:eastAsia="en-GB"/>
              </w:rPr>
            </w:pPr>
            <w:r w:rsidRPr="00BD4B16">
              <w:rPr>
                <w:rFonts w:asciiTheme="minorHAnsi" w:hAnsiTheme="minorHAnsi" w:cstheme="minorHAnsi"/>
                <w:color w:val="FFFFFF" w:themeColor="background1"/>
                <w:szCs w:val="24"/>
                <w:lang w:eastAsia="en-GB"/>
              </w:rPr>
              <w:t>Difference in prevalence between treatment and control groups</w:t>
            </w:r>
          </w:p>
          <w:p w14:paraId="305F11D1" w14:textId="77777777" w:rsidR="00BD4B16" w:rsidRPr="00BD4B16" w:rsidRDefault="00BD4B16" w:rsidP="00AB3D40">
            <w:pPr>
              <w:pStyle w:val="Tabletext"/>
              <w:spacing w:before="0"/>
              <w:jc w:val="right"/>
              <w:rPr>
                <w:rFonts w:asciiTheme="minorHAnsi" w:hAnsiTheme="minorHAnsi" w:cstheme="minorHAnsi"/>
                <w:color w:val="FFFFFF" w:themeColor="background1"/>
                <w:szCs w:val="24"/>
                <w:lang w:eastAsia="en-GB"/>
              </w:rPr>
            </w:pPr>
            <w:r w:rsidRPr="00BD4B16">
              <w:rPr>
                <w:rFonts w:asciiTheme="minorHAnsi" w:hAnsiTheme="minorHAnsi" w:cstheme="minorHAnsi"/>
                <w:color w:val="FFFFFF" w:themeColor="background1"/>
                <w:szCs w:val="24"/>
                <w:lang w:eastAsia="en-GB"/>
              </w:rPr>
              <w:t xml:space="preserve"> (Full Sample)</w:t>
            </w:r>
          </w:p>
        </w:tc>
        <w:tc>
          <w:tcPr>
            <w:tcW w:w="1384" w:type="pct"/>
            <w:vAlign w:val="center"/>
            <w:hideMark/>
          </w:tcPr>
          <w:p w14:paraId="4A3B5624" w14:textId="77777777" w:rsidR="00BD4B16" w:rsidRPr="00BD4B16" w:rsidRDefault="00BD4B16" w:rsidP="00AB3D40">
            <w:pPr>
              <w:pStyle w:val="Tabletext"/>
              <w:jc w:val="right"/>
              <w:rPr>
                <w:rFonts w:cstheme="minorHAnsi"/>
                <w:b w:val="0"/>
                <w:color w:val="FFFFFF" w:themeColor="background1"/>
                <w:szCs w:val="24"/>
                <w:lang w:eastAsia="en-GB"/>
              </w:rPr>
            </w:pPr>
            <w:r w:rsidRPr="00BD4B16">
              <w:rPr>
                <w:rFonts w:asciiTheme="minorHAnsi" w:hAnsiTheme="minorHAnsi" w:cstheme="minorHAnsi"/>
                <w:color w:val="FFFFFF" w:themeColor="background1"/>
                <w:szCs w:val="24"/>
                <w:lang w:eastAsia="en-GB"/>
              </w:rPr>
              <w:t xml:space="preserve">Difference in prevalence between treatment and control groups </w:t>
            </w:r>
          </w:p>
          <w:p w14:paraId="61648D66" w14:textId="77777777" w:rsidR="00BD4B16" w:rsidRPr="00BD4B16" w:rsidRDefault="00BD4B16" w:rsidP="00AB3D40">
            <w:pPr>
              <w:pStyle w:val="Tabletext"/>
              <w:spacing w:before="0"/>
              <w:jc w:val="right"/>
              <w:rPr>
                <w:rFonts w:asciiTheme="minorHAnsi" w:hAnsiTheme="minorHAnsi" w:cstheme="minorHAnsi"/>
                <w:color w:val="FFFFFF" w:themeColor="background1"/>
                <w:szCs w:val="24"/>
                <w:lang w:eastAsia="en-GB"/>
              </w:rPr>
            </w:pPr>
            <w:r w:rsidRPr="00BD4B16">
              <w:rPr>
                <w:rFonts w:asciiTheme="minorHAnsi" w:hAnsiTheme="minorHAnsi" w:cstheme="minorHAnsi"/>
                <w:color w:val="FFFFFF" w:themeColor="background1"/>
                <w:szCs w:val="24"/>
                <w:lang w:eastAsia="en-GB"/>
              </w:rPr>
              <w:t>(After PSM)</w:t>
            </w:r>
          </w:p>
        </w:tc>
      </w:tr>
      <w:tr w:rsidR="00BD4B16" w:rsidRPr="00BD4B16" w14:paraId="440E4D2D"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0CCC2056" w14:textId="321F51EE" w:rsidR="00BD4B16" w:rsidRPr="00BD4B16" w:rsidRDefault="00BD4B16" w:rsidP="00BD4B16">
            <w:pPr>
              <w:pStyle w:val="Tabletext"/>
            </w:pPr>
            <w:r w:rsidRPr="00F24216">
              <w:t>Use of Support</w:t>
            </w:r>
          </w:p>
        </w:tc>
        <w:tc>
          <w:tcPr>
            <w:tcW w:w="1184" w:type="pct"/>
            <w:vAlign w:val="top"/>
          </w:tcPr>
          <w:p w14:paraId="0E0130CD" w14:textId="7696E29C" w:rsidR="00BD4B16" w:rsidRPr="00BD4B16" w:rsidRDefault="00BD4B16" w:rsidP="00BD4B16">
            <w:pPr>
              <w:pStyle w:val="Tabletext"/>
              <w:rPr>
                <w:b/>
                <w:bCs/>
              </w:rPr>
            </w:pPr>
            <w:r w:rsidRPr="00F24216">
              <w:t>Used Covid loans</w:t>
            </w:r>
          </w:p>
        </w:tc>
        <w:tc>
          <w:tcPr>
            <w:tcW w:w="1384" w:type="pct"/>
            <w:vAlign w:val="top"/>
          </w:tcPr>
          <w:p w14:paraId="5EB9ECBB" w14:textId="215D1256" w:rsidR="00BD4B16" w:rsidRPr="00BD4B16" w:rsidRDefault="00BD4B16" w:rsidP="00BD4B16">
            <w:pPr>
              <w:pStyle w:val="Tabletext"/>
              <w:jc w:val="right"/>
            </w:pPr>
            <w:r w:rsidRPr="002F4A79">
              <w:t>34.7%</w:t>
            </w:r>
          </w:p>
        </w:tc>
        <w:tc>
          <w:tcPr>
            <w:tcW w:w="1384" w:type="pct"/>
            <w:vAlign w:val="top"/>
          </w:tcPr>
          <w:p w14:paraId="1DBBADFC" w14:textId="3235AA9A" w:rsidR="00BD4B16" w:rsidRPr="00BD4B16" w:rsidRDefault="00BD4B16" w:rsidP="00BD4B16">
            <w:pPr>
              <w:pStyle w:val="Tabletext"/>
              <w:jc w:val="right"/>
            </w:pPr>
            <w:r w:rsidRPr="00AD0BB7">
              <w:t>1.1%</w:t>
            </w:r>
          </w:p>
        </w:tc>
      </w:tr>
      <w:tr w:rsidR="00BD4B16" w:rsidRPr="00BD4B16" w14:paraId="7A8CEE01" w14:textId="77777777" w:rsidTr="00AB3D40">
        <w:tblPrEx>
          <w:tblCellMar>
            <w:left w:w="108" w:type="dxa"/>
            <w:right w:w="108" w:type="dxa"/>
          </w:tblCellMar>
        </w:tblPrEx>
        <w:tc>
          <w:tcPr>
            <w:tcW w:w="1047" w:type="pct"/>
            <w:vAlign w:val="top"/>
          </w:tcPr>
          <w:p w14:paraId="73B38CC3" w14:textId="158081FF" w:rsidR="00BD4B16" w:rsidRPr="00BD4B16" w:rsidRDefault="00BD4B16" w:rsidP="00BD4B16">
            <w:pPr>
              <w:pStyle w:val="Tabletext"/>
            </w:pPr>
            <w:r w:rsidRPr="00F24216">
              <w:t>Use of Support</w:t>
            </w:r>
          </w:p>
        </w:tc>
        <w:tc>
          <w:tcPr>
            <w:tcW w:w="1184" w:type="pct"/>
            <w:vAlign w:val="top"/>
          </w:tcPr>
          <w:p w14:paraId="4A2C17BD" w14:textId="7E07C8E8" w:rsidR="00BD4B16" w:rsidRPr="00BD4B16" w:rsidRDefault="00BD4B16" w:rsidP="00BD4B16">
            <w:pPr>
              <w:pStyle w:val="Tabletext"/>
              <w:rPr>
                <w:b/>
                <w:bCs/>
              </w:rPr>
            </w:pPr>
            <w:r w:rsidRPr="00F24216">
              <w:t>Used CJRS</w:t>
            </w:r>
          </w:p>
        </w:tc>
        <w:tc>
          <w:tcPr>
            <w:tcW w:w="1384" w:type="pct"/>
            <w:vAlign w:val="top"/>
          </w:tcPr>
          <w:p w14:paraId="18979417" w14:textId="0A952FEF" w:rsidR="00BD4B16" w:rsidRPr="00BD4B16" w:rsidRDefault="00BD4B16" w:rsidP="00BD4B16">
            <w:pPr>
              <w:pStyle w:val="Tabletext"/>
              <w:jc w:val="right"/>
            </w:pPr>
            <w:r w:rsidRPr="002F4A79">
              <w:t>0.9%</w:t>
            </w:r>
          </w:p>
        </w:tc>
        <w:tc>
          <w:tcPr>
            <w:tcW w:w="1384" w:type="pct"/>
            <w:vAlign w:val="top"/>
          </w:tcPr>
          <w:p w14:paraId="0A18F573" w14:textId="4FDEA2AC" w:rsidR="00BD4B16" w:rsidRPr="00BD4B16" w:rsidRDefault="00BD4B16" w:rsidP="00BD4B16">
            <w:pPr>
              <w:pStyle w:val="Tabletext"/>
              <w:jc w:val="right"/>
            </w:pPr>
            <w:r w:rsidRPr="00AD0BB7">
              <w:t>4.9%</w:t>
            </w:r>
          </w:p>
        </w:tc>
      </w:tr>
      <w:tr w:rsidR="00BD4B16" w:rsidRPr="00BD4B16" w14:paraId="237845FD"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0B93832B" w14:textId="0BB3721B" w:rsidR="00BD4B16" w:rsidRPr="00BD4B16" w:rsidRDefault="00BD4B16" w:rsidP="00BD4B16">
            <w:pPr>
              <w:pStyle w:val="Tabletext"/>
            </w:pPr>
            <w:r w:rsidRPr="00F24216">
              <w:t>Use of Support</w:t>
            </w:r>
          </w:p>
        </w:tc>
        <w:tc>
          <w:tcPr>
            <w:tcW w:w="1184" w:type="pct"/>
            <w:vAlign w:val="top"/>
          </w:tcPr>
          <w:p w14:paraId="351BC431" w14:textId="7E2D392A" w:rsidR="00BD4B16" w:rsidRPr="00BD4B16" w:rsidRDefault="00BD4B16" w:rsidP="00BD4B16">
            <w:pPr>
              <w:pStyle w:val="Tabletext"/>
              <w:rPr>
                <w:b/>
                <w:bCs/>
              </w:rPr>
            </w:pPr>
            <w:r w:rsidRPr="00F24216">
              <w:t>Used VAT deferral</w:t>
            </w:r>
          </w:p>
        </w:tc>
        <w:tc>
          <w:tcPr>
            <w:tcW w:w="1384" w:type="pct"/>
            <w:vAlign w:val="top"/>
          </w:tcPr>
          <w:p w14:paraId="05424ECA" w14:textId="185C8A44" w:rsidR="00BD4B16" w:rsidRPr="00BD4B16" w:rsidRDefault="00BD4B16" w:rsidP="00BD4B16">
            <w:pPr>
              <w:pStyle w:val="Tabletext"/>
              <w:jc w:val="right"/>
            </w:pPr>
            <w:r w:rsidRPr="002F4A79">
              <w:t>12.7%</w:t>
            </w:r>
          </w:p>
        </w:tc>
        <w:tc>
          <w:tcPr>
            <w:tcW w:w="1384" w:type="pct"/>
            <w:vAlign w:val="top"/>
          </w:tcPr>
          <w:p w14:paraId="5BD55DB1" w14:textId="2B137A53" w:rsidR="00BD4B16" w:rsidRPr="00BD4B16" w:rsidRDefault="00BD4B16" w:rsidP="00BD4B16">
            <w:pPr>
              <w:pStyle w:val="Tabletext"/>
              <w:jc w:val="right"/>
            </w:pPr>
            <w:r w:rsidRPr="00AD0BB7">
              <w:t>1.6%</w:t>
            </w:r>
          </w:p>
        </w:tc>
      </w:tr>
      <w:tr w:rsidR="00BD4B16" w:rsidRPr="00BD4B16" w14:paraId="6E131A4F" w14:textId="77777777" w:rsidTr="00AB3D40">
        <w:tblPrEx>
          <w:tblCellMar>
            <w:left w:w="108" w:type="dxa"/>
            <w:right w:w="108" w:type="dxa"/>
          </w:tblCellMar>
        </w:tblPrEx>
        <w:tc>
          <w:tcPr>
            <w:tcW w:w="1047" w:type="pct"/>
            <w:vAlign w:val="top"/>
          </w:tcPr>
          <w:p w14:paraId="5821C9F5" w14:textId="27F70BC7" w:rsidR="00BD4B16" w:rsidRPr="00BD4B16" w:rsidRDefault="00BD4B16" w:rsidP="00BD4B16">
            <w:pPr>
              <w:pStyle w:val="Tabletext"/>
            </w:pPr>
            <w:r w:rsidRPr="00F24216">
              <w:t>Use of Support</w:t>
            </w:r>
          </w:p>
        </w:tc>
        <w:tc>
          <w:tcPr>
            <w:tcW w:w="1184" w:type="pct"/>
            <w:vAlign w:val="top"/>
          </w:tcPr>
          <w:p w14:paraId="234DAE0C" w14:textId="4B8B8D29" w:rsidR="00BD4B16" w:rsidRPr="00BD4B16" w:rsidRDefault="00BD4B16" w:rsidP="00BD4B16">
            <w:pPr>
              <w:pStyle w:val="Tabletext"/>
              <w:rPr>
                <w:b/>
                <w:bCs/>
              </w:rPr>
            </w:pPr>
            <w:r w:rsidRPr="00F24216">
              <w:t>Used other support schemes</w:t>
            </w:r>
          </w:p>
        </w:tc>
        <w:tc>
          <w:tcPr>
            <w:tcW w:w="1384" w:type="pct"/>
            <w:vAlign w:val="top"/>
          </w:tcPr>
          <w:p w14:paraId="761AC75E" w14:textId="31310D26" w:rsidR="00BD4B16" w:rsidRPr="00BD4B16" w:rsidRDefault="00BD4B16" w:rsidP="00BD4B16">
            <w:pPr>
              <w:pStyle w:val="Tabletext"/>
              <w:jc w:val="right"/>
            </w:pPr>
            <w:r w:rsidRPr="002F4A79">
              <w:t>16.3%</w:t>
            </w:r>
          </w:p>
        </w:tc>
        <w:tc>
          <w:tcPr>
            <w:tcW w:w="1384" w:type="pct"/>
            <w:vAlign w:val="top"/>
          </w:tcPr>
          <w:p w14:paraId="7C5F4626" w14:textId="254893D3" w:rsidR="00BD4B16" w:rsidRPr="00BD4B16" w:rsidRDefault="00BD4B16" w:rsidP="00BD4B16">
            <w:pPr>
              <w:pStyle w:val="Tabletext"/>
              <w:jc w:val="right"/>
            </w:pPr>
            <w:r w:rsidRPr="00AD0BB7">
              <w:t>0.5%</w:t>
            </w:r>
          </w:p>
        </w:tc>
      </w:tr>
      <w:tr w:rsidR="00BD4B16" w:rsidRPr="00BD4B16" w14:paraId="0DC5C36F"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DE5484D" w14:textId="43B33CC1" w:rsidR="00BD4B16" w:rsidRPr="00BD4B16" w:rsidRDefault="00BD4B16" w:rsidP="00BD4B16">
            <w:pPr>
              <w:pStyle w:val="Tabletext"/>
            </w:pPr>
            <w:r w:rsidRPr="00F24216">
              <w:t>Business Interruption</w:t>
            </w:r>
          </w:p>
        </w:tc>
        <w:tc>
          <w:tcPr>
            <w:tcW w:w="1184" w:type="pct"/>
            <w:vAlign w:val="top"/>
          </w:tcPr>
          <w:p w14:paraId="101398B4" w14:textId="4E2E904E" w:rsidR="00BD4B16" w:rsidRPr="00BD4B16" w:rsidRDefault="00BD4B16" w:rsidP="00BD4B16">
            <w:pPr>
              <w:pStyle w:val="Tabletext"/>
              <w:rPr>
                <w:b/>
                <w:bCs/>
              </w:rPr>
            </w:pPr>
            <w:r w:rsidRPr="00F24216">
              <w:t>Changes for Covid-19 compliance</w:t>
            </w:r>
          </w:p>
        </w:tc>
        <w:tc>
          <w:tcPr>
            <w:tcW w:w="1384" w:type="pct"/>
            <w:vAlign w:val="top"/>
          </w:tcPr>
          <w:p w14:paraId="5AD5E610" w14:textId="41D2385B" w:rsidR="00BD4B16" w:rsidRPr="00BD4B16" w:rsidRDefault="00BD4B16" w:rsidP="00BD4B16">
            <w:pPr>
              <w:pStyle w:val="Tabletext"/>
              <w:jc w:val="right"/>
            </w:pPr>
            <w:r w:rsidRPr="002F4A79">
              <w:t>0.6%</w:t>
            </w:r>
          </w:p>
        </w:tc>
        <w:tc>
          <w:tcPr>
            <w:tcW w:w="1384" w:type="pct"/>
            <w:vAlign w:val="top"/>
          </w:tcPr>
          <w:p w14:paraId="5AE7E840" w14:textId="6C5BDF0A" w:rsidR="00BD4B16" w:rsidRPr="00BD4B16" w:rsidRDefault="00BD4B16" w:rsidP="00BD4B16">
            <w:pPr>
              <w:pStyle w:val="Tabletext"/>
              <w:jc w:val="right"/>
            </w:pPr>
            <w:r w:rsidRPr="00AD0BB7">
              <w:t>7.7%</w:t>
            </w:r>
          </w:p>
        </w:tc>
      </w:tr>
      <w:tr w:rsidR="00BD4B16" w:rsidRPr="00BD4B16" w14:paraId="6B5DAE6D" w14:textId="77777777" w:rsidTr="00AB3D40">
        <w:tblPrEx>
          <w:tblCellMar>
            <w:left w:w="108" w:type="dxa"/>
            <w:right w:w="108" w:type="dxa"/>
          </w:tblCellMar>
        </w:tblPrEx>
        <w:tc>
          <w:tcPr>
            <w:tcW w:w="1047" w:type="pct"/>
            <w:vAlign w:val="top"/>
          </w:tcPr>
          <w:p w14:paraId="76E7272D" w14:textId="6B62D228" w:rsidR="00BD4B16" w:rsidRPr="00BD4B16" w:rsidRDefault="00BD4B16" w:rsidP="00BD4B16">
            <w:pPr>
              <w:pStyle w:val="Tabletext"/>
            </w:pPr>
            <w:r w:rsidRPr="00F24216">
              <w:t>Business Interruption</w:t>
            </w:r>
          </w:p>
        </w:tc>
        <w:tc>
          <w:tcPr>
            <w:tcW w:w="1184" w:type="pct"/>
            <w:vAlign w:val="top"/>
          </w:tcPr>
          <w:p w14:paraId="1CD6EFD9" w14:textId="49252FDB" w:rsidR="00BD4B16" w:rsidRPr="00BD4B16" w:rsidRDefault="00BD4B16" w:rsidP="00BD4B16">
            <w:pPr>
              <w:pStyle w:val="Tabletext"/>
              <w:rPr>
                <w:b/>
                <w:bCs/>
              </w:rPr>
            </w:pPr>
            <w:r w:rsidRPr="00F24216">
              <w:t>Strain from Debt</w:t>
            </w:r>
          </w:p>
        </w:tc>
        <w:tc>
          <w:tcPr>
            <w:tcW w:w="1384" w:type="pct"/>
            <w:vAlign w:val="top"/>
          </w:tcPr>
          <w:p w14:paraId="7CBC0D1A" w14:textId="38C8D4D3" w:rsidR="00BD4B16" w:rsidRPr="00BD4B16" w:rsidRDefault="00BD4B16" w:rsidP="00BD4B16">
            <w:pPr>
              <w:pStyle w:val="Tabletext"/>
              <w:jc w:val="right"/>
            </w:pPr>
            <w:r w:rsidRPr="002F4A79">
              <w:t>25.8%</w:t>
            </w:r>
          </w:p>
        </w:tc>
        <w:tc>
          <w:tcPr>
            <w:tcW w:w="1384" w:type="pct"/>
            <w:vAlign w:val="top"/>
          </w:tcPr>
          <w:p w14:paraId="554FA444" w14:textId="1B887739" w:rsidR="00BD4B16" w:rsidRPr="00BD4B16" w:rsidRDefault="00BD4B16" w:rsidP="00BD4B16">
            <w:pPr>
              <w:pStyle w:val="Tabletext"/>
              <w:jc w:val="right"/>
            </w:pPr>
            <w:r w:rsidRPr="00AD0BB7">
              <w:t>1.1%</w:t>
            </w:r>
          </w:p>
        </w:tc>
      </w:tr>
      <w:tr w:rsidR="00BD4B16" w:rsidRPr="00BD4B16" w14:paraId="0C37D856"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03F970C1" w14:textId="32A9D0FB" w:rsidR="00BD4B16" w:rsidRPr="00BD4B16" w:rsidRDefault="00BD4B16" w:rsidP="00BD4B16">
            <w:pPr>
              <w:pStyle w:val="Tabletext"/>
            </w:pPr>
            <w:r w:rsidRPr="00F24216">
              <w:t>Business Interruption</w:t>
            </w:r>
          </w:p>
        </w:tc>
        <w:tc>
          <w:tcPr>
            <w:tcW w:w="1184" w:type="pct"/>
            <w:vAlign w:val="top"/>
          </w:tcPr>
          <w:p w14:paraId="136757FC" w14:textId="37C300A8" w:rsidR="00BD4B16" w:rsidRPr="00BD4B16" w:rsidRDefault="00BD4B16" w:rsidP="00BD4B16">
            <w:pPr>
              <w:pStyle w:val="Tabletext"/>
              <w:rPr>
                <w:b/>
                <w:bCs/>
              </w:rPr>
            </w:pPr>
            <w:r w:rsidRPr="00F24216">
              <w:t>Access to External Finance</w:t>
            </w:r>
          </w:p>
        </w:tc>
        <w:tc>
          <w:tcPr>
            <w:tcW w:w="1384" w:type="pct"/>
            <w:vAlign w:val="top"/>
          </w:tcPr>
          <w:p w14:paraId="7EA7170A" w14:textId="0B996D5C" w:rsidR="00BD4B16" w:rsidRPr="00BD4B16" w:rsidRDefault="00BD4B16" w:rsidP="00BD4B16">
            <w:pPr>
              <w:pStyle w:val="Tabletext"/>
              <w:jc w:val="right"/>
            </w:pPr>
            <w:r w:rsidRPr="002F4A79">
              <w:t>7.8%</w:t>
            </w:r>
          </w:p>
        </w:tc>
        <w:tc>
          <w:tcPr>
            <w:tcW w:w="1384" w:type="pct"/>
            <w:vAlign w:val="top"/>
          </w:tcPr>
          <w:p w14:paraId="6B2BD92F" w14:textId="5D529175" w:rsidR="00BD4B16" w:rsidRPr="00BD4B16" w:rsidRDefault="00BD4B16" w:rsidP="00BD4B16">
            <w:pPr>
              <w:pStyle w:val="Tabletext"/>
              <w:jc w:val="right"/>
            </w:pPr>
            <w:r w:rsidRPr="00AD0BB7">
              <w:t>4.4%</w:t>
            </w:r>
          </w:p>
        </w:tc>
      </w:tr>
      <w:tr w:rsidR="00BD4B16" w:rsidRPr="00BD4B16" w14:paraId="3955DE2C" w14:textId="77777777" w:rsidTr="00AB3D40">
        <w:tblPrEx>
          <w:tblCellMar>
            <w:left w:w="108" w:type="dxa"/>
            <w:right w:w="108" w:type="dxa"/>
          </w:tblCellMar>
        </w:tblPrEx>
        <w:tc>
          <w:tcPr>
            <w:tcW w:w="1047" w:type="pct"/>
            <w:vAlign w:val="top"/>
          </w:tcPr>
          <w:p w14:paraId="5573233F" w14:textId="4EFCEDD8" w:rsidR="00BD4B16" w:rsidRPr="00BD4B16" w:rsidRDefault="00BD4B16" w:rsidP="00BD4B16">
            <w:pPr>
              <w:pStyle w:val="Tabletext"/>
            </w:pPr>
            <w:r w:rsidRPr="00F24216">
              <w:t>Business Interruption</w:t>
            </w:r>
          </w:p>
        </w:tc>
        <w:tc>
          <w:tcPr>
            <w:tcW w:w="1184" w:type="pct"/>
            <w:vAlign w:val="top"/>
          </w:tcPr>
          <w:p w14:paraId="3D1C1715" w14:textId="583D55E1" w:rsidR="00BD4B16" w:rsidRPr="00BD4B16" w:rsidRDefault="00BD4B16" w:rsidP="00BD4B16">
            <w:pPr>
              <w:pStyle w:val="Tabletext"/>
              <w:rPr>
                <w:b/>
                <w:bCs/>
              </w:rPr>
            </w:pPr>
            <w:r w:rsidRPr="00F24216">
              <w:t>Issues with Late Payment</w:t>
            </w:r>
          </w:p>
        </w:tc>
        <w:tc>
          <w:tcPr>
            <w:tcW w:w="1384" w:type="pct"/>
            <w:vAlign w:val="top"/>
          </w:tcPr>
          <w:p w14:paraId="79AE4962" w14:textId="18051992" w:rsidR="00BD4B16" w:rsidRPr="00BD4B16" w:rsidRDefault="00BD4B16" w:rsidP="00BD4B16">
            <w:pPr>
              <w:pStyle w:val="Tabletext"/>
              <w:jc w:val="right"/>
            </w:pPr>
            <w:r w:rsidRPr="002F4A79">
              <w:t>17.5%</w:t>
            </w:r>
          </w:p>
        </w:tc>
        <w:tc>
          <w:tcPr>
            <w:tcW w:w="1384" w:type="pct"/>
            <w:vAlign w:val="top"/>
          </w:tcPr>
          <w:p w14:paraId="2E421CC1" w14:textId="43A327D8" w:rsidR="00BD4B16" w:rsidRPr="00BD4B16" w:rsidRDefault="00BD4B16" w:rsidP="00BD4B16">
            <w:pPr>
              <w:pStyle w:val="Tabletext"/>
              <w:jc w:val="right"/>
            </w:pPr>
            <w:r w:rsidRPr="00AD0BB7">
              <w:t>2.2%</w:t>
            </w:r>
          </w:p>
        </w:tc>
      </w:tr>
      <w:tr w:rsidR="00BD4B16" w:rsidRPr="00BD4B16" w14:paraId="4DFF2498"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2E391175" w14:textId="44146D7B" w:rsidR="00BD4B16" w:rsidRPr="00BD4B16" w:rsidRDefault="00BD4B16" w:rsidP="00BD4B16">
            <w:pPr>
              <w:pStyle w:val="Tabletext"/>
            </w:pPr>
            <w:r w:rsidRPr="00F24216">
              <w:t>Business Interruption</w:t>
            </w:r>
          </w:p>
        </w:tc>
        <w:tc>
          <w:tcPr>
            <w:tcW w:w="1184" w:type="pct"/>
            <w:vAlign w:val="top"/>
          </w:tcPr>
          <w:p w14:paraId="5E5F7651" w14:textId="5EB8F23B" w:rsidR="00BD4B16" w:rsidRPr="00BD4B16" w:rsidRDefault="00BD4B16" w:rsidP="00BD4B16">
            <w:pPr>
              <w:pStyle w:val="Tabletext"/>
              <w:rPr>
                <w:b/>
                <w:bCs/>
              </w:rPr>
            </w:pPr>
            <w:r w:rsidRPr="00F24216">
              <w:t>Changes in Market Demand</w:t>
            </w:r>
          </w:p>
        </w:tc>
        <w:tc>
          <w:tcPr>
            <w:tcW w:w="1384" w:type="pct"/>
            <w:vAlign w:val="top"/>
          </w:tcPr>
          <w:p w14:paraId="0F4ADFD7" w14:textId="16B2C3E4" w:rsidR="00BD4B16" w:rsidRPr="00BD4B16" w:rsidRDefault="00BD4B16" w:rsidP="00BD4B16">
            <w:pPr>
              <w:pStyle w:val="Tabletext"/>
              <w:jc w:val="right"/>
            </w:pPr>
            <w:r w:rsidRPr="002F4A79">
              <w:t>10.7%</w:t>
            </w:r>
          </w:p>
        </w:tc>
        <w:tc>
          <w:tcPr>
            <w:tcW w:w="1384" w:type="pct"/>
            <w:vAlign w:val="top"/>
          </w:tcPr>
          <w:p w14:paraId="4679E97C" w14:textId="653C6A59" w:rsidR="00BD4B16" w:rsidRPr="00BD4B16" w:rsidRDefault="00BD4B16" w:rsidP="00BD4B16">
            <w:pPr>
              <w:pStyle w:val="Tabletext"/>
              <w:jc w:val="right"/>
            </w:pPr>
            <w:r w:rsidRPr="00AD0BB7">
              <w:t>7.1%</w:t>
            </w:r>
          </w:p>
        </w:tc>
      </w:tr>
      <w:tr w:rsidR="00BD4B16" w:rsidRPr="00BD4B16" w14:paraId="1D7A5A4C" w14:textId="77777777" w:rsidTr="00AB3D40">
        <w:tblPrEx>
          <w:tblCellMar>
            <w:left w:w="108" w:type="dxa"/>
            <w:right w:w="108" w:type="dxa"/>
          </w:tblCellMar>
        </w:tblPrEx>
        <w:tc>
          <w:tcPr>
            <w:tcW w:w="1047" w:type="pct"/>
            <w:vAlign w:val="top"/>
          </w:tcPr>
          <w:p w14:paraId="502BC04C" w14:textId="7831A682" w:rsidR="00BD4B16" w:rsidRPr="00BD4B16" w:rsidRDefault="00BD4B16" w:rsidP="00BD4B16">
            <w:pPr>
              <w:pStyle w:val="Tabletext"/>
            </w:pPr>
            <w:r w:rsidRPr="00F24216">
              <w:t>Business Interruption</w:t>
            </w:r>
          </w:p>
        </w:tc>
        <w:tc>
          <w:tcPr>
            <w:tcW w:w="1184" w:type="pct"/>
            <w:vAlign w:val="top"/>
          </w:tcPr>
          <w:p w14:paraId="397CFEB9" w14:textId="23CDCAB4" w:rsidR="00BD4B16" w:rsidRPr="00BD4B16" w:rsidRDefault="00BD4B16" w:rsidP="00BD4B16">
            <w:pPr>
              <w:pStyle w:val="Tabletext"/>
              <w:rPr>
                <w:b/>
                <w:bCs/>
              </w:rPr>
            </w:pPr>
            <w:r w:rsidRPr="00F24216">
              <w:t>Availability of Staff</w:t>
            </w:r>
          </w:p>
        </w:tc>
        <w:tc>
          <w:tcPr>
            <w:tcW w:w="1384" w:type="pct"/>
            <w:vAlign w:val="top"/>
          </w:tcPr>
          <w:p w14:paraId="0B44D441" w14:textId="6311D11A" w:rsidR="00BD4B16" w:rsidRPr="00BD4B16" w:rsidRDefault="00BD4B16" w:rsidP="00BD4B16">
            <w:pPr>
              <w:pStyle w:val="Tabletext"/>
              <w:jc w:val="right"/>
            </w:pPr>
            <w:r w:rsidRPr="002F4A79">
              <w:t>4.4%</w:t>
            </w:r>
          </w:p>
        </w:tc>
        <w:tc>
          <w:tcPr>
            <w:tcW w:w="1384" w:type="pct"/>
            <w:vAlign w:val="top"/>
          </w:tcPr>
          <w:p w14:paraId="6A8F7B4E" w14:textId="59C8D337" w:rsidR="00BD4B16" w:rsidRPr="00BD4B16" w:rsidRDefault="00BD4B16" w:rsidP="00BD4B16">
            <w:pPr>
              <w:pStyle w:val="Tabletext"/>
              <w:jc w:val="right"/>
            </w:pPr>
            <w:r w:rsidRPr="00AD0BB7">
              <w:t>3.3%</w:t>
            </w:r>
          </w:p>
        </w:tc>
      </w:tr>
      <w:tr w:rsidR="00BD4B16" w:rsidRPr="00BD4B16" w14:paraId="21EBDE34"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79E6CBDB" w14:textId="28E63070" w:rsidR="00BD4B16" w:rsidRPr="00BD4B16" w:rsidRDefault="00BD4B16" w:rsidP="00BD4B16">
            <w:pPr>
              <w:pStyle w:val="Tabletext"/>
            </w:pPr>
            <w:r w:rsidRPr="00F24216">
              <w:t>Business Interruption</w:t>
            </w:r>
          </w:p>
        </w:tc>
        <w:tc>
          <w:tcPr>
            <w:tcW w:w="1184" w:type="pct"/>
            <w:vAlign w:val="top"/>
          </w:tcPr>
          <w:p w14:paraId="26277DE2" w14:textId="21DCF262" w:rsidR="00BD4B16" w:rsidRPr="00BD4B16" w:rsidRDefault="00BD4B16" w:rsidP="00BD4B16">
            <w:pPr>
              <w:pStyle w:val="Tabletext"/>
              <w:rPr>
                <w:b/>
                <w:bCs/>
              </w:rPr>
            </w:pPr>
            <w:r w:rsidRPr="00F24216">
              <w:t>Supply Chain Disruption</w:t>
            </w:r>
          </w:p>
        </w:tc>
        <w:tc>
          <w:tcPr>
            <w:tcW w:w="1384" w:type="pct"/>
            <w:vAlign w:val="top"/>
          </w:tcPr>
          <w:p w14:paraId="5414FB2D" w14:textId="3D8FB307" w:rsidR="00BD4B16" w:rsidRPr="00BD4B16" w:rsidRDefault="00BD4B16" w:rsidP="00BD4B16">
            <w:pPr>
              <w:pStyle w:val="Tabletext"/>
              <w:jc w:val="right"/>
            </w:pPr>
            <w:r w:rsidRPr="002F4A79">
              <w:t>7.9%</w:t>
            </w:r>
          </w:p>
        </w:tc>
        <w:tc>
          <w:tcPr>
            <w:tcW w:w="1384" w:type="pct"/>
            <w:vAlign w:val="top"/>
          </w:tcPr>
          <w:p w14:paraId="43F4D067" w14:textId="085BBAA1" w:rsidR="00BD4B16" w:rsidRPr="00BD4B16" w:rsidRDefault="00BD4B16" w:rsidP="00BD4B16">
            <w:pPr>
              <w:pStyle w:val="Tabletext"/>
              <w:jc w:val="right"/>
            </w:pPr>
            <w:r w:rsidRPr="00AD0BB7">
              <w:t>4.4%</w:t>
            </w:r>
          </w:p>
        </w:tc>
      </w:tr>
      <w:tr w:rsidR="00BD4B16" w:rsidRPr="00BD4B16" w14:paraId="7DC038D2" w14:textId="77777777" w:rsidTr="00AB3D40">
        <w:tblPrEx>
          <w:tblCellMar>
            <w:left w:w="108" w:type="dxa"/>
            <w:right w:w="108" w:type="dxa"/>
          </w:tblCellMar>
        </w:tblPrEx>
        <w:tc>
          <w:tcPr>
            <w:tcW w:w="1047" w:type="pct"/>
            <w:vAlign w:val="top"/>
          </w:tcPr>
          <w:p w14:paraId="70B8421C" w14:textId="344B6E32" w:rsidR="00BD4B16" w:rsidRPr="00BD4B16" w:rsidRDefault="00BD4B16" w:rsidP="00BD4B16">
            <w:pPr>
              <w:pStyle w:val="Tabletext"/>
            </w:pPr>
            <w:r w:rsidRPr="00F24216">
              <w:t>Turnover</w:t>
            </w:r>
          </w:p>
        </w:tc>
        <w:tc>
          <w:tcPr>
            <w:tcW w:w="1184" w:type="pct"/>
            <w:vAlign w:val="top"/>
          </w:tcPr>
          <w:p w14:paraId="67CD287A" w14:textId="4CCF50C6" w:rsidR="00BD4B16" w:rsidRPr="00BD4B16" w:rsidRDefault="00BD4B16" w:rsidP="00BD4B16">
            <w:pPr>
              <w:pStyle w:val="Tabletext"/>
              <w:rPr>
                <w:b/>
                <w:bCs/>
              </w:rPr>
            </w:pPr>
            <w:r w:rsidRPr="00F24216">
              <w:t>Unknown</w:t>
            </w:r>
          </w:p>
        </w:tc>
        <w:tc>
          <w:tcPr>
            <w:tcW w:w="1384" w:type="pct"/>
            <w:vAlign w:val="top"/>
          </w:tcPr>
          <w:p w14:paraId="4496B759" w14:textId="4CD3F28D" w:rsidR="00BD4B16" w:rsidRPr="00BD4B16" w:rsidRDefault="00BD4B16" w:rsidP="00BD4B16">
            <w:pPr>
              <w:pStyle w:val="Tabletext"/>
              <w:jc w:val="right"/>
            </w:pPr>
            <w:r w:rsidRPr="002F4A79">
              <w:t>2.2%</w:t>
            </w:r>
          </w:p>
        </w:tc>
        <w:tc>
          <w:tcPr>
            <w:tcW w:w="1384" w:type="pct"/>
            <w:vAlign w:val="top"/>
          </w:tcPr>
          <w:p w14:paraId="6504A1CE" w14:textId="42135734" w:rsidR="00BD4B16" w:rsidRPr="00BD4B16" w:rsidRDefault="00BD4B16" w:rsidP="00BD4B16">
            <w:pPr>
              <w:pStyle w:val="Tabletext"/>
              <w:jc w:val="right"/>
            </w:pPr>
            <w:r w:rsidRPr="00AD0BB7">
              <w:t>0.0%</w:t>
            </w:r>
          </w:p>
        </w:tc>
      </w:tr>
      <w:tr w:rsidR="00BD4B16" w:rsidRPr="00BD4B16" w14:paraId="391B6BFA"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5250BA16" w14:textId="485AA940" w:rsidR="00BD4B16" w:rsidRPr="00BD4B16" w:rsidRDefault="00BD4B16" w:rsidP="00BD4B16">
            <w:pPr>
              <w:pStyle w:val="Tabletext"/>
            </w:pPr>
            <w:r w:rsidRPr="00F24216">
              <w:t>Turnover</w:t>
            </w:r>
          </w:p>
        </w:tc>
        <w:tc>
          <w:tcPr>
            <w:tcW w:w="1184" w:type="pct"/>
            <w:vAlign w:val="top"/>
          </w:tcPr>
          <w:p w14:paraId="7DFFCA1C" w14:textId="591BD69D" w:rsidR="00BD4B16" w:rsidRPr="00BD4B16" w:rsidRDefault="00BD4B16" w:rsidP="00BD4B16">
            <w:pPr>
              <w:pStyle w:val="Tabletext"/>
              <w:rPr>
                <w:b/>
                <w:bCs/>
              </w:rPr>
            </w:pPr>
            <w:r w:rsidRPr="00F24216">
              <w:t>less than 100,000</w:t>
            </w:r>
          </w:p>
        </w:tc>
        <w:tc>
          <w:tcPr>
            <w:tcW w:w="1384" w:type="pct"/>
            <w:vAlign w:val="top"/>
          </w:tcPr>
          <w:p w14:paraId="58F9987E" w14:textId="7A0CF159" w:rsidR="00BD4B16" w:rsidRPr="00BD4B16" w:rsidRDefault="00BD4B16" w:rsidP="00BD4B16">
            <w:pPr>
              <w:pStyle w:val="Tabletext"/>
              <w:jc w:val="right"/>
            </w:pPr>
            <w:r w:rsidRPr="002F4A79">
              <w:t>6.5%</w:t>
            </w:r>
          </w:p>
        </w:tc>
        <w:tc>
          <w:tcPr>
            <w:tcW w:w="1384" w:type="pct"/>
            <w:vAlign w:val="top"/>
          </w:tcPr>
          <w:p w14:paraId="7A5C1195" w14:textId="7B053FE0" w:rsidR="00BD4B16" w:rsidRPr="00BD4B16" w:rsidRDefault="00BD4B16" w:rsidP="00BD4B16">
            <w:pPr>
              <w:pStyle w:val="Tabletext"/>
              <w:jc w:val="right"/>
            </w:pPr>
            <w:r w:rsidRPr="00AD0BB7">
              <w:t>1.1%</w:t>
            </w:r>
          </w:p>
        </w:tc>
      </w:tr>
      <w:tr w:rsidR="00BD4B16" w:rsidRPr="00BD4B16" w14:paraId="3B8922E1" w14:textId="77777777" w:rsidTr="00AB3D40">
        <w:tblPrEx>
          <w:tblCellMar>
            <w:left w:w="108" w:type="dxa"/>
            <w:right w:w="108" w:type="dxa"/>
          </w:tblCellMar>
        </w:tblPrEx>
        <w:tc>
          <w:tcPr>
            <w:tcW w:w="1047" w:type="pct"/>
            <w:vAlign w:val="top"/>
          </w:tcPr>
          <w:p w14:paraId="6C0A308E" w14:textId="1C052120" w:rsidR="00BD4B16" w:rsidRPr="00BD4B16" w:rsidRDefault="00BD4B16" w:rsidP="00BD4B16">
            <w:pPr>
              <w:pStyle w:val="Tabletext"/>
            </w:pPr>
            <w:r w:rsidRPr="00F24216">
              <w:t>Turnover</w:t>
            </w:r>
          </w:p>
        </w:tc>
        <w:tc>
          <w:tcPr>
            <w:tcW w:w="1184" w:type="pct"/>
            <w:vAlign w:val="top"/>
          </w:tcPr>
          <w:p w14:paraId="5DF5B683" w14:textId="0BD4852C" w:rsidR="00BD4B16" w:rsidRPr="00BD4B16" w:rsidRDefault="00BD4B16" w:rsidP="00BD4B16">
            <w:pPr>
              <w:pStyle w:val="Tabletext"/>
              <w:rPr>
                <w:b/>
                <w:bCs/>
              </w:rPr>
            </w:pPr>
            <w:r w:rsidRPr="00F24216">
              <w:t>100,000 or more but less than 250,000</w:t>
            </w:r>
          </w:p>
        </w:tc>
        <w:tc>
          <w:tcPr>
            <w:tcW w:w="1384" w:type="pct"/>
            <w:vAlign w:val="top"/>
          </w:tcPr>
          <w:p w14:paraId="3667B467" w14:textId="5D93D346" w:rsidR="00BD4B16" w:rsidRPr="00BD4B16" w:rsidRDefault="00BD4B16" w:rsidP="00BD4B16">
            <w:pPr>
              <w:pStyle w:val="Tabletext"/>
              <w:jc w:val="right"/>
            </w:pPr>
            <w:r w:rsidRPr="002F4A79">
              <w:t>0.2%</w:t>
            </w:r>
          </w:p>
        </w:tc>
        <w:tc>
          <w:tcPr>
            <w:tcW w:w="1384" w:type="pct"/>
            <w:vAlign w:val="top"/>
          </w:tcPr>
          <w:p w14:paraId="4380B413" w14:textId="13707A5A" w:rsidR="00BD4B16" w:rsidRPr="00BD4B16" w:rsidRDefault="00BD4B16" w:rsidP="00BD4B16">
            <w:pPr>
              <w:pStyle w:val="Tabletext"/>
              <w:jc w:val="right"/>
            </w:pPr>
            <w:r w:rsidRPr="00AD0BB7">
              <w:t>1.1%</w:t>
            </w:r>
          </w:p>
        </w:tc>
      </w:tr>
      <w:tr w:rsidR="00BD4B16" w:rsidRPr="00BD4B16" w14:paraId="2BD3E1BF"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170BF3BF" w14:textId="73059377" w:rsidR="00BD4B16" w:rsidRPr="00BD4B16" w:rsidRDefault="00BD4B16" w:rsidP="00BD4B16">
            <w:pPr>
              <w:pStyle w:val="Tabletext"/>
            </w:pPr>
            <w:r w:rsidRPr="00F24216">
              <w:t>Turnover</w:t>
            </w:r>
          </w:p>
        </w:tc>
        <w:tc>
          <w:tcPr>
            <w:tcW w:w="1184" w:type="pct"/>
            <w:vAlign w:val="top"/>
          </w:tcPr>
          <w:p w14:paraId="4092B057" w14:textId="37F73C0F" w:rsidR="00BD4B16" w:rsidRPr="00BD4B16" w:rsidRDefault="00BD4B16" w:rsidP="00BD4B16">
            <w:pPr>
              <w:pStyle w:val="Tabletext"/>
              <w:rPr>
                <w:b/>
                <w:bCs/>
              </w:rPr>
            </w:pPr>
            <w:r w:rsidRPr="00F24216">
              <w:t>250,000 or more but less than 500,000</w:t>
            </w:r>
          </w:p>
        </w:tc>
        <w:tc>
          <w:tcPr>
            <w:tcW w:w="1384" w:type="pct"/>
            <w:vAlign w:val="top"/>
          </w:tcPr>
          <w:p w14:paraId="5683DE28" w14:textId="0B1D0CA9" w:rsidR="00BD4B16" w:rsidRPr="00BD4B16" w:rsidRDefault="00BD4B16" w:rsidP="00BD4B16">
            <w:pPr>
              <w:pStyle w:val="Tabletext"/>
              <w:jc w:val="right"/>
            </w:pPr>
            <w:r w:rsidRPr="002F4A79">
              <w:t>10.0%</w:t>
            </w:r>
          </w:p>
        </w:tc>
        <w:tc>
          <w:tcPr>
            <w:tcW w:w="1384" w:type="pct"/>
            <w:vAlign w:val="top"/>
          </w:tcPr>
          <w:p w14:paraId="1BEE9B98" w14:textId="5D12797A" w:rsidR="00BD4B16" w:rsidRPr="00BD4B16" w:rsidRDefault="00BD4B16" w:rsidP="00BD4B16">
            <w:pPr>
              <w:pStyle w:val="Tabletext"/>
              <w:jc w:val="right"/>
            </w:pPr>
            <w:r w:rsidRPr="00AD0BB7">
              <w:t>0.5%</w:t>
            </w:r>
          </w:p>
        </w:tc>
      </w:tr>
      <w:tr w:rsidR="00BD4B16" w:rsidRPr="00BD4B16" w14:paraId="664F1F8A" w14:textId="77777777" w:rsidTr="00AB3D40">
        <w:tblPrEx>
          <w:tblCellMar>
            <w:left w:w="108" w:type="dxa"/>
            <w:right w:w="108" w:type="dxa"/>
          </w:tblCellMar>
        </w:tblPrEx>
        <w:tc>
          <w:tcPr>
            <w:tcW w:w="1047" w:type="pct"/>
            <w:vAlign w:val="top"/>
          </w:tcPr>
          <w:p w14:paraId="7A8839D2" w14:textId="22C7E0CB" w:rsidR="00BD4B16" w:rsidRPr="00BD4B16" w:rsidRDefault="00BD4B16" w:rsidP="00BD4B16">
            <w:pPr>
              <w:pStyle w:val="Tabletext"/>
            </w:pPr>
            <w:r w:rsidRPr="00F24216">
              <w:t>Turnover</w:t>
            </w:r>
          </w:p>
        </w:tc>
        <w:tc>
          <w:tcPr>
            <w:tcW w:w="1184" w:type="pct"/>
            <w:vAlign w:val="top"/>
          </w:tcPr>
          <w:p w14:paraId="571F1A89" w14:textId="6907A150" w:rsidR="00BD4B16" w:rsidRPr="00BD4B16" w:rsidRDefault="00BD4B16" w:rsidP="00BD4B16">
            <w:pPr>
              <w:pStyle w:val="Tabletext"/>
              <w:rPr>
                <w:b/>
                <w:bCs/>
              </w:rPr>
            </w:pPr>
            <w:r w:rsidRPr="00F24216">
              <w:t>500,000 or more but less than 1 million</w:t>
            </w:r>
          </w:p>
        </w:tc>
        <w:tc>
          <w:tcPr>
            <w:tcW w:w="1384" w:type="pct"/>
            <w:vAlign w:val="top"/>
          </w:tcPr>
          <w:p w14:paraId="5F49CD50" w14:textId="747B55E8" w:rsidR="00BD4B16" w:rsidRPr="00BD4B16" w:rsidRDefault="00BD4B16" w:rsidP="00BD4B16">
            <w:pPr>
              <w:pStyle w:val="Tabletext"/>
              <w:jc w:val="right"/>
            </w:pPr>
            <w:r w:rsidRPr="002F4A79">
              <w:t>7.8%</w:t>
            </w:r>
          </w:p>
        </w:tc>
        <w:tc>
          <w:tcPr>
            <w:tcW w:w="1384" w:type="pct"/>
            <w:vAlign w:val="top"/>
          </w:tcPr>
          <w:p w14:paraId="2D566435" w14:textId="28CB32A9" w:rsidR="00BD4B16" w:rsidRPr="00BD4B16" w:rsidRDefault="00BD4B16" w:rsidP="00BD4B16">
            <w:pPr>
              <w:pStyle w:val="Tabletext"/>
              <w:jc w:val="right"/>
            </w:pPr>
            <w:r w:rsidRPr="00AD0BB7">
              <w:t>0.5%</w:t>
            </w:r>
          </w:p>
        </w:tc>
      </w:tr>
      <w:tr w:rsidR="00BD4B16" w:rsidRPr="00BD4B16" w14:paraId="1C26EFBD"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0479EC9E" w14:textId="64C46489" w:rsidR="00BD4B16" w:rsidRPr="00BD4B16" w:rsidRDefault="00BD4B16" w:rsidP="00BD4B16">
            <w:pPr>
              <w:pStyle w:val="Tabletext"/>
            </w:pPr>
            <w:r w:rsidRPr="00F24216">
              <w:t>Turnover</w:t>
            </w:r>
          </w:p>
        </w:tc>
        <w:tc>
          <w:tcPr>
            <w:tcW w:w="1184" w:type="pct"/>
            <w:vAlign w:val="top"/>
          </w:tcPr>
          <w:p w14:paraId="54772A10" w14:textId="5D51B9E1" w:rsidR="00BD4B16" w:rsidRPr="00BD4B16" w:rsidRDefault="00BD4B16" w:rsidP="00BD4B16">
            <w:pPr>
              <w:pStyle w:val="Tabletext"/>
              <w:rPr>
                <w:b/>
                <w:bCs/>
              </w:rPr>
            </w:pPr>
            <w:r w:rsidRPr="00F24216">
              <w:t>1 million or more but less than 5 million</w:t>
            </w:r>
          </w:p>
        </w:tc>
        <w:tc>
          <w:tcPr>
            <w:tcW w:w="1384" w:type="pct"/>
            <w:vAlign w:val="top"/>
          </w:tcPr>
          <w:p w14:paraId="7A957848" w14:textId="3A9B8D0F" w:rsidR="00BD4B16" w:rsidRPr="00BD4B16" w:rsidRDefault="00BD4B16" w:rsidP="00BD4B16">
            <w:pPr>
              <w:pStyle w:val="Tabletext"/>
              <w:jc w:val="right"/>
            </w:pPr>
            <w:r w:rsidRPr="002F4A79">
              <w:t>4.1%</w:t>
            </w:r>
          </w:p>
        </w:tc>
        <w:tc>
          <w:tcPr>
            <w:tcW w:w="1384" w:type="pct"/>
            <w:vAlign w:val="top"/>
          </w:tcPr>
          <w:p w14:paraId="53346581" w14:textId="1663421B" w:rsidR="00BD4B16" w:rsidRPr="00BD4B16" w:rsidRDefault="00BD4B16" w:rsidP="00BD4B16">
            <w:pPr>
              <w:pStyle w:val="Tabletext"/>
              <w:jc w:val="right"/>
            </w:pPr>
            <w:r w:rsidRPr="00AD0BB7">
              <w:t>0.5%</w:t>
            </w:r>
          </w:p>
        </w:tc>
      </w:tr>
      <w:tr w:rsidR="00BD4B16" w:rsidRPr="00BD4B16" w14:paraId="3F752CA0" w14:textId="77777777" w:rsidTr="00AB3D40">
        <w:tblPrEx>
          <w:tblCellMar>
            <w:left w:w="108" w:type="dxa"/>
            <w:right w:w="108" w:type="dxa"/>
          </w:tblCellMar>
        </w:tblPrEx>
        <w:tc>
          <w:tcPr>
            <w:tcW w:w="1047" w:type="pct"/>
            <w:vAlign w:val="top"/>
          </w:tcPr>
          <w:p w14:paraId="1CC7F264" w14:textId="2354CBF9" w:rsidR="00BD4B16" w:rsidRPr="00BD4B16" w:rsidRDefault="00BD4B16" w:rsidP="00BD4B16">
            <w:pPr>
              <w:pStyle w:val="Tabletext"/>
            </w:pPr>
            <w:r w:rsidRPr="00F24216">
              <w:t>Turnover</w:t>
            </w:r>
          </w:p>
        </w:tc>
        <w:tc>
          <w:tcPr>
            <w:tcW w:w="1184" w:type="pct"/>
            <w:vAlign w:val="top"/>
          </w:tcPr>
          <w:p w14:paraId="3DAA99CE" w14:textId="0721E421" w:rsidR="00BD4B16" w:rsidRPr="00BD4B16" w:rsidRDefault="00BD4B16" w:rsidP="00BD4B16">
            <w:pPr>
              <w:pStyle w:val="Tabletext"/>
              <w:rPr>
                <w:b/>
                <w:bCs/>
              </w:rPr>
            </w:pPr>
            <w:r w:rsidRPr="00F24216">
              <w:t>5 million or more</w:t>
            </w:r>
          </w:p>
        </w:tc>
        <w:tc>
          <w:tcPr>
            <w:tcW w:w="1384" w:type="pct"/>
            <w:vAlign w:val="top"/>
          </w:tcPr>
          <w:p w14:paraId="54DB4582" w14:textId="7C7F41F3" w:rsidR="00BD4B16" w:rsidRPr="00BD4B16" w:rsidRDefault="00BD4B16" w:rsidP="00BD4B16">
            <w:pPr>
              <w:pStyle w:val="Tabletext"/>
              <w:jc w:val="right"/>
            </w:pPr>
            <w:r w:rsidRPr="002F4A79">
              <w:t>5.2%</w:t>
            </w:r>
          </w:p>
        </w:tc>
        <w:tc>
          <w:tcPr>
            <w:tcW w:w="1384" w:type="pct"/>
            <w:vAlign w:val="top"/>
          </w:tcPr>
          <w:p w14:paraId="7B06659D" w14:textId="78EBCEEF" w:rsidR="00BD4B16" w:rsidRPr="00BD4B16" w:rsidRDefault="00BD4B16" w:rsidP="00BD4B16">
            <w:pPr>
              <w:pStyle w:val="Tabletext"/>
              <w:jc w:val="right"/>
            </w:pPr>
            <w:r w:rsidRPr="00AD0BB7">
              <w:t>0.5%</w:t>
            </w:r>
          </w:p>
        </w:tc>
      </w:tr>
      <w:tr w:rsidR="00BD4B16" w:rsidRPr="00BD4B16" w14:paraId="12B94EFB"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0D3DC1E2" w14:textId="3A398335" w:rsidR="00BD4B16" w:rsidRPr="00BD4B16" w:rsidRDefault="00BD4B16" w:rsidP="00BD4B16">
            <w:pPr>
              <w:pStyle w:val="Tabletext"/>
            </w:pPr>
            <w:r w:rsidRPr="00F24216">
              <w:t>Staff</w:t>
            </w:r>
          </w:p>
        </w:tc>
        <w:tc>
          <w:tcPr>
            <w:tcW w:w="1184" w:type="pct"/>
            <w:vAlign w:val="top"/>
          </w:tcPr>
          <w:p w14:paraId="1543A0B8" w14:textId="4B6B4B17" w:rsidR="00BD4B16" w:rsidRPr="00BD4B16" w:rsidRDefault="00BD4B16" w:rsidP="00BD4B16">
            <w:pPr>
              <w:pStyle w:val="Tabletext"/>
              <w:rPr>
                <w:b/>
                <w:bCs/>
              </w:rPr>
            </w:pPr>
            <w:r w:rsidRPr="00F24216">
              <w:t>1</w:t>
            </w:r>
          </w:p>
        </w:tc>
        <w:tc>
          <w:tcPr>
            <w:tcW w:w="1384" w:type="pct"/>
            <w:vAlign w:val="top"/>
          </w:tcPr>
          <w:p w14:paraId="5E796D5C" w14:textId="39120EC0" w:rsidR="00BD4B16" w:rsidRPr="00BD4B16" w:rsidRDefault="00BD4B16" w:rsidP="00BD4B16">
            <w:pPr>
              <w:pStyle w:val="Tabletext"/>
              <w:jc w:val="right"/>
            </w:pPr>
            <w:r w:rsidRPr="002F4A79">
              <w:t>4.3%</w:t>
            </w:r>
          </w:p>
        </w:tc>
        <w:tc>
          <w:tcPr>
            <w:tcW w:w="1384" w:type="pct"/>
            <w:vAlign w:val="top"/>
          </w:tcPr>
          <w:p w14:paraId="73655D4D" w14:textId="096EB1D2" w:rsidR="00BD4B16" w:rsidRPr="00BD4B16" w:rsidRDefault="00BD4B16" w:rsidP="00BD4B16">
            <w:pPr>
              <w:pStyle w:val="Tabletext"/>
              <w:jc w:val="right"/>
            </w:pPr>
            <w:r w:rsidRPr="00AD0BB7">
              <w:t>5.5%</w:t>
            </w:r>
          </w:p>
        </w:tc>
      </w:tr>
      <w:tr w:rsidR="00BD4B16" w:rsidRPr="00BD4B16" w14:paraId="71DB3645" w14:textId="77777777" w:rsidTr="00AB3D40">
        <w:tblPrEx>
          <w:tblCellMar>
            <w:left w:w="108" w:type="dxa"/>
            <w:right w:w="108" w:type="dxa"/>
          </w:tblCellMar>
        </w:tblPrEx>
        <w:tc>
          <w:tcPr>
            <w:tcW w:w="1047" w:type="pct"/>
            <w:vAlign w:val="top"/>
          </w:tcPr>
          <w:p w14:paraId="6A17BE56" w14:textId="6E2C8C17" w:rsidR="00BD4B16" w:rsidRPr="00BD4B16" w:rsidRDefault="00BD4B16" w:rsidP="00BD4B16">
            <w:pPr>
              <w:pStyle w:val="Tabletext"/>
            </w:pPr>
            <w:r w:rsidRPr="00F24216">
              <w:t>Staff</w:t>
            </w:r>
          </w:p>
        </w:tc>
        <w:tc>
          <w:tcPr>
            <w:tcW w:w="1184" w:type="pct"/>
            <w:vAlign w:val="top"/>
          </w:tcPr>
          <w:p w14:paraId="2BEDCA33" w14:textId="3E074D49" w:rsidR="00BD4B16" w:rsidRPr="00BD4B16" w:rsidRDefault="00BD4B16" w:rsidP="00BD4B16">
            <w:pPr>
              <w:pStyle w:val="Tabletext"/>
              <w:rPr>
                <w:b/>
                <w:bCs/>
              </w:rPr>
            </w:pPr>
            <w:r w:rsidRPr="00F24216">
              <w:t>2-4</w:t>
            </w:r>
          </w:p>
        </w:tc>
        <w:tc>
          <w:tcPr>
            <w:tcW w:w="1384" w:type="pct"/>
            <w:vAlign w:val="top"/>
          </w:tcPr>
          <w:p w14:paraId="5C72E203" w14:textId="04CC9ED1" w:rsidR="00BD4B16" w:rsidRPr="00BD4B16" w:rsidRDefault="00BD4B16" w:rsidP="00BD4B16">
            <w:pPr>
              <w:pStyle w:val="Tabletext"/>
              <w:jc w:val="right"/>
            </w:pPr>
            <w:r w:rsidRPr="002F4A79">
              <w:t>2.5%</w:t>
            </w:r>
          </w:p>
        </w:tc>
        <w:tc>
          <w:tcPr>
            <w:tcW w:w="1384" w:type="pct"/>
            <w:vAlign w:val="top"/>
          </w:tcPr>
          <w:p w14:paraId="3E5584FA" w14:textId="76A876AA" w:rsidR="00BD4B16" w:rsidRPr="00BD4B16" w:rsidRDefault="00BD4B16" w:rsidP="00BD4B16">
            <w:pPr>
              <w:pStyle w:val="Tabletext"/>
              <w:jc w:val="right"/>
            </w:pPr>
            <w:r w:rsidRPr="00AD0BB7">
              <w:t>7.7%</w:t>
            </w:r>
          </w:p>
        </w:tc>
      </w:tr>
      <w:tr w:rsidR="00BD4B16" w:rsidRPr="00BD4B16" w14:paraId="1D006C00"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01BDF1E7" w14:textId="392CB7F8" w:rsidR="00BD4B16" w:rsidRPr="00BD4B16" w:rsidRDefault="00BD4B16" w:rsidP="00BD4B16">
            <w:pPr>
              <w:pStyle w:val="Tabletext"/>
            </w:pPr>
            <w:r w:rsidRPr="00F24216">
              <w:t>Staff</w:t>
            </w:r>
          </w:p>
        </w:tc>
        <w:tc>
          <w:tcPr>
            <w:tcW w:w="1184" w:type="pct"/>
            <w:vAlign w:val="top"/>
          </w:tcPr>
          <w:p w14:paraId="6EF5CFB5" w14:textId="039A85C1" w:rsidR="00BD4B16" w:rsidRPr="00BD4B16" w:rsidRDefault="00BD4B16" w:rsidP="00BD4B16">
            <w:pPr>
              <w:pStyle w:val="Tabletext"/>
            </w:pPr>
            <w:r w:rsidRPr="00F24216">
              <w:t>5-9</w:t>
            </w:r>
          </w:p>
        </w:tc>
        <w:tc>
          <w:tcPr>
            <w:tcW w:w="1384" w:type="pct"/>
            <w:vAlign w:val="top"/>
          </w:tcPr>
          <w:p w14:paraId="672E33B6" w14:textId="38F55AD8" w:rsidR="00BD4B16" w:rsidRPr="00BD4B16" w:rsidRDefault="00BD4B16" w:rsidP="00BD4B16">
            <w:pPr>
              <w:pStyle w:val="Tabletext"/>
              <w:jc w:val="right"/>
            </w:pPr>
            <w:r w:rsidRPr="002F4A79">
              <w:t>10.7%</w:t>
            </w:r>
          </w:p>
        </w:tc>
        <w:tc>
          <w:tcPr>
            <w:tcW w:w="1384" w:type="pct"/>
            <w:vAlign w:val="top"/>
          </w:tcPr>
          <w:p w14:paraId="7282BFAE" w14:textId="37DD4C7F" w:rsidR="00BD4B16" w:rsidRPr="00BD4B16" w:rsidRDefault="00BD4B16" w:rsidP="00BD4B16">
            <w:pPr>
              <w:pStyle w:val="Tabletext"/>
              <w:jc w:val="right"/>
            </w:pPr>
            <w:r w:rsidRPr="00AD0BB7">
              <w:t>0.0%</w:t>
            </w:r>
          </w:p>
        </w:tc>
      </w:tr>
      <w:tr w:rsidR="00BD4B16" w:rsidRPr="00BD4B16" w14:paraId="2447F904" w14:textId="77777777" w:rsidTr="00AB3D40">
        <w:tblPrEx>
          <w:tblCellMar>
            <w:left w:w="108" w:type="dxa"/>
            <w:right w:w="108" w:type="dxa"/>
          </w:tblCellMar>
        </w:tblPrEx>
        <w:tc>
          <w:tcPr>
            <w:tcW w:w="1047" w:type="pct"/>
            <w:vAlign w:val="top"/>
          </w:tcPr>
          <w:p w14:paraId="343C0428" w14:textId="5A09FCBA" w:rsidR="00BD4B16" w:rsidRPr="00BD4B16" w:rsidRDefault="00BD4B16" w:rsidP="00BD4B16">
            <w:pPr>
              <w:pStyle w:val="Tabletext"/>
            </w:pPr>
            <w:r w:rsidRPr="00F24216">
              <w:t>Staff</w:t>
            </w:r>
          </w:p>
        </w:tc>
        <w:tc>
          <w:tcPr>
            <w:tcW w:w="1184" w:type="pct"/>
            <w:vAlign w:val="top"/>
          </w:tcPr>
          <w:p w14:paraId="7D78494B" w14:textId="4C314D93" w:rsidR="00BD4B16" w:rsidRPr="00BD4B16" w:rsidRDefault="00BD4B16" w:rsidP="00BD4B16">
            <w:pPr>
              <w:pStyle w:val="Tabletext"/>
            </w:pPr>
            <w:r w:rsidRPr="00F24216">
              <w:t>10-24</w:t>
            </w:r>
          </w:p>
        </w:tc>
        <w:tc>
          <w:tcPr>
            <w:tcW w:w="1384" w:type="pct"/>
            <w:vAlign w:val="top"/>
          </w:tcPr>
          <w:p w14:paraId="0AA0CF7D" w14:textId="37AADCAC" w:rsidR="00BD4B16" w:rsidRPr="00BD4B16" w:rsidRDefault="00BD4B16" w:rsidP="00BD4B16">
            <w:pPr>
              <w:pStyle w:val="Tabletext"/>
              <w:jc w:val="right"/>
            </w:pPr>
            <w:r w:rsidRPr="002F4A79">
              <w:t>6.0%</w:t>
            </w:r>
          </w:p>
        </w:tc>
        <w:tc>
          <w:tcPr>
            <w:tcW w:w="1384" w:type="pct"/>
            <w:vAlign w:val="top"/>
          </w:tcPr>
          <w:p w14:paraId="5644B105" w14:textId="3FCC7DFA" w:rsidR="00BD4B16" w:rsidRPr="00BD4B16" w:rsidRDefault="00BD4B16" w:rsidP="00BD4B16">
            <w:pPr>
              <w:pStyle w:val="Tabletext"/>
              <w:jc w:val="right"/>
            </w:pPr>
            <w:r w:rsidRPr="00AD0BB7">
              <w:t>2.2%</w:t>
            </w:r>
          </w:p>
        </w:tc>
      </w:tr>
      <w:tr w:rsidR="00BD4B16" w:rsidRPr="00BD4B16" w14:paraId="55EABA65"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7828CD04" w14:textId="1A79F0B9" w:rsidR="00BD4B16" w:rsidRPr="00BD4B16" w:rsidRDefault="00BD4B16" w:rsidP="00BD4B16">
            <w:pPr>
              <w:pStyle w:val="Tabletext"/>
            </w:pPr>
            <w:r w:rsidRPr="00F24216">
              <w:t>Staff</w:t>
            </w:r>
          </w:p>
        </w:tc>
        <w:tc>
          <w:tcPr>
            <w:tcW w:w="1184" w:type="pct"/>
            <w:vAlign w:val="top"/>
          </w:tcPr>
          <w:p w14:paraId="504E05FE" w14:textId="5314A766" w:rsidR="00BD4B16" w:rsidRPr="00BD4B16" w:rsidRDefault="00BD4B16" w:rsidP="00BD4B16">
            <w:pPr>
              <w:pStyle w:val="Tabletext"/>
            </w:pPr>
            <w:r w:rsidRPr="00F24216">
              <w:t>25-49</w:t>
            </w:r>
          </w:p>
        </w:tc>
        <w:tc>
          <w:tcPr>
            <w:tcW w:w="1384" w:type="pct"/>
            <w:vAlign w:val="top"/>
          </w:tcPr>
          <w:p w14:paraId="5C48BEB5" w14:textId="30E081E9" w:rsidR="00BD4B16" w:rsidRPr="00BD4B16" w:rsidRDefault="00BD4B16" w:rsidP="00BD4B16">
            <w:pPr>
              <w:pStyle w:val="Tabletext"/>
              <w:jc w:val="right"/>
            </w:pPr>
            <w:r w:rsidRPr="002F4A79">
              <w:t>4.4%</w:t>
            </w:r>
          </w:p>
        </w:tc>
        <w:tc>
          <w:tcPr>
            <w:tcW w:w="1384" w:type="pct"/>
            <w:vAlign w:val="top"/>
          </w:tcPr>
          <w:p w14:paraId="6DC912FF" w14:textId="2309B17F" w:rsidR="00BD4B16" w:rsidRPr="00BD4B16" w:rsidRDefault="00BD4B16" w:rsidP="00BD4B16">
            <w:pPr>
              <w:pStyle w:val="Tabletext"/>
              <w:jc w:val="right"/>
            </w:pPr>
            <w:r w:rsidRPr="00AD0BB7">
              <w:t>4.9%</w:t>
            </w:r>
          </w:p>
        </w:tc>
      </w:tr>
      <w:tr w:rsidR="00BD4B16" w:rsidRPr="00BD4B16" w14:paraId="2AB6BD77" w14:textId="77777777" w:rsidTr="00AB3D40">
        <w:tblPrEx>
          <w:tblCellMar>
            <w:left w:w="108" w:type="dxa"/>
            <w:right w:w="108" w:type="dxa"/>
          </w:tblCellMar>
        </w:tblPrEx>
        <w:tc>
          <w:tcPr>
            <w:tcW w:w="1047" w:type="pct"/>
            <w:vAlign w:val="top"/>
          </w:tcPr>
          <w:p w14:paraId="28FD94FA" w14:textId="5A66C4C0" w:rsidR="00BD4B16" w:rsidRPr="00BD4B16" w:rsidRDefault="00BD4B16" w:rsidP="00BD4B16">
            <w:pPr>
              <w:pStyle w:val="Tabletext"/>
            </w:pPr>
            <w:r w:rsidRPr="00F24216">
              <w:t>Staff</w:t>
            </w:r>
          </w:p>
        </w:tc>
        <w:tc>
          <w:tcPr>
            <w:tcW w:w="1184" w:type="pct"/>
            <w:vAlign w:val="top"/>
          </w:tcPr>
          <w:p w14:paraId="2348FDF5" w14:textId="3396EBA4" w:rsidR="00BD4B16" w:rsidRPr="00BD4B16" w:rsidRDefault="00BD4B16" w:rsidP="00BD4B16">
            <w:pPr>
              <w:pStyle w:val="Tabletext"/>
            </w:pPr>
            <w:r w:rsidRPr="00F24216">
              <w:t>50+</w:t>
            </w:r>
          </w:p>
        </w:tc>
        <w:tc>
          <w:tcPr>
            <w:tcW w:w="1384" w:type="pct"/>
            <w:vAlign w:val="top"/>
          </w:tcPr>
          <w:p w14:paraId="42437041" w14:textId="2FE48FCD" w:rsidR="00BD4B16" w:rsidRPr="00BD4B16" w:rsidRDefault="00BD4B16" w:rsidP="00BD4B16">
            <w:pPr>
              <w:pStyle w:val="Tabletext"/>
              <w:jc w:val="right"/>
            </w:pPr>
            <w:r w:rsidRPr="002F4A79">
              <w:t>5.6%</w:t>
            </w:r>
          </w:p>
        </w:tc>
        <w:tc>
          <w:tcPr>
            <w:tcW w:w="1384" w:type="pct"/>
            <w:vAlign w:val="top"/>
          </w:tcPr>
          <w:p w14:paraId="303635B2" w14:textId="45EB082A" w:rsidR="00BD4B16" w:rsidRPr="00BD4B16" w:rsidRDefault="00BD4B16" w:rsidP="00BD4B16">
            <w:pPr>
              <w:pStyle w:val="Tabletext"/>
              <w:jc w:val="right"/>
            </w:pPr>
            <w:r w:rsidRPr="00AD0BB7">
              <w:t>0.5%</w:t>
            </w:r>
          </w:p>
        </w:tc>
      </w:tr>
      <w:tr w:rsidR="00BD4B16" w:rsidRPr="00BD4B16" w14:paraId="18421DB6"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3F8F42DD" w14:textId="3FDAD004" w:rsidR="00BD4B16" w:rsidRPr="00BD4B16" w:rsidRDefault="00BD4B16" w:rsidP="00BD4B16">
            <w:pPr>
              <w:pStyle w:val="Tabletext"/>
            </w:pPr>
            <w:r w:rsidRPr="00F24216">
              <w:t>Turnover Growth</w:t>
            </w:r>
          </w:p>
        </w:tc>
        <w:tc>
          <w:tcPr>
            <w:tcW w:w="1184" w:type="pct"/>
            <w:vAlign w:val="top"/>
          </w:tcPr>
          <w:p w14:paraId="760500CF" w14:textId="486AF056" w:rsidR="00BD4B16" w:rsidRPr="00BD4B16" w:rsidRDefault="00BD4B16" w:rsidP="00BD4B16">
            <w:pPr>
              <w:pStyle w:val="Tabletext"/>
            </w:pPr>
            <w:r w:rsidRPr="00F24216">
              <w:t>Unknown</w:t>
            </w:r>
          </w:p>
        </w:tc>
        <w:tc>
          <w:tcPr>
            <w:tcW w:w="1384" w:type="pct"/>
            <w:vAlign w:val="top"/>
          </w:tcPr>
          <w:p w14:paraId="38FCEDF3" w14:textId="6E6D823D" w:rsidR="00BD4B16" w:rsidRPr="00BD4B16" w:rsidRDefault="00BD4B16" w:rsidP="00BD4B16">
            <w:pPr>
              <w:pStyle w:val="Tabletext"/>
              <w:jc w:val="right"/>
            </w:pPr>
            <w:r w:rsidRPr="002F4A79">
              <w:t>0.9%</w:t>
            </w:r>
          </w:p>
        </w:tc>
        <w:tc>
          <w:tcPr>
            <w:tcW w:w="1384" w:type="pct"/>
            <w:vAlign w:val="top"/>
          </w:tcPr>
          <w:p w14:paraId="5A415AB8" w14:textId="64A5017B" w:rsidR="00BD4B16" w:rsidRPr="00BD4B16" w:rsidRDefault="00BD4B16" w:rsidP="00BD4B16">
            <w:pPr>
              <w:pStyle w:val="Tabletext"/>
              <w:jc w:val="right"/>
            </w:pPr>
            <w:r w:rsidRPr="00AD0BB7">
              <w:t>0.0%</w:t>
            </w:r>
          </w:p>
        </w:tc>
      </w:tr>
      <w:tr w:rsidR="00BD4B16" w:rsidRPr="00BD4B16" w14:paraId="7DDB7B3B" w14:textId="77777777" w:rsidTr="00AB3D40">
        <w:tblPrEx>
          <w:tblCellMar>
            <w:left w:w="108" w:type="dxa"/>
            <w:right w:w="108" w:type="dxa"/>
          </w:tblCellMar>
        </w:tblPrEx>
        <w:tc>
          <w:tcPr>
            <w:tcW w:w="1047" w:type="pct"/>
            <w:vAlign w:val="top"/>
          </w:tcPr>
          <w:p w14:paraId="3B7A92EE" w14:textId="4992E6A3" w:rsidR="00BD4B16" w:rsidRPr="00BD4B16" w:rsidRDefault="00BD4B16" w:rsidP="00BD4B16">
            <w:pPr>
              <w:pStyle w:val="Tabletext"/>
            </w:pPr>
            <w:r w:rsidRPr="00F24216">
              <w:t>Turnover Growth</w:t>
            </w:r>
          </w:p>
        </w:tc>
        <w:tc>
          <w:tcPr>
            <w:tcW w:w="1184" w:type="pct"/>
            <w:vAlign w:val="top"/>
          </w:tcPr>
          <w:p w14:paraId="686376B2" w14:textId="23A6DB6D" w:rsidR="00BD4B16" w:rsidRPr="00BD4B16" w:rsidRDefault="00BD4B16" w:rsidP="00BD4B16">
            <w:pPr>
              <w:pStyle w:val="Tabletext"/>
            </w:pPr>
            <w:r w:rsidRPr="00F24216">
              <w:t>&lt;= -50%</w:t>
            </w:r>
          </w:p>
        </w:tc>
        <w:tc>
          <w:tcPr>
            <w:tcW w:w="1384" w:type="pct"/>
            <w:vAlign w:val="top"/>
          </w:tcPr>
          <w:p w14:paraId="4ACD7A62" w14:textId="7A2A4509" w:rsidR="00BD4B16" w:rsidRPr="00BD4B16" w:rsidRDefault="00BD4B16" w:rsidP="00BD4B16">
            <w:pPr>
              <w:pStyle w:val="Tabletext"/>
              <w:jc w:val="right"/>
            </w:pPr>
            <w:r w:rsidRPr="002F4A79">
              <w:t>2.7%</w:t>
            </w:r>
          </w:p>
        </w:tc>
        <w:tc>
          <w:tcPr>
            <w:tcW w:w="1384" w:type="pct"/>
            <w:vAlign w:val="top"/>
          </w:tcPr>
          <w:p w14:paraId="47DCD4C6" w14:textId="2936BDCD" w:rsidR="00BD4B16" w:rsidRPr="00BD4B16" w:rsidRDefault="00BD4B16" w:rsidP="00BD4B16">
            <w:pPr>
              <w:pStyle w:val="Tabletext"/>
              <w:jc w:val="right"/>
            </w:pPr>
            <w:r w:rsidRPr="00AD0BB7">
              <w:t>2.7%</w:t>
            </w:r>
          </w:p>
        </w:tc>
      </w:tr>
      <w:tr w:rsidR="00BD4B16" w:rsidRPr="00BD4B16" w14:paraId="662E7888"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8137553" w14:textId="533CA0C4" w:rsidR="00BD4B16" w:rsidRPr="00BD4B16" w:rsidRDefault="00BD4B16" w:rsidP="00BD4B16">
            <w:pPr>
              <w:pStyle w:val="Tabletext"/>
            </w:pPr>
            <w:r w:rsidRPr="00F24216">
              <w:t>Turnover Growth</w:t>
            </w:r>
          </w:p>
        </w:tc>
        <w:tc>
          <w:tcPr>
            <w:tcW w:w="1184" w:type="pct"/>
            <w:vAlign w:val="top"/>
          </w:tcPr>
          <w:p w14:paraId="4D88EAC3" w14:textId="57F05392" w:rsidR="00BD4B16" w:rsidRPr="00BD4B16" w:rsidRDefault="00BD4B16" w:rsidP="00BD4B16">
            <w:pPr>
              <w:pStyle w:val="Tabletext"/>
              <w:rPr>
                <w:b/>
                <w:bCs/>
              </w:rPr>
            </w:pPr>
            <w:r w:rsidRPr="00F24216">
              <w:t>&gt;-50% but less than -20%</w:t>
            </w:r>
          </w:p>
        </w:tc>
        <w:tc>
          <w:tcPr>
            <w:tcW w:w="1384" w:type="pct"/>
            <w:vAlign w:val="top"/>
          </w:tcPr>
          <w:p w14:paraId="18A30D1D" w14:textId="42A7533F" w:rsidR="00BD4B16" w:rsidRPr="00BD4B16" w:rsidRDefault="00BD4B16" w:rsidP="00BD4B16">
            <w:pPr>
              <w:pStyle w:val="Tabletext"/>
              <w:jc w:val="right"/>
            </w:pPr>
            <w:r w:rsidRPr="002F4A79">
              <w:t>5.4%</w:t>
            </w:r>
          </w:p>
        </w:tc>
        <w:tc>
          <w:tcPr>
            <w:tcW w:w="1384" w:type="pct"/>
            <w:vAlign w:val="top"/>
          </w:tcPr>
          <w:p w14:paraId="423AD5F2" w14:textId="341C2D73" w:rsidR="00BD4B16" w:rsidRPr="00BD4B16" w:rsidRDefault="00BD4B16" w:rsidP="00BD4B16">
            <w:pPr>
              <w:pStyle w:val="Tabletext"/>
              <w:jc w:val="right"/>
            </w:pPr>
            <w:r w:rsidRPr="00AD0BB7">
              <w:t>0.5%</w:t>
            </w:r>
          </w:p>
        </w:tc>
      </w:tr>
      <w:tr w:rsidR="00BD4B16" w:rsidRPr="00BD4B16" w14:paraId="4A863851" w14:textId="77777777" w:rsidTr="00AB3D40">
        <w:tblPrEx>
          <w:tblCellMar>
            <w:left w:w="108" w:type="dxa"/>
            <w:right w:w="108" w:type="dxa"/>
          </w:tblCellMar>
        </w:tblPrEx>
        <w:tc>
          <w:tcPr>
            <w:tcW w:w="1047" w:type="pct"/>
            <w:vAlign w:val="top"/>
          </w:tcPr>
          <w:p w14:paraId="1FD2EE85" w14:textId="39C2F61C" w:rsidR="00BD4B16" w:rsidRPr="00BD4B16" w:rsidRDefault="00BD4B16" w:rsidP="00BD4B16">
            <w:pPr>
              <w:pStyle w:val="Tabletext"/>
            </w:pPr>
            <w:r w:rsidRPr="00F24216">
              <w:t>Turnover Growth</w:t>
            </w:r>
          </w:p>
        </w:tc>
        <w:tc>
          <w:tcPr>
            <w:tcW w:w="1184" w:type="pct"/>
            <w:vAlign w:val="top"/>
          </w:tcPr>
          <w:p w14:paraId="7A153A7B" w14:textId="0768637F" w:rsidR="00BD4B16" w:rsidRPr="00BD4B16" w:rsidRDefault="00BD4B16" w:rsidP="00BD4B16">
            <w:pPr>
              <w:pStyle w:val="Tabletext"/>
            </w:pPr>
            <w:r w:rsidRPr="00F24216">
              <w:t>&gt;=-20% but less than 0%</w:t>
            </w:r>
          </w:p>
        </w:tc>
        <w:tc>
          <w:tcPr>
            <w:tcW w:w="1384" w:type="pct"/>
            <w:vAlign w:val="top"/>
          </w:tcPr>
          <w:p w14:paraId="1B717C8B" w14:textId="28315DCC" w:rsidR="00BD4B16" w:rsidRPr="00BD4B16" w:rsidRDefault="00BD4B16" w:rsidP="00BD4B16">
            <w:pPr>
              <w:pStyle w:val="Tabletext"/>
              <w:jc w:val="right"/>
            </w:pPr>
            <w:r w:rsidRPr="002F4A79">
              <w:t>0.7%</w:t>
            </w:r>
          </w:p>
        </w:tc>
        <w:tc>
          <w:tcPr>
            <w:tcW w:w="1384" w:type="pct"/>
            <w:vAlign w:val="top"/>
          </w:tcPr>
          <w:p w14:paraId="6BC39DB6" w14:textId="380875A9" w:rsidR="00BD4B16" w:rsidRPr="00BD4B16" w:rsidRDefault="00BD4B16" w:rsidP="00BD4B16">
            <w:pPr>
              <w:pStyle w:val="Tabletext"/>
              <w:jc w:val="right"/>
            </w:pPr>
            <w:r w:rsidRPr="00AD0BB7">
              <w:t>6.0%</w:t>
            </w:r>
          </w:p>
        </w:tc>
      </w:tr>
      <w:tr w:rsidR="00BD4B16" w:rsidRPr="00BD4B16" w14:paraId="670D5FA4"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1A2B562B" w14:textId="4ABDB203" w:rsidR="00BD4B16" w:rsidRPr="00BD4B16" w:rsidRDefault="00BD4B16" w:rsidP="00BD4B16">
            <w:pPr>
              <w:pStyle w:val="Tabletext"/>
            </w:pPr>
            <w:r w:rsidRPr="00F24216">
              <w:t>Turnover Growth</w:t>
            </w:r>
          </w:p>
        </w:tc>
        <w:tc>
          <w:tcPr>
            <w:tcW w:w="1184" w:type="pct"/>
            <w:vAlign w:val="top"/>
          </w:tcPr>
          <w:p w14:paraId="0B9561D4" w14:textId="6A6303BD" w:rsidR="00BD4B16" w:rsidRPr="00BD4B16" w:rsidRDefault="00BD4B16" w:rsidP="00BD4B16">
            <w:pPr>
              <w:pStyle w:val="Tabletext"/>
            </w:pPr>
            <w:r w:rsidRPr="00F24216">
              <w:t>0%</w:t>
            </w:r>
          </w:p>
        </w:tc>
        <w:tc>
          <w:tcPr>
            <w:tcW w:w="1384" w:type="pct"/>
            <w:vAlign w:val="top"/>
          </w:tcPr>
          <w:p w14:paraId="7CD6A9F3" w14:textId="08E820A6" w:rsidR="00BD4B16" w:rsidRPr="00BD4B16" w:rsidRDefault="00BD4B16" w:rsidP="00BD4B16">
            <w:pPr>
              <w:pStyle w:val="Tabletext"/>
              <w:jc w:val="right"/>
            </w:pPr>
            <w:r w:rsidRPr="002F4A79">
              <w:t>10.8%</w:t>
            </w:r>
          </w:p>
        </w:tc>
        <w:tc>
          <w:tcPr>
            <w:tcW w:w="1384" w:type="pct"/>
            <w:vAlign w:val="top"/>
          </w:tcPr>
          <w:p w14:paraId="5242C85C" w14:textId="3796A8EA" w:rsidR="00BD4B16" w:rsidRPr="00BD4B16" w:rsidRDefault="00BD4B16" w:rsidP="00BD4B16">
            <w:pPr>
              <w:pStyle w:val="Tabletext"/>
              <w:jc w:val="right"/>
            </w:pPr>
            <w:r w:rsidRPr="00AD0BB7">
              <w:t>14.3%</w:t>
            </w:r>
          </w:p>
        </w:tc>
      </w:tr>
      <w:tr w:rsidR="00BD4B16" w:rsidRPr="00BD4B16" w14:paraId="1F20EC96" w14:textId="77777777" w:rsidTr="00AB3D40">
        <w:tblPrEx>
          <w:tblCellMar>
            <w:left w:w="108" w:type="dxa"/>
            <w:right w:w="108" w:type="dxa"/>
          </w:tblCellMar>
        </w:tblPrEx>
        <w:tc>
          <w:tcPr>
            <w:tcW w:w="1047" w:type="pct"/>
            <w:vAlign w:val="top"/>
          </w:tcPr>
          <w:p w14:paraId="071AF7D7" w14:textId="73936404" w:rsidR="00BD4B16" w:rsidRPr="00BD4B16" w:rsidRDefault="00BD4B16" w:rsidP="00BD4B16">
            <w:pPr>
              <w:pStyle w:val="Tabletext"/>
            </w:pPr>
            <w:r w:rsidRPr="00F24216">
              <w:t>Turnover Growth</w:t>
            </w:r>
          </w:p>
        </w:tc>
        <w:tc>
          <w:tcPr>
            <w:tcW w:w="1184" w:type="pct"/>
            <w:vAlign w:val="top"/>
          </w:tcPr>
          <w:p w14:paraId="30A29DBE" w14:textId="7870DF0B" w:rsidR="00BD4B16" w:rsidRPr="00BD4B16" w:rsidRDefault="00BD4B16" w:rsidP="00BD4B16">
            <w:pPr>
              <w:pStyle w:val="Tabletext"/>
            </w:pPr>
            <w:r w:rsidRPr="00F24216">
              <w:t>&gt;0% but less than 20%</w:t>
            </w:r>
          </w:p>
        </w:tc>
        <w:tc>
          <w:tcPr>
            <w:tcW w:w="1384" w:type="pct"/>
            <w:vAlign w:val="top"/>
          </w:tcPr>
          <w:p w14:paraId="698A430F" w14:textId="4C3922FF" w:rsidR="00BD4B16" w:rsidRPr="00BD4B16" w:rsidRDefault="00BD4B16" w:rsidP="00BD4B16">
            <w:pPr>
              <w:pStyle w:val="Tabletext"/>
              <w:jc w:val="right"/>
            </w:pPr>
            <w:r w:rsidRPr="002F4A79">
              <w:t>1.1%</w:t>
            </w:r>
          </w:p>
        </w:tc>
        <w:tc>
          <w:tcPr>
            <w:tcW w:w="1384" w:type="pct"/>
            <w:vAlign w:val="top"/>
          </w:tcPr>
          <w:p w14:paraId="783B89C3" w14:textId="29DAEEA7" w:rsidR="00BD4B16" w:rsidRPr="00BD4B16" w:rsidRDefault="00BD4B16" w:rsidP="00BD4B16">
            <w:pPr>
              <w:pStyle w:val="Tabletext"/>
              <w:jc w:val="right"/>
            </w:pPr>
            <w:r w:rsidRPr="00AD0BB7">
              <w:t>2.2%</w:t>
            </w:r>
          </w:p>
        </w:tc>
      </w:tr>
      <w:tr w:rsidR="00BD4B16" w:rsidRPr="00BD4B16" w14:paraId="082002BB"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4D20FBF3" w14:textId="1D2990ED" w:rsidR="00BD4B16" w:rsidRPr="00BD4B16" w:rsidRDefault="00BD4B16" w:rsidP="00BD4B16">
            <w:pPr>
              <w:pStyle w:val="Tabletext"/>
            </w:pPr>
            <w:r w:rsidRPr="00F24216">
              <w:t>Turnover Growth</w:t>
            </w:r>
          </w:p>
        </w:tc>
        <w:tc>
          <w:tcPr>
            <w:tcW w:w="1184" w:type="pct"/>
            <w:vAlign w:val="top"/>
          </w:tcPr>
          <w:p w14:paraId="056E81BB" w14:textId="5EA9852D" w:rsidR="00BD4B16" w:rsidRPr="00BD4B16" w:rsidRDefault="00BD4B16" w:rsidP="00BD4B16">
            <w:pPr>
              <w:pStyle w:val="Tabletext"/>
            </w:pPr>
            <w:r w:rsidRPr="00F24216">
              <w:t>&gt;=20% but less than 50%</w:t>
            </w:r>
          </w:p>
        </w:tc>
        <w:tc>
          <w:tcPr>
            <w:tcW w:w="1384" w:type="pct"/>
            <w:vAlign w:val="top"/>
          </w:tcPr>
          <w:p w14:paraId="7B739E59" w14:textId="47006E4C" w:rsidR="00BD4B16" w:rsidRPr="00BD4B16" w:rsidRDefault="00BD4B16" w:rsidP="00BD4B16">
            <w:pPr>
              <w:pStyle w:val="Tabletext"/>
              <w:jc w:val="right"/>
            </w:pPr>
            <w:r w:rsidRPr="002F4A79">
              <w:t>2.0%</w:t>
            </w:r>
          </w:p>
        </w:tc>
        <w:tc>
          <w:tcPr>
            <w:tcW w:w="1384" w:type="pct"/>
            <w:vAlign w:val="top"/>
          </w:tcPr>
          <w:p w14:paraId="1D8EBE1C" w14:textId="4F0247BF" w:rsidR="00BD4B16" w:rsidRPr="00BD4B16" w:rsidRDefault="00BD4B16" w:rsidP="00BD4B16">
            <w:pPr>
              <w:pStyle w:val="Tabletext"/>
              <w:jc w:val="right"/>
            </w:pPr>
            <w:r w:rsidRPr="00AD0BB7">
              <w:t>2.2%</w:t>
            </w:r>
          </w:p>
        </w:tc>
      </w:tr>
      <w:tr w:rsidR="00BD4B16" w:rsidRPr="00BD4B16" w14:paraId="3FD384DE" w14:textId="77777777" w:rsidTr="00AB3D40">
        <w:tblPrEx>
          <w:tblCellMar>
            <w:left w:w="108" w:type="dxa"/>
            <w:right w:w="108" w:type="dxa"/>
          </w:tblCellMar>
        </w:tblPrEx>
        <w:tc>
          <w:tcPr>
            <w:tcW w:w="1047" w:type="pct"/>
            <w:vAlign w:val="top"/>
          </w:tcPr>
          <w:p w14:paraId="4F156925" w14:textId="2866E837" w:rsidR="00BD4B16" w:rsidRPr="00BD4B16" w:rsidRDefault="00BD4B16" w:rsidP="00BD4B16">
            <w:pPr>
              <w:pStyle w:val="Tabletext"/>
            </w:pPr>
            <w:r w:rsidRPr="00F24216">
              <w:t>Turnover Growth</w:t>
            </w:r>
          </w:p>
        </w:tc>
        <w:tc>
          <w:tcPr>
            <w:tcW w:w="1184" w:type="pct"/>
            <w:vAlign w:val="top"/>
          </w:tcPr>
          <w:p w14:paraId="036F868A" w14:textId="0EE749CB" w:rsidR="00BD4B16" w:rsidRPr="00BD4B16" w:rsidRDefault="00BD4B16" w:rsidP="00BD4B16">
            <w:pPr>
              <w:pStyle w:val="Tabletext"/>
            </w:pPr>
            <w:r w:rsidRPr="00F24216">
              <w:t>&gt;= 50%</w:t>
            </w:r>
          </w:p>
        </w:tc>
        <w:tc>
          <w:tcPr>
            <w:tcW w:w="1384" w:type="pct"/>
            <w:vAlign w:val="top"/>
          </w:tcPr>
          <w:p w14:paraId="6889044B" w14:textId="76943565" w:rsidR="00BD4B16" w:rsidRPr="00BD4B16" w:rsidRDefault="00BD4B16" w:rsidP="00BD4B16">
            <w:pPr>
              <w:pStyle w:val="Tabletext"/>
              <w:jc w:val="right"/>
            </w:pPr>
            <w:r w:rsidRPr="002F4A79">
              <w:t>5.4%</w:t>
            </w:r>
          </w:p>
        </w:tc>
        <w:tc>
          <w:tcPr>
            <w:tcW w:w="1384" w:type="pct"/>
            <w:vAlign w:val="top"/>
          </w:tcPr>
          <w:p w14:paraId="6B7698DF" w14:textId="25874461" w:rsidR="00BD4B16" w:rsidRPr="00BD4B16" w:rsidRDefault="00BD4B16" w:rsidP="00BD4B16">
            <w:pPr>
              <w:pStyle w:val="Tabletext"/>
              <w:jc w:val="right"/>
            </w:pPr>
            <w:r w:rsidRPr="00AD0BB7">
              <w:t>0.5%</w:t>
            </w:r>
          </w:p>
        </w:tc>
      </w:tr>
      <w:tr w:rsidR="00BD4B16" w:rsidRPr="00BD4B16" w14:paraId="4A02488D"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309D1B2E" w14:textId="5A06B2FB" w:rsidR="00BD4B16" w:rsidRPr="00BD4B16" w:rsidRDefault="00BD4B16" w:rsidP="00BD4B16">
            <w:pPr>
              <w:pStyle w:val="Tabletext"/>
            </w:pPr>
            <w:r w:rsidRPr="00F24216">
              <w:t>Staff Growth</w:t>
            </w:r>
          </w:p>
        </w:tc>
        <w:tc>
          <w:tcPr>
            <w:tcW w:w="1184" w:type="pct"/>
            <w:vAlign w:val="top"/>
          </w:tcPr>
          <w:p w14:paraId="16288815" w14:textId="4E0D36E7" w:rsidR="00BD4B16" w:rsidRPr="00BD4B16" w:rsidRDefault="00BD4B16" w:rsidP="00BD4B16">
            <w:pPr>
              <w:pStyle w:val="Tabletext"/>
            </w:pPr>
            <w:r w:rsidRPr="00F24216">
              <w:t>&lt;= -20%</w:t>
            </w:r>
          </w:p>
        </w:tc>
        <w:tc>
          <w:tcPr>
            <w:tcW w:w="1384" w:type="pct"/>
            <w:vAlign w:val="top"/>
          </w:tcPr>
          <w:p w14:paraId="2BF95556" w14:textId="2ED15117" w:rsidR="00BD4B16" w:rsidRPr="00BD4B16" w:rsidRDefault="00BD4B16" w:rsidP="00BD4B16">
            <w:pPr>
              <w:pStyle w:val="Tabletext"/>
              <w:jc w:val="right"/>
            </w:pPr>
            <w:r w:rsidRPr="002F4A79">
              <w:t>1.4%</w:t>
            </w:r>
          </w:p>
        </w:tc>
        <w:tc>
          <w:tcPr>
            <w:tcW w:w="1384" w:type="pct"/>
            <w:vAlign w:val="top"/>
          </w:tcPr>
          <w:p w14:paraId="174B9791" w14:textId="5156F67C" w:rsidR="00BD4B16" w:rsidRPr="00BD4B16" w:rsidRDefault="00BD4B16" w:rsidP="00BD4B16">
            <w:pPr>
              <w:pStyle w:val="Tabletext"/>
              <w:jc w:val="right"/>
            </w:pPr>
            <w:r w:rsidRPr="00AD0BB7">
              <w:t>0.0%</w:t>
            </w:r>
          </w:p>
        </w:tc>
      </w:tr>
      <w:tr w:rsidR="00BD4B16" w:rsidRPr="00BD4B16" w14:paraId="6B823ADB" w14:textId="77777777" w:rsidTr="00AB3D40">
        <w:tblPrEx>
          <w:tblCellMar>
            <w:left w:w="108" w:type="dxa"/>
            <w:right w:w="108" w:type="dxa"/>
          </w:tblCellMar>
        </w:tblPrEx>
        <w:tc>
          <w:tcPr>
            <w:tcW w:w="1047" w:type="pct"/>
            <w:vAlign w:val="top"/>
          </w:tcPr>
          <w:p w14:paraId="54A62FE0" w14:textId="6C000F16" w:rsidR="00BD4B16" w:rsidRPr="00BD4B16" w:rsidRDefault="00BD4B16" w:rsidP="00BD4B16">
            <w:pPr>
              <w:pStyle w:val="Tabletext"/>
            </w:pPr>
            <w:r w:rsidRPr="00F24216">
              <w:t>Staff Growth</w:t>
            </w:r>
          </w:p>
        </w:tc>
        <w:tc>
          <w:tcPr>
            <w:tcW w:w="1184" w:type="pct"/>
            <w:vAlign w:val="top"/>
          </w:tcPr>
          <w:p w14:paraId="06877860" w14:textId="594FB0A8" w:rsidR="00BD4B16" w:rsidRPr="00BD4B16" w:rsidRDefault="00BD4B16" w:rsidP="00BD4B16">
            <w:pPr>
              <w:pStyle w:val="Tabletext"/>
            </w:pPr>
            <w:r w:rsidRPr="00F24216">
              <w:t>&gt;-20% but less than 0%</w:t>
            </w:r>
          </w:p>
        </w:tc>
        <w:tc>
          <w:tcPr>
            <w:tcW w:w="1384" w:type="pct"/>
            <w:vAlign w:val="top"/>
          </w:tcPr>
          <w:p w14:paraId="16219FBE" w14:textId="2F209A53" w:rsidR="00BD4B16" w:rsidRPr="00BD4B16" w:rsidRDefault="00BD4B16" w:rsidP="00BD4B16">
            <w:pPr>
              <w:pStyle w:val="Tabletext"/>
              <w:jc w:val="right"/>
            </w:pPr>
            <w:r w:rsidRPr="002F4A79">
              <w:t>2.0%</w:t>
            </w:r>
          </w:p>
        </w:tc>
        <w:tc>
          <w:tcPr>
            <w:tcW w:w="1384" w:type="pct"/>
            <w:vAlign w:val="top"/>
          </w:tcPr>
          <w:p w14:paraId="22F9FD96" w14:textId="103AC433" w:rsidR="00BD4B16" w:rsidRPr="00BD4B16" w:rsidRDefault="00BD4B16" w:rsidP="00BD4B16">
            <w:pPr>
              <w:pStyle w:val="Tabletext"/>
              <w:jc w:val="right"/>
            </w:pPr>
            <w:r w:rsidRPr="00AD0BB7">
              <w:t>0.0%</w:t>
            </w:r>
          </w:p>
        </w:tc>
      </w:tr>
      <w:tr w:rsidR="00BD4B16" w:rsidRPr="00BD4B16" w14:paraId="6B2342E0"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7E18DBD1" w14:textId="61390C00" w:rsidR="00BD4B16" w:rsidRPr="00BD4B16" w:rsidRDefault="00BD4B16" w:rsidP="00BD4B16">
            <w:pPr>
              <w:pStyle w:val="Tabletext"/>
            </w:pPr>
            <w:r w:rsidRPr="00F24216">
              <w:t>Staff Growth</w:t>
            </w:r>
          </w:p>
        </w:tc>
        <w:tc>
          <w:tcPr>
            <w:tcW w:w="1184" w:type="pct"/>
            <w:vAlign w:val="top"/>
          </w:tcPr>
          <w:p w14:paraId="1AB5CF4C" w14:textId="648E3636" w:rsidR="00BD4B16" w:rsidRPr="00BD4B16" w:rsidRDefault="00BD4B16" w:rsidP="00BD4B16">
            <w:pPr>
              <w:pStyle w:val="Tabletext"/>
            </w:pPr>
            <w:r w:rsidRPr="00F24216">
              <w:t>0%</w:t>
            </w:r>
          </w:p>
        </w:tc>
        <w:tc>
          <w:tcPr>
            <w:tcW w:w="1384" w:type="pct"/>
            <w:vAlign w:val="top"/>
          </w:tcPr>
          <w:p w14:paraId="4BDE5F84" w14:textId="10CD3A1F" w:rsidR="00BD4B16" w:rsidRPr="00BD4B16" w:rsidRDefault="00BD4B16" w:rsidP="00BD4B16">
            <w:pPr>
              <w:pStyle w:val="Tabletext"/>
              <w:jc w:val="right"/>
            </w:pPr>
            <w:r w:rsidRPr="002F4A79">
              <w:t>7.9%</w:t>
            </w:r>
          </w:p>
        </w:tc>
        <w:tc>
          <w:tcPr>
            <w:tcW w:w="1384" w:type="pct"/>
            <w:vAlign w:val="top"/>
          </w:tcPr>
          <w:p w14:paraId="2D031AAE" w14:textId="39858124" w:rsidR="00BD4B16" w:rsidRPr="00BD4B16" w:rsidRDefault="00BD4B16" w:rsidP="00BD4B16">
            <w:pPr>
              <w:pStyle w:val="Tabletext"/>
              <w:jc w:val="right"/>
            </w:pPr>
            <w:r w:rsidRPr="00AD0BB7">
              <w:t>0.0%</w:t>
            </w:r>
          </w:p>
        </w:tc>
      </w:tr>
      <w:tr w:rsidR="00BD4B16" w:rsidRPr="00BD4B16" w14:paraId="1F24DBA0" w14:textId="77777777" w:rsidTr="00AB3D40">
        <w:tblPrEx>
          <w:tblCellMar>
            <w:left w:w="108" w:type="dxa"/>
            <w:right w:w="108" w:type="dxa"/>
          </w:tblCellMar>
        </w:tblPrEx>
        <w:tc>
          <w:tcPr>
            <w:tcW w:w="1047" w:type="pct"/>
            <w:vAlign w:val="top"/>
          </w:tcPr>
          <w:p w14:paraId="42C97805" w14:textId="3EC2AA22" w:rsidR="00BD4B16" w:rsidRPr="00BD4B16" w:rsidRDefault="00BD4B16" w:rsidP="00BD4B16">
            <w:pPr>
              <w:pStyle w:val="Tabletext"/>
            </w:pPr>
            <w:r w:rsidRPr="00F24216">
              <w:t>Staff Growth</w:t>
            </w:r>
          </w:p>
        </w:tc>
        <w:tc>
          <w:tcPr>
            <w:tcW w:w="1184" w:type="pct"/>
            <w:vAlign w:val="top"/>
          </w:tcPr>
          <w:p w14:paraId="460E4057" w14:textId="4D059F23" w:rsidR="00BD4B16" w:rsidRPr="00BD4B16" w:rsidRDefault="00BD4B16" w:rsidP="00BD4B16">
            <w:pPr>
              <w:pStyle w:val="Tabletext"/>
            </w:pPr>
            <w:r w:rsidRPr="00F24216">
              <w:t>&gt;0% but less than 20%</w:t>
            </w:r>
          </w:p>
        </w:tc>
        <w:tc>
          <w:tcPr>
            <w:tcW w:w="1384" w:type="pct"/>
            <w:vAlign w:val="top"/>
          </w:tcPr>
          <w:p w14:paraId="2BC7325B" w14:textId="2C3B742E" w:rsidR="00BD4B16" w:rsidRPr="00BD4B16" w:rsidRDefault="00BD4B16" w:rsidP="00BD4B16">
            <w:pPr>
              <w:pStyle w:val="Tabletext"/>
              <w:jc w:val="right"/>
            </w:pPr>
            <w:r w:rsidRPr="002F4A79">
              <w:t>1.2%</w:t>
            </w:r>
          </w:p>
        </w:tc>
        <w:tc>
          <w:tcPr>
            <w:tcW w:w="1384" w:type="pct"/>
            <w:vAlign w:val="top"/>
          </w:tcPr>
          <w:p w14:paraId="13E3A45A" w14:textId="51B806C9" w:rsidR="00BD4B16" w:rsidRPr="00BD4B16" w:rsidRDefault="00BD4B16" w:rsidP="00BD4B16">
            <w:pPr>
              <w:pStyle w:val="Tabletext"/>
              <w:jc w:val="right"/>
            </w:pPr>
            <w:r w:rsidRPr="00AD0BB7">
              <w:t>0.0%</w:t>
            </w:r>
          </w:p>
        </w:tc>
      </w:tr>
      <w:tr w:rsidR="00BD4B16" w:rsidRPr="00BD4B16" w14:paraId="39688F67"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40A552D" w14:textId="6BB6D1D0" w:rsidR="00BD4B16" w:rsidRPr="00BD4B16" w:rsidRDefault="00BD4B16" w:rsidP="00BD4B16">
            <w:pPr>
              <w:pStyle w:val="Tabletext"/>
            </w:pPr>
            <w:r w:rsidRPr="00F24216">
              <w:t>Staff Growth</w:t>
            </w:r>
          </w:p>
        </w:tc>
        <w:tc>
          <w:tcPr>
            <w:tcW w:w="1184" w:type="pct"/>
            <w:vAlign w:val="top"/>
          </w:tcPr>
          <w:p w14:paraId="7B728732" w14:textId="5F9BF912" w:rsidR="00BD4B16" w:rsidRPr="00BD4B16" w:rsidRDefault="00BD4B16" w:rsidP="00BD4B16">
            <w:pPr>
              <w:pStyle w:val="Tabletext"/>
            </w:pPr>
            <w:r w:rsidRPr="00F24216">
              <w:t>&gt;=20% but less than 50%</w:t>
            </w:r>
          </w:p>
        </w:tc>
        <w:tc>
          <w:tcPr>
            <w:tcW w:w="1384" w:type="pct"/>
            <w:vAlign w:val="top"/>
          </w:tcPr>
          <w:p w14:paraId="73B97FEC" w14:textId="7FE4D609" w:rsidR="00BD4B16" w:rsidRPr="00BD4B16" w:rsidRDefault="00BD4B16" w:rsidP="00BD4B16">
            <w:pPr>
              <w:pStyle w:val="Tabletext"/>
              <w:jc w:val="right"/>
            </w:pPr>
            <w:r w:rsidRPr="002F4A79">
              <w:t>0.3%</w:t>
            </w:r>
          </w:p>
        </w:tc>
        <w:tc>
          <w:tcPr>
            <w:tcW w:w="1384" w:type="pct"/>
            <w:vAlign w:val="top"/>
          </w:tcPr>
          <w:p w14:paraId="2E6D7D31" w14:textId="1BE93C84" w:rsidR="00BD4B16" w:rsidRPr="00BD4B16" w:rsidRDefault="00BD4B16" w:rsidP="00BD4B16">
            <w:pPr>
              <w:pStyle w:val="Tabletext"/>
              <w:jc w:val="right"/>
            </w:pPr>
            <w:r w:rsidRPr="00AD0BB7">
              <w:t>0.0%</w:t>
            </w:r>
          </w:p>
        </w:tc>
      </w:tr>
      <w:tr w:rsidR="00BD4B16" w:rsidRPr="00BD4B16" w14:paraId="1696C4C3" w14:textId="77777777" w:rsidTr="00AB3D40">
        <w:tblPrEx>
          <w:tblCellMar>
            <w:left w:w="108" w:type="dxa"/>
            <w:right w:w="108" w:type="dxa"/>
          </w:tblCellMar>
        </w:tblPrEx>
        <w:tc>
          <w:tcPr>
            <w:tcW w:w="1047" w:type="pct"/>
            <w:vAlign w:val="top"/>
          </w:tcPr>
          <w:p w14:paraId="7B522AA5" w14:textId="7DAEFF94" w:rsidR="00BD4B16" w:rsidRPr="00BD4B16" w:rsidRDefault="00BD4B16" w:rsidP="00BD4B16">
            <w:pPr>
              <w:pStyle w:val="Tabletext"/>
            </w:pPr>
            <w:r w:rsidRPr="00F24216">
              <w:t>Staff Growth</w:t>
            </w:r>
          </w:p>
        </w:tc>
        <w:tc>
          <w:tcPr>
            <w:tcW w:w="1184" w:type="pct"/>
            <w:vAlign w:val="top"/>
          </w:tcPr>
          <w:p w14:paraId="1A3B000B" w14:textId="3D8FBB04" w:rsidR="00BD4B16" w:rsidRPr="00BD4B16" w:rsidRDefault="00BD4B16" w:rsidP="00BD4B16">
            <w:pPr>
              <w:pStyle w:val="Tabletext"/>
            </w:pPr>
            <w:r w:rsidRPr="00F24216">
              <w:t>&gt;= 50%</w:t>
            </w:r>
          </w:p>
        </w:tc>
        <w:tc>
          <w:tcPr>
            <w:tcW w:w="1384" w:type="pct"/>
            <w:vAlign w:val="top"/>
          </w:tcPr>
          <w:p w14:paraId="647D6276" w14:textId="08F4027F" w:rsidR="00BD4B16" w:rsidRPr="00BD4B16" w:rsidRDefault="00BD4B16" w:rsidP="00BD4B16">
            <w:pPr>
              <w:pStyle w:val="Tabletext"/>
              <w:jc w:val="right"/>
            </w:pPr>
            <w:r w:rsidRPr="002F4A79">
              <w:t>5.9%</w:t>
            </w:r>
          </w:p>
        </w:tc>
        <w:tc>
          <w:tcPr>
            <w:tcW w:w="1384" w:type="pct"/>
            <w:vAlign w:val="top"/>
          </w:tcPr>
          <w:p w14:paraId="3937391C" w14:textId="5DC35238" w:rsidR="00BD4B16" w:rsidRPr="00BD4B16" w:rsidRDefault="00BD4B16" w:rsidP="00BD4B16">
            <w:pPr>
              <w:pStyle w:val="Tabletext"/>
              <w:jc w:val="right"/>
            </w:pPr>
            <w:r w:rsidRPr="00AD0BB7">
              <w:t>0.0%</w:t>
            </w:r>
          </w:p>
        </w:tc>
      </w:tr>
      <w:tr w:rsidR="00BD4B16" w:rsidRPr="00BD4B16" w14:paraId="13B3A9EC"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31071B4C" w14:textId="4E0651CF" w:rsidR="00BD4B16" w:rsidRPr="00BD4B16" w:rsidRDefault="00BD4B16" w:rsidP="00BD4B16">
            <w:pPr>
              <w:pStyle w:val="Tabletext"/>
            </w:pPr>
            <w:r w:rsidRPr="00F24216">
              <w:t>Region</w:t>
            </w:r>
          </w:p>
        </w:tc>
        <w:tc>
          <w:tcPr>
            <w:tcW w:w="1184" w:type="pct"/>
            <w:vAlign w:val="top"/>
          </w:tcPr>
          <w:p w14:paraId="78AEFDC2" w14:textId="637D455E" w:rsidR="00BD4B16" w:rsidRPr="00BD4B16" w:rsidRDefault="00BD4B16" w:rsidP="00BD4B16">
            <w:pPr>
              <w:pStyle w:val="Tabletext"/>
            </w:pPr>
            <w:r w:rsidRPr="00F24216">
              <w:t>East Midlands</w:t>
            </w:r>
          </w:p>
        </w:tc>
        <w:tc>
          <w:tcPr>
            <w:tcW w:w="1384" w:type="pct"/>
            <w:vAlign w:val="top"/>
          </w:tcPr>
          <w:p w14:paraId="6C4A02CB" w14:textId="141072EB" w:rsidR="00BD4B16" w:rsidRPr="00BD4B16" w:rsidRDefault="00BD4B16" w:rsidP="00BD4B16">
            <w:pPr>
              <w:pStyle w:val="Tabletext"/>
              <w:jc w:val="right"/>
            </w:pPr>
            <w:r w:rsidRPr="002F4A79">
              <w:t>1.6%</w:t>
            </w:r>
          </w:p>
        </w:tc>
        <w:tc>
          <w:tcPr>
            <w:tcW w:w="1384" w:type="pct"/>
            <w:vAlign w:val="top"/>
          </w:tcPr>
          <w:p w14:paraId="6E5A27BF" w14:textId="29360603" w:rsidR="00BD4B16" w:rsidRPr="00BD4B16" w:rsidRDefault="00BD4B16" w:rsidP="00BD4B16">
            <w:pPr>
              <w:pStyle w:val="Tabletext"/>
              <w:jc w:val="right"/>
            </w:pPr>
            <w:r w:rsidRPr="00AD0BB7">
              <w:t>1.1%</w:t>
            </w:r>
          </w:p>
        </w:tc>
      </w:tr>
      <w:tr w:rsidR="00BD4B16" w:rsidRPr="00BD4B16" w14:paraId="423B1EBD" w14:textId="77777777" w:rsidTr="00AB3D40">
        <w:tblPrEx>
          <w:tblCellMar>
            <w:left w:w="108" w:type="dxa"/>
            <w:right w:w="108" w:type="dxa"/>
          </w:tblCellMar>
        </w:tblPrEx>
        <w:tc>
          <w:tcPr>
            <w:tcW w:w="1047" w:type="pct"/>
            <w:vAlign w:val="top"/>
          </w:tcPr>
          <w:p w14:paraId="6E8A8CFC" w14:textId="57DB18D0" w:rsidR="00BD4B16" w:rsidRPr="00BD4B16" w:rsidRDefault="00BD4B16" w:rsidP="00BD4B16">
            <w:pPr>
              <w:pStyle w:val="Tabletext"/>
            </w:pPr>
            <w:r w:rsidRPr="00F24216">
              <w:t>Region</w:t>
            </w:r>
          </w:p>
        </w:tc>
        <w:tc>
          <w:tcPr>
            <w:tcW w:w="1184" w:type="pct"/>
            <w:vAlign w:val="top"/>
          </w:tcPr>
          <w:p w14:paraId="544F9FF9" w14:textId="0B53D276" w:rsidR="00BD4B16" w:rsidRPr="00BD4B16" w:rsidRDefault="00BD4B16" w:rsidP="00BD4B16">
            <w:pPr>
              <w:pStyle w:val="Tabletext"/>
            </w:pPr>
            <w:r w:rsidRPr="00F24216">
              <w:t>East of England</w:t>
            </w:r>
          </w:p>
        </w:tc>
        <w:tc>
          <w:tcPr>
            <w:tcW w:w="1384" w:type="pct"/>
            <w:vAlign w:val="top"/>
          </w:tcPr>
          <w:p w14:paraId="0DB8FA30" w14:textId="56155E5D" w:rsidR="00BD4B16" w:rsidRPr="00BD4B16" w:rsidRDefault="00BD4B16" w:rsidP="00BD4B16">
            <w:pPr>
              <w:pStyle w:val="Tabletext"/>
              <w:jc w:val="right"/>
            </w:pPr>
            <w:r w:rsidRPr="002F4A79">
              <w:t>1.1%</w:t>
            </w:r>
          </w:p>
        </w:tc>
        <w:tc>
          <w:tcPr>
            <w:tcW w:w="1384" w:type="pct"/>
            <w:vAlign w:val="top"/>
          </w:tcPr>
          <w:p w14:paraId="0C62B80A" w14:textId="18916880" w:rsidR="00BD4B16" w:rsidRPr="00BD4B16" w:rsidRDefault="00BD4B16" w:rsidP="00BD4B16">
            <w:pPr>
              <w:pStyle w:val="Tabletext"/>
              <w:jc w:val="right"/>
            </w:pPr>
            <w:r w:rsidRPr="00AD0BB7">
              <w:t>0.5%</w:t>
            </w:r>
          </w:p>
        </w:tc>
      </w:tr>
      <w:tr w:rsidR="00BD4B16" w:rsidRPr="00BD4B16" w14:paraId="3A24B14E"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711720F5" w14:textId="29BDA5C0" w:rsidR="00BD4B16" w:rsidRPr="00BD4B16" w:rsidRDefault="00BD4B16" w:rsidP="00BD4B16">
            <w:pPr>
              <w:pStyle w:val="Tabletext"/>
            </w:pPr>
            <w:r w:rsidRPr="00F24216">
              <w:t>Region</w:t>
            </w:r>
          </w:p>
        </w:tc>
        <w:tc>
          <w:tcPr>
            <w:tcW w:w="1184" w:type="pct"/>
            <w:vAlign w:val="top"/>
          </w:tcPr>
          <w:p w14:paraId="1F585137" w14:textId="6B8C8905" w:rsidR="00BD4B16" w:rsidRPr="00BD4B16" w:rsidRDefault="00BD4B16" w:rsidP="00BD4B16">
            <w:pPr>
              <w:pStyle w:val="Tabletext"/>
            </w:pPr>
            <w:r w:rsidRPr="00F24216">
              <w:t>West Midlands</w:t>
            </w:r>
          </w:p>
        </w:tc>
        <w:tc>
          <w:tcPr>
            <w:tcW w:w="1384" w:type="pct"/>
            <w:vAlign w:val="top"/>
          </w:tcPr>
          <w:p w14:paraId="1A306859" w14:textId="0CD1EA15" w:rsidR="00BD4B16" w:rsidRPr="00BD4B16" w:rsidRDefault="00BD4B16" w:rsidP="00BD4B16">
            <w:pPr>
              <w:pStyle w:val="Tabletext"/>
              <w:jc w:val="right"/>
            </w:pPr>
            <w:r w:rsidRPr="002F4A79">
              <w:t>0.3%</w:t>
            </w:r>
          </w:p>
        </w:tc>
        <w:tc>
          <w:tcPr>
            <w:tcW w:w="1384" w:type="pct"/>
            <w:vAlign w:val="top"/>
          </w:tcPr>
          <w:p w14:paraId="4E1FEF1B" w14:textId="1D62ADF3" w:rsidR="00BD4B16" w:rsidRPr="00BD4B16" w:rsidRDefault="00BD4B16" w:rsidP="00BD4B16">
            <w:pPr>
              <w:pStyle w:val="Tabletext"/>
              <w:jc w:val="right"/>
            </w:pPr>
            <w:r w:rsidRPr="00AD0BB7">
              <w:t>3.3%</w:t>
            </w:r>
          </w:p>
        </w:tc>
      </w:tr>
      <w:tr w:rsidR="00BD4B16" w:rsidRPr="00BD4B16" w14:paraId="18A331DB" w14:textId="77777777" w:rsidTr="00AB3D40">
        <w:tblPrEx>
          <w:tblCellMar>
            <w:left w:w="108" w:type="dxa"/>
            <w:right w:w="108" w:type="dxa"/>
          </w:tblCellMar>
        </w:tblPrEx>
        <w:tc>
          <w:tcPr>
            <w:tcW w:w="1047" w:type="pct"/>
            <w:vAlign w:val="top"/>
          </w:tcPr>
          <w:p w14:paraId="2CB2D6A7" w14:textId="09716F98" w:rsidR="00BD4B16" w:rsidRPr="00BD4B16" w:rsidRDefault="00BD4B16" w:rsidP="00BD4B16">
            <w:pPr>
              <w:pStyle w:val="Tabletext"/>
            </w:pPr>
            <w:r w:rsidRPr="00F24216">
              <w:t>Region</w:t>
            </w:r>
          </w:p>
        </w:tc>
        <w:tc>
          <w:tcPr>
            <w:tcW w:w="1184" w:type="pct"/>
            <w:vAlign w:val="top"/>
          </w:tcPr>
          <w:p w14:paraId="63E18BEC" w14:textId="5FD2C78C" w:rsidR="00BD4B16" w:rsidRPr="00BD4B16" w:rsidRDefault="00BD4B16" w:rsidP="00BD4B16">
            <w:pPr>
              <w:pStyle w:val="Tabletext"/>
            </w:pPr>
            <w:r w:rsidRPr="00F24216">
              <w:t>London</w:t>
            </w:r>
          </w:p>
        </w:tc>
        <w:tc>
          <w:tcPr>
            <w:tcW w:w="1384" w:type="pct"/>
            <w:vAlign w:val="top"/>
          </w:tcPr>
          <w:p w14:paraId="5EC1D2F8" w14:textId="6C0DE85D" w:rsidR="00BD4B16" w:rsidRPr="00BD4B16" w:rsidRDefault="00BD4B16" w:rsidP="00BD4B16">
            <w:pPr>
              <w:pStyle w:val="Tabletext"/>
              <w:jc w:val="right"/>
            </w:pPr>
            <w:r w:rsidRPr="002F4A79">
              <w:t>3.1%</w:t>
            </w:r>
          </w:p>
        </w:tc>
        <w:tc>
          <w:tcPr>
            <w:tcW w:w="1384" w:type="pct"/>
            <w:vAlign w:val="top"/>
          </w:tcPr>
          <w:p w14:paraId="4CC7660F" w14:textId="6DB806A3" w:rsidR="00BD4B16" w:rsidRPr="00BD4B16" w:rsidRDefault="00BD4B16" w:rsidP="00BD4B16">
            <w:pPr>
              <w:pStyle w:val="Tabletext"/>
              <w:jc w:val="right"/>
            </w:pPr>
            <w:r w:rsidRPr="00AD0BB7">
              <w:t>2.2%</w:t>
            </w:r>
          </w:p>
        </w:tc>
      </w:tr>
      <w:tr w:rsidR="00BD4B16" w:rsidRPr="00BD4B16" w14:paraId="5BE08652"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47BC6152" w14:textId="343E41F1" w:rsidR="00BD4B16" w:rsidRPr="00BD4B16" w:rsidRDefault="00BD4B16" w:rsidP="00BD4B16">
            <w:pPr>
              <w:pStyle w:val="Tabletext"/>
            </w:pPr>
            <w:r w:rsidRPr="00F24216">
              <w:t>Region</w:t>
            </w:r>
          </w:p>
        </w:tc>
        <w:tc>
          <w:tcPr>
            <w:tcW w:w="1184" w:type="pct"/>
            <w:vAlign w:val="top"/>
          </w:tcPr>
          <w:p w14:paraId="20EE5A90" w14:textId="53748C99" w:rsidR="00BD4B16" w:rsidRPr="00BD4B16" w:rsidRDefault="00BD4B16" w:rsidP="00BD4B16">
            <w:pPr>
              <w:pStyle w:val="Tabletext"/>
            </w:pPr>
            <w:r w:rsidRPr="00F24216">
              <w:t>North East</w:t>
            </w:r>
          </w:p>
        </w:tc>
        <w:tc>
          <w:tcPr>
            <w:tcW w:w="1384" w:type="pct"/>
            <w:vAlign w:val="top"/>
          </w:tcPr>
          <w:p w14:paraId="7314FCA2" w14:textId="6C983596" w:rsidR="00BD4B16" w:rsidRPr="00BD4B16" w:rsidRDefault="00BD4B16" w:rsidP="00BD4B16">
            <w:pPr>
              <w:pStyle w:val="Tabletext"/>
              <w:jc w:val="right"/>
            </w:pPr>
            <w:r w:rsidRPr="002F4A79">
              <w:t>1.2%</w:t>
            </w:r>
          </w:p>
        </w:tc>
        <w:tc>
          <w:tcPr>
            <w:tcW w:w="1384" w:type="pct"/>
            <w:vAlign w:val="top"/>
          </w:tcPr>
          <w:p w14:paraId="072CC725" w14:textId="47E3805E" w:rsidR="00BD4B16" w:rsidRPr="00BD4B16" w:rsidRDefault="00BD4B16" w:rsidP="00BD4B16">
            <w:pPr>
              <w:pStyle w:val="Tabletext"/>
              <w:jc w:val="right"/>
            </w:pPr>
            <w:r w:rsidRPr="00AD0BB7">
              <w:t>0.5%</w:t>
            </w:r>
          </w:p>
        </w:tc>
      </w:tr>
      <w:tr w:rsidR="00BD4B16" w:rsidRPr="00BD4B16" w14:paraId="2711AC0E" w14:textId="77777777" w:rsidTr="00AB3D40">
        <w:tblPrEx>
          <w:tblCellMar>
            <w:left w:w="108" w:type="dxa"/>
            <w:right w:w="108" w:type="dxa"/>
          </w:tblCellMar>
        </w:tblPrEx>
        <w:tc>
          <w:tcPr>
            <w:tcW w:w="1047" w:type="pct"/>
            <w:vAlign w:val="top"/>
          </w:tcPr>
          <w:p w14:paraId="4F8DD440" w14:textId="39429F73" w:rsidR="00BD4B16" w:rsidRPr="00BD4B16" w:rsidRDefault="00BD4B16" w:rsidP="00BD4B16">
            <w:pPr>
              <w:pStyle w:val="Tabletext"/>
            </w:pPr>
            <w:r w:rsidRPr="00F24216">
              <w:t>Region</w:t>
            </w:r>
          </w:p>
        </w:tc>
        <w:tc>
          <w:tcPr>
            <w:tcW w:w="1184" w:type="pct"/>
            <w:vAlign w:val="top"/>
          </w:tcPr>
          <w:p w14:paraId="0F147AA3" w14:textId="4BEBDEC3" w:rsidR="00BD4B16" w:rsidRPr="00BD4B16" w:rsidRDefault="00BD4B16" w:rsidP="00BD4B16">
            <w:pPr>
              <w:pStyle w:val="Tabletext"/>
            </w:pPr>
            <w:r w:rsidRPr="00F24216">
              <w:t>North West</w:t>
            </w:r>
          </w:p>
        </w:tc>
        <w:tc>
          <w:tcPr>
            <w:tcW w:w="1384" w:type="pct"/>
            <w:vAlign w:val="top"/>
          </w:tcPr>
          <w:p w14:paraId="1FB17B76" w14:textId="264CBACC" w:rsidR="00BD4B16" w:rsidRPr="00BD4B16" w:rsidRDefault="00BD4B16" w:rsidP="00BD4B16">
            <w:pPr>
              <w:pStyle w:val="Tabletext"/>
              <w:jc w:val="right"/>
            </w:pPr>
            <w:r w:rsidRPr="002F4A79">
              <w:t>0.5%</w:t>
            </w:r>
          </w:p>
        </w:tc>
        <w:tc>
          <w:tcPr>
            <w:tcW w:w="1384" w:type="pct"/>
            <w:vAlign w:val="top"/>
          </w:tcPr>
          <w:p w14:paraId="76DA12D7" w14:textId="7DC07860" w:rsidR="00BD4B16" w:rsidRPr="00BD4B16" w:rsidRDefault="00BD4B16" w:rsidP="00BD4B16">
            <w:pPr>
              <w:pStyle w:val="Tabletext"/>
              <w:jc w:val="right"/>
            </w:pPr>
            <w:r w:rsidRPr="00AD0BB7">
              <w:t>2.2%</w:t>
            </w:r>
          </w:p>
        </w:tc>
      </w:tr>
      <w:tr w:rsidR="00BD4B16" w:rsidRPr="00BD4B16" w14:paraId="1F5BBF73"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C0268EE" w14:textId="32CDAC77" w:rsidR="00BD4B16" w:rsidRPr="00BD4B16" w:rsidRDefault="00BD4B16" w:rsidP="00BD4B16">
            <w:pPr>
              <w:pStyle w:val="Tabletext"/>
            </w:pPr>
            <w:r w:rsidRPr="00F24216">
              <w:t>Region</w:t>
            </w:r>
          </w:p>
        </w:tc>
        <w:tc>
          <w:tcPr>
            <w:tcW w:w="1184" w:type="pct"/>
            <w:vAlign w:val="top"/>
          </w:tcPr>
          <w:p w14:paraId="3380561E" w14:textId="175E31F7" w:rsidR="00BD4B16" w:rsidRPr="00BD4B16" w:rsidRDefault="00BD4B16" w:rsidP="00BD4B16">
            <w:pPr>
              <w:pStyle w:val="Tabletext"/>
            </w:pPr>
            <w:r w:rsidRPr="00F24216">
              <w:t>Yorkshire and The Humber</w:t>
            </w:r>
          </w:p>
        </w:tc>
        <w:tc>
          <w:tcPr>
            <w:tcW w:w="1384" w:type="pct"/>
            <w:vAlign w:val="top"/>
          </w:tcPr>
          <w:p w14:paraId="5D7486DA" w14:textId="68A6EEF6" w:rsidR="00BD4B16" w:rsidRPr="00BD4B16" w:rsidRDefault="00BD4B16" w:rsidP="00BD4B16">
            <w:pPr>
              <w:pStyle w:val="Tabletext"/>
              <w:jc w:val="right"/>
            </w:pPr>
            <w:r w:rsidRPr="002F4A79">
              <w:t>1.1%</w:t>
            </w:r>
          </w:p>
        </w:tc>
        <w:tc>
          <w:tcPr>
            <w:tcW w:w="1384" w:type="pct"/>
            <w:vAlign w:val="top"/>
          </w:tcPr>
          <w:p w14:paraId="5A663DBF" w14:textId="5BD70019" w:rsidR="00BD4B16" w:rsidRPr="00BD4B16" w:rsidRDefault="00BD4B16" w:rsidP="00BD4B16">
            <w:pPr>
              <w:pStyle w:val="Tabletext"/>
              <w:jc w:val="right"/>
            </w:pPr>
            <w:r w:rsidRPr="00AD0BB7">
              <w:t>1.6%</w:t>
            </w:r>
          </w:p>
        </w:tc>
      </w:tr>
      <w:tr w:rsidR="00BD4B16" w:rsidRPr="00BD4B16" w14:paraId="7989AA49" w14:textId="77777777" w:rsidTr="00AB3D40">
        <w:tblPrEx>
          <w:tblCellMar>
            <w:left w:w="108" w:type="dxa"/>
            <w:right w:w="108" w:type="dxa"/>
          </w:tblCellMar>
        </w:tblPrEx>
        <w:tc>
          <w:tcPr>
            <w:tcW w:w="1047" w:type="pct"/>
            <w:vAlign w:val="top"/>
          </w:tcPr>
          <w:p w14:paraId="1DCC6A4F" w14:textId="13AF9751" w:rsidR="00BD4B16" w:rsidRPr="00BD4B16" w:rsidRDefault="00BD4B16" w:rsidP="00BD4B16">
            <w:pPr>
              <w:pStyle w:val="Tabletext"/>
            </w:pPr>
            <w:r w:rsidRPr="00F24216">
              <w:t>Region</w:t>
            </w:r>
          </w:p>
        </w:tc>
        <w:tc>
          <w:tcPr>
            <w:tcW w:w="1184" w:type="pct"/>
            <w:vAlign w:val="top"/>
          </w:tcPr>
          <w:p w14:paraId="46170FC5" w14:textId="524CB5F2" w:rsidR="00BD4B16" w:rsidRPr="00BD4B16" w:rsidRDefault="00BD4B16" w:rsidP="00BD4B16">
            <w:pPr>
              <w:pStyle w:val="Tabletext"/>
            </w:pPr>
            <w:r w:rsidRPr="00F24216">
              <w:t>South East</w:t>
            </w:r>
          </w:p>
        </w:tc>
        <w:tc>
          <w:tcPr>
            <w:tcW w:w="1384" w:type="pct"/>
            <w:vAlign w:val="top"/>
          </w:tcPr>
          <w:p w14:paraId="7DC4E5CF" w14:textId="672A3ED0" w:rsidR="00BD4B16" w:rsidRPr="00BD4B16" w:rsidRDefault="00BD4B16" w:rsidP="00BD4B16">
            <w:pPr>
              <w:pStyle w:val="Tabletext"/>
              <w:jc w:val="right"/>
            </w:pPr>
            <w:r w:rsidRPr="002F4A79">
              <w:t>5.7%</w:t>
            </w:r>
          </w:p>
        </w:tc>
        <w:tc>
          <w:tcPr>
            <w:tcW w:w="1384" w:type="pct"/>
            <w:vAlign w:val="top"/>
          </w:tcPr>
          <w:p w14:paraId="05B12FF6" w14:textId="622B976C" w:rsidR="00BD4B16" w:rsidRPr="00BD4B16" w:rsidRDefault="00BD4B16" w:rsidP="00BD4B16">
            <w:pPr>
              <w:pStyle w:val="Tabletext"/>
              <w:jc w:val="right"/>
            </w:pPr>
            <w:r w:rsidRPr="00AD0BB7">
              <w:t>5.5%</w:t>
            </w:r>
          </w:p>
        </w:tc>
      </w:tr>
      <w:tr w:rsidR="00BD4B16" w:rsidRPr="00BD4B16" w14:paraId="7D45BDED"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31569C05" w14:textId="63ECF59B" w:rsidR="00BD4B16" w:rsidRPr="00BD4B16" w:rsidRDefault="00BD4B16" w:rsidP="00BD4B16">
            <w:pPr>
              <w:pStyle w:val="Tabletext"/>
            </w:pPr>
            <w:r w:rsidRPr="00F24216">
              <w:t>Region</w:t>
            </w:r>
          </w:p>
        </w:tc>
        <w:tc>
          <w:tcPr>
            <w:tcW w:w="1184" w:type="pct"/>
            <w:vAlign w:val="top"/>
          </w:tcPr>
          <w:p w14:paraId="62AC3C10" w14:textId="14971C58" w:rsidR="00BD4B16" w:rsidRPr="00BD4B16" w:rsidRDefault="00BD4B16" w:rsidP="00BD4B16">
            <w:pPr>
              <w:pStyle w:val="Tabletext"/>
            </w:pPr>
            <w:r w:rsidRPr="00F24216">
              <w:t>South West</w:t>
            </w:r>
          </w:p>
        </w:tc>
        <w:tc>
          <w:tcPr>
            <w:tcW w:w="1384" w:type="pct"/>
            <w:vAlign w:val="top"/>
          </w:tcPr>
          <w:p w14:paraId="04892043" w14:textId="5AB89D88" w:rsidR="00BD4B16" w:rsidRPr="00BD4B16" w:rsidRDefault="00BD4B16" w:rsidP="00BD4B16">
            <w:pPr>
              <w:pStyle w:val="Tabletext"/>
              <w:jc w:val="right"/>
            </w:pPr>
            <w:r w:rsidRPr="002F4A79">
              <w:t>3.9%</w:t>
            </w:r>
          </w:p>
        </w:tc>
        <w:tc>
          <w:tcPr>
            <w:tcW w:w="1384" w:type="pct"/>
            <w:vAlign w:val="top"/>
          </w:tcPr>
          <w:p w14:paraId="1BA753C7" w14:textId="3D5CE9FE" w:rsidR="00BD4B16" w:rsidRPr="00BD4B16" w:rsidRDefault="00BD4B16" w:rsidP="00BD4B16">
            <w:pPr>
              <w:pStyle w:val="Tabletext"/>
              <w:jc w:val="right"/>
            </w:pPr>
            <w:r w:rsidRPr="00AD0BB7">
              <w:t>5.5%</w:t>
            </w:r>
          </w:p>
        </w:tc>
      </w:tr>
      <w:tr w:rsidR="00BD4B16" w:rsidRPr="00BD4B16" w14:paraId="29B0270E" w14:textId="77777777" w:rsidTr="00AB3D40">
        <w:tblPrEx>
          <w:tblCellMar>
            <w:left w:w="108" w:type="dxa"/>
            <w:right w:w="108" w:type="dxa"/>
          </w:tblCellMar>
        </w:tblPrEx>
        <w:tc>
          <w:tcPr>
            <w:tcW w:w="1047" w:type="pct"/>
            <w:vAlign w:val="top"/>
          </w:tcPr>
          <w:p w14:paraId="7794159F" w14:textId="04271811" w:rsidR="00BD4B16" w:rsidRPr="00BD4B16" w:rsidRDefault="00BD4B16" w:rsidP="00BD4B16">
            <w:pPr>
              <w:pStyle w:val="Tabletext"/>
            </w:pPr>
            <w:r w:rsidRPr="00F24216">
              <w:t>Region</w:t>
            </w:r>
          </w:p>
        </w:tc>
        <w:tc>
          <w:tcPr>
            <w:tcW w:w="1184" w:type="pct"/>
            <w:vAlign w:val="top"/>
          </w:tcPr>
          <w:p w14:paraId="070E5D97" w14:textId="6AD2EB36" w:rsidR="00BD4B16" w:rsidRPr="00BD4B16" w:rsidRDefault="00BD4B16" w:rsidP="00BD4B16">
            <w:pPr>
              <w:pStyle w:val="Tabletext"/>
            </w:pPr>
            <w:r w:rsidRPr="00F24216">
              <w:t>Scotland</w:t>
            </w:r>
          </w:p>
        </w:tc>
        <w:tc>
          <w:tcPr>
            <w:tcW w:w="1384" w:type="pct"/>
            <w:vAlign w:val="top"/>
          </w:tcPr>
          <w:p w14:paraId="4D2921D4" w14:textId="778060CA" w:rsidR="00BD4B16" w:rsidRPr="00BD4B16" w:rsidRDefault="00BD4B16" w:rsidP="00BD4B16">
            <w:pPr>
              <w:pStyle w:val="Tabletext"/>
              <w:jc w:val="right"/>
            </w:pPr>
            <w:r w:rsidRPr="002F4A79">
              <w:t>2.6%</w:t>
            </w:r>
          </w:p>
        </w:tc>
        <w:tc>
          <w:tcPr>
            <w:tcW w:w="1384" w:type="pct"/>
            <w:vAlign w:val="top"/>
          </w:tcPr>
          <w:p w14:paraId="3E038FCB" w14:textId="3089945C" w:rsidR="00BD4B16" w:rsidRPr="00BD4B16" w:rsidRDefault="00BD4B16" w:rsidP="00BD4B16">
            <w:pPr>
              <w:pStyle w:val="Tabletext"/>
              <w:jc w:val="right"/>
            </w:pPr>
            <w:r w:rsidRPr="00AD0BB7">
              <w:t>5.5%</w:t>
            </w:r>
          </w:p>
        </w:tc>
      </w:tr>
      <w:tr w:rsidR="00BD4B16" w:rsidRPr="00BD4B16" w14:paraId="3D8957D7"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5D7026D" w14:textId="389668CF" w:rsidR="00BD4B16" w:rsidRPr="00BD4B16" w:rsidRDefault="00BD4B16" w:rsidP="00BD4B16">
            <w:pPr>
              <w:pStyle w:val="Tabletext"/>
            </w:pPr>
            <w:r w:rsidRPr="00F24216">
              <w:t>Region</w:t>
            </w:r>
          </w:p>
        </w:tc>
        <w:tc>
          <w:tcPr>
            <w:tcW w:w="1184" w:type="pct"/>
            <w:vAlign w:val="top"/>
          </w:tcPr>
          <w:p w14:paraId="0484EE3C" w14:textId="7D3FA024" w:rsidR="00BD4B16" w:rsidRPr="00BD4B16" w:rsidRDefault="00BD4B16" w:rsidP="00BD4B16">
            <w:pPr>
              <w:pStyle w:val="Tabletext"/>
            </w:pPr>
            <w:r w:rsidRPr="00F24216">
              <w:t>Wales</w:t>
            </w:r>
          </w:p>
        </w:tc>
        <w:tc>
          <w:tcPr>
            <w:tcW w:w="1384" w:type="pct"/>
            <w:vAlign w:val="top"/>
          </w:tcPr>
          <w:p w14:paraId="7AB43714" w14:textId="130E254A" w:rsidR="00BD4B16" w:rsidRPr="00BD4B16" w:rsidRDefault="00BD4B16" w:rsidP="00BD4B16">
            <w:pPr>
              <w:pStyle w:val="Tabletext"/>
              <w:jc w:val="right"/>
            </w:pPr>
            <w:r w:rsidRPr="002F4A79">
              <w:t>0.4%</w:t>
            </w:r>
          </w:p>
        </w:tc>
        <w:tc>
          <w:tcPr>
            <w:tcW w:w="1384" w:type="pct"/>
            <w:vAlign w:val="top"/>
          </w:tcPr>
          <w:p w14:paraId="6EB1FED0" w14:textId="290D5428" w:rsidR="00BD4B16" w:rsidRPr="00BD4B16" w:rsidRDefault="00BD4B16" w:rsidP="00BD4B16">
            <w:pPr>
              <w:pStyle w:val="Tabletext"/>
              <w:jc w:val="right"/>
            </w:pPr>
            <w:r w:rsidRPr="00AD0BB7">
              <w:t>1.6%</w:t>
            </w:r>
          </w:p>
        </w:tc>
      </w:tr>
      <w:tr w:rsidR="00BD4B16" w:rsidRPr="00BD4B16" w14:paraId="08C8A134" w14:textId="77777777" w:rsidTr="00AB3D40">
        <w:tblPrEx>
          <w:tblCellMar>
            <w:left w:w="108" w:type="dxa"/>
            <w:right w:w="108" w:type="dxa"/>
          </w:tblCellMar>
        </w:tblPrEx>
        <w:tc>
          <w:tcPr>
            <w:tcW w:w="1047" w:type="pct"/>
            <w:vAlign w:val="top"/>
          </w:tcPr>
          <w:p w14:paraId="58FBAAB2" w14:textId="0CEF8835" w:rsidR="00BD4B16" w:rsidRPr="00BD4B16" w:rsidRDefault="00BD4B16" w:rsidP="00BD4B16">
            <w:pPr>
              <w:pStyle w:val="Tabletext"/>
            </w:pPr>
            <w:r w:rsidRPr="00F24216">
              <w:t>Region</w:t>
            </w:r>
          </w:p>
        </w:tc>
        <w:tc>
          <w:tcPr>
            <w:tcW w:w="1184" w:type="pct"/>
            <w:vAlign w:val="top"/>
          </w:tcPr>
          <w:p w14:paraId="49D05577" w14:textId="5C4907EF" w:rsidR="00BD4B16" w:rsidRPr="00BD4B16" w:rsidRDefault="00BD4B16" w:rsidP="00BD4B16">
            <w:pPr>
              <w:pStyle w:val="Tabletext"/>
            </w:pPr>
            <w:r w:rsidRPr="00F24216">
              <w:t>Northern Ireland</w:t>
            </w:r>
          </w:p>
        </w:tc>
        <w:tc>
          <w:tcPr>
            <w:tcW w:w="1384" w:type="pct"/>
            <w:vAlign w:val="top"/>
          </w:tcPr>
          <w:p w14:paraId="586B9829" w14:textId="20B93DC2" w:rsidR="00BD4B16" w:rsidRPr="00BD4B16" w:rsidRDefault="00BD4B16" w:rsidP="00BD4B16">
            <w:pPr>
              <w:pStyle w:val="Tabletext"/>
              <w:jc w:val="right"/>
            </w:pPr>
            <w:r w:rsidRPr="002F4A79">
              <w:t>1.3%</w:t>
            </w:r>
          </w:p>
        </w:tc>
        <w:tc>
          <w:tcPr>
            <w:tcW w:w="1384" w:type="pct"/>
            <w:vAlign w:val="top"/>
          </w:tcPr>
          <w:p w14:paraId="32B9463F" w14:textId="7F6247FC" w:rsidR="00BD4B16" w:rsidRPr="00BD4B16" w:rsidRDefault="00BD4B16" w:rsidP="00BD4B16">
            <w:pPr>
              <w:pStyle w:val="Tabletext"/>
              <w:jc w:val="right"/>
            </w:pPr>
            <w:r w:rsidRPr="00AD0BB7">
              <w:t>0.0%</w:t>
            </w:r>
          </w:p>
        </w:tc>
      </w:tr>
      <w:tr w:rsidR="00BD4B16" w:rsidRPr="000056E7" w14:paraId="61D58093"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13DCF1DA" w14:textId="78C23BE1" w:rsidR="00BD4B16" w:rsidRPr="00BD4B16" w:rsidRDefault="00BD4B16" w:rsidP="00BD4B16">
            <w:pPr>
              <w:pStyle w:val="Tabletext"/>
            </w:pPr>
            <w:r w:rsidRPr="00F24216">
              <w:t>Sector</w:t>
            </w:r>
          </w:p>
        </w:tc>
        <w:tc>
          <w:tcPr>
            <w:tcW w:w="1184" w:type="pct"/>
            <w:vAlign w:val="top"/>
          </w:tcPr>
          <w:p w14:paraId="1E37073F" w14:textId="4E8021B2" w:rsidR="00BD4B16" w:rsidRPr="00BD4B16" w:rsidRDefault="00BD4B16" w:rsidP="00BD4B16">
            <w:pPr>
              <w:pStyle w:val="Tabletext"/>
            </w:pPr>
            <w:r w:rsidRPr="00F24216">
              <w:t>Production</w:t>
            </w:r>
          </w:p>
        </w:tc>
        <w:tc>
          <w:tcPr>
            <w:tcW w:w="1384" w:type="pct"/>
            <w:vAlign w:val="top"/>
          </w:tcPr>
          <w:p w14:paraId="401DC791" w14:textId="7D8305F4" w:rsidR="00BD4B16" w:rsidRPr="00BD4B16" w:rsidRDefault="00BD4B16" w:rsidP="00BD4B16">
            <w:pPr>
              <w:pStyle w:val="Tabletext"/>
              <w:jc w:val="right"/>
            </w:pPr>
            <w:r w:rsidRPr="002F4A79">
              <w:t>3.6%</w:t>
            </w:r>
          </w:p>
        </w:tc>
        <w:tc>
          <w:tcPr>
            <w:tcW w:w="1384" w:type="pct"/>
            <w:vAlign w:val="top"/>
          </w:tcPr>
          <w:p w14:paraId="517DCAAF" w14:textId="78709D5B" w:rsidR="00BD4B16" w:rsidRPr="00BD4B16" w:rsidRDefault="00BD4B16" w:rsidP="00BD4B16">
            <w:pPr>
              <w:pStyle w:val="Tabletext"/>
              <w:jc w:val="right"/>
            </w:pPr>
            <w:r w:rsidRPr="00AD0BB7">
              <w:t>2.7%</w:t>
            </w:r>
          </w:p>
        </w:tc>
      </w:tr>
      <w:tr w:rsidR="00BD4B16" w:rsidRPr="000056E7" w14:paraId="0DC47133" w14:textId="77777777" w:rsidTr="00AB3D40">
        <w:tblPrEx>
          <w:tblCellMar>
            <w:left w:w="108" w:type="dxa"/>
            <w:right w:w="108" w:type="dxa"/>
          </w:tblCellMar>
        </w:tblPrEx>
        <w:tc>
          <w:tcPr>
            <w:tcW w:w="1047" w:type="pct"/>
            <w:vAlign w:val="top"/>
          </w:tcPr>
          <w:p w14:paraId="56B281E9" w14:textId="2499865A" w:rsidR="00BD4B16" w:rsidRPr="00BD4B16" w:rsidRDefault="00BD4B16" w:rsidP="00BD4B16">
            <w:pPr>
              <w:pStyle w:val="Tabletext"/>
            </w:pPr>
            <w:r w:rsidRPr="00F24216">
              <w:t>Sector</w:t>
            </w:r>
          </w:p>
        </w:tc>
        <w:tc>
          <w:tcPr>
            <w:tcW w:w="1184" w:type="pct"/>
            <w:vAlign w:val="top"/>
          </w:tcPr>
          <w:p w14:paraId="192EA0D0" w14:textId="30C3F89F" w:rsidR="00BD4B16" w:rsidRPr="00BD4B16" w:rsidRDefault="00BD4B16" w:rsidP="00BD4B16">
            <w:pPr>
              <w:pStyle w:val="Tabletext"/>
            </w:pPr>
            <w:r w:rsidRPr="00F24216">
              <w:t>Construction</w:t>
            </w:r>
          </w:p>
        </w:tc>
        <w:tc>
          <w:tcPr>
            <w:tcW w:w="1384" w:type="pct"/>
            <w:vAlign w:val="top"/>
          </w:tcPr>
          <w:p w14:paraId="2CDC04E2" w14:textId="2688509C" w:rsidR="00BD4B16" w:rsidRPr="00BD4B16" w:rsidRDefault="00BD4B16" w:rsidP="00BD4B16">
            <w:pPr>
              <w:pStyle w:val="Tabletext"/>
              <w:jc w:val="right"/>
            </w:pPr>
            <w:r w:rsidRPr="002F4A79">
              <w:t>3.2%</w:t>
            </w:r>
          </w:p>
        </w:tc>
        <w:tc>
          <w:tcPr>
            <w:tcW w:w="1384" w:type="pct"/>
            <w:vAlign w:val="top"/>
          </w:tcPr>
          <w:p w14:paraId="0FB42A38" w14:textId="1351B45B" w:rsidR="00BD4B16" w:rsidRPr="00BD4B16" w:rsidRDefault="00BD4B16" w:rsidP="00BD4B16">
            <w:pPr>
              <w:pStyle w:val="Tabletext"/>
              <w:jc w:val="right"/>
            </w:pPr>
            <w:r w:rsidRPr="00AD0BB7">
              <w:t>3.3%</w:t>
            </w:r>
          </w:p>
        </w:tc>
      </w:tr>
      <w:tr w:rsidR="00BD4B16" w:rsidRPr="000056E7" w14:paraId="6976DF3A"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4437769C" w14:textId="6925C201" w:rsidR="00BD4B16" w:rsidRPr="00BD4B16" w:rsidRDefault="00BD4B16" w:rsidP="00BD4B16">
            <w:pPr>
              <w:pStyle w:val="Tabletext"/>
            </w:pPr>
            <w:r w:rsidRPr="00F24216">
              <w:t>Sector</w:t>
            </w:r>
          </w:p>
        </w:tc>
        <w:tc>
          <w:tcPr>
            <w:tcW w:w="1184" w:type="pct"/>
            <w:vAlign w:val="top"/>
          </w:tcPr>
          <w:p w14:paraId="1ECE2AA5" w14:textId="68907CD3" w:rsidR="00BD4B16" w:rsidRPr="00BD4B16" w:rsidRDefault="00BD4B16" w:rsidP="00BD4B16">
            <w:pPr>
              <w:pStyle w:val="Tabletext"/>
            </w:pPr>
            <w:r w:rsidRPr="00F24216">
              <w:t>Distribution</w:t>
            </w:r>
          </w:p>
        </w:tc>
        <w:tc>
          <w:tcPr>
            <w:tcW w:w="1384" w:type="pct"/>
            <w:vAlign w:val="top"/>
          </w:tcPr>
          <w:p w14:paraId="6646CBF6" w14:textId="56894AF6" w:rsidR="00BD4B16" w:rsidRPr="00BD4B16" w:rsidRDefault="00BD4B16" w:rsidP="00BD4B16">
            <w:pPr>
              <w:pStyle w:val="Tabletext"/>
              <w:jc w:val="right"/>
            </w:pPr>
            <w:r w:rsidRPr="002F4A79">
              <w:t>2.0%</w:t>
            </w:r>
          </w:p>
        </w:tc>
        <w:tc>
          <w:tcPr>
            <w:tcW w:w="1384" w:type="pct"/>
            <w:vAlign w:val="top"/>
          </w:tcPr>
          <w:p w14:paraId="450B9C45" w14:textId="4080CA1F" w:rsidR="00BD4B16" w:rsidRPr="00BD4B16" w:rsidRDefault="00BD4B16" w:rsidP="00BD4B16">
            <w:pPr>
              <w:pStyle w:val="Tabletext"/>
              <w:jc w:val="right"/>
            </w:pPr>
            <w:r w:rsidRPr="00AD0BB7">
              <w:t>3.3%</w:t>
            </w:r>
          </w:p>
        </w:tc>
      </w:tr>
      <w:tr w:rsidR="00BD4B16" w:rsidRPr="000056E7" w14:paraId="1CB2F1E3" w14:textId="77777777" w:rsidTr="00AB3D40">
        <w:tblPrEx>
          <w:tblCellMar>
            <w:left w:w="108" w:type="dxa"/>
            <w:right w:w="108" w:type="dxa"/>
          </w:tblCellMar>
        </w:tblPrEx>
        <w:tc>
          <w:tcPr>
            <w:tcW w:w="1047" w:type="pct"/>
            <w:vAlign w:val="top"/>
          </w:tcPr>
          <w:p w14:paraId="105E9DF2" w14:textId="0A118A0A" w:rsidR="00BD4B16" w:rsidRPr="00BD4B16" w:rsidRDefault="00BD4B16" w:rsidP="00BD4B16">
            <w:pPr>
              <w:pStyle w:val="Tabletext"/>
            </w:pPr>
            <w:r w:rsidRPr="00F24216">
              <w:t>Sector</w:t>
            </w:r>
          </w:p>
        </w:tc>
        <w:tc>
          <w:tcPr>
            <w:tcW w:w="1184" w:type="pct"/>
            <w:vAlign w:val="top"/>
          </w:tcPr>
          <w:p w14:paraId="18DE19A5" w14:textId="5DE95DE0" w:rsidR="00BD4B16" w:rsidRPr="00BD4B16" w:rsidRDefault="00BD4B16" w:rsidP="00BD4B16">
            <w:pPr>
              <w:pStyle w:val="Tabletext"/>
            </w:pPr>
            <w:r w:rsidRPr="00F24216">
              <w:t>Business Services</w:t>
            </w:r>
          </w:p>
        </w:tc>
        <w:tc>
          <w:tcPr>
            <w:tcW w:w="1384" w:type="pct"/>
            <w:vAlign w:val="top"/>
          </w:tcPr>
          <w:p w14:paraId="1B8A826B" w14:textId="6C0D947C" w:rsidR="00BD4B16" w:rsidRPr="00BD4B16" w:rsidRDefault="00BD4B16" w:rsidP="00BD4B16">
            <w:pPr>
              <w:pStyle w:val="Tabletext"/>
              <w:jc w:val="right"/>
            </w:pPr>
            <w:r w:rsidRPr="002F4A79">
              <w:t>4.2%</w:t>
            </w:r>
          </w:p>
        </w:tc>
        <w:tc>
          <w:tcPr>
            <w:tcW w:w="1384" w:type="pct"/>
            <w:vAlign w:val="top"/>
          </w:tcPr>
          <w:p w14:paraId="2BBA148B" w14:textId="27D6D08B" w:rsidR="00BD4B16" w:rsidRPr="00BD4B16" w:rsidRDefault="00BD4B16" w:rsidP="00BD4B16">
            <w:pPr>
              <w:pStyle w:val="Tabletext"/>
              <w:jc w:val="right"/>
            </w:pPr>
            <w:r w:rsidRPr="00AD0BB7">
              <w:t>0.5%</w:t>
            </w:r>
          </w:p>
        </w:tc>
      </w:tr>
      <w:tr w:rsidR="00BD4B16" w:rsidRPr="000056E7" w14:paraId="330BE52F"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17F65FB1" w14:textId="5CC335B6" w:rsidR="00BD4B16" w:rsidRPr="00BD4B16" w:rsidRDefault="00BD4B16" w:rsidP="00BD4B16">
            <w:pPr>
              <w:pStyle w:val="Tabletext"/>
            </w:pPr>
            <w:r w:rsidRPr="00F24216">
              <w:t>Sector</w:t>
            </w:r>
          </w:p>
        </w:tc>
        <w:tc>
          <w:tcPr>
            <w:tcW w:w="1184" w:type="pct"/>
            <w:vAlign w:val="top"/>
          </w:tcPr>
          <w:p w14:paraId="61C1D50D" w14:textId="47F07111" w:rsidR="00BD4B16" w:rsidRPr="00BD4B16" w:rsidRDefault="00BD4B16" w:rsidP="00BD4B16">
            <w:pPr>
              <w:pStyle w:val="Tabletext"/>
            </w:pPr>
            <w:r w:rsidRPr="00F24216">
              <w:t>Other Services</w:t>
            </w:r>
          </w:p>
        </w:tc>
        <w:tc>
          <w:tcPr>
            <w:tcW w:w="1384" w:type="pct"/>
            <w:vAlign w:val="top"/>
          </w:tcPr>
          <w:p w14:paraId="64174610" w14:textId="60064012" w:rsidR="00BD4B16" w:rsidRPr="00BD4B16" w:rsidRDefault="00BD4B16" w:rsidP="00BD4B16">
            <w:pPr>
              <w:pStyle w:val="Tabletext"/>
              <w:jc w:val="right"/>
            </w:pPr>
            <w:r w:rsidRPr="002F4A79">
              <w:t>9.0%</w:t>
            </w:r>
          </w:p>
        </w:tc>
        <w:tc>
          <w:tcPr>
            <w:tcW w:w="1384" w:type="pct"/>
            <w:vAlign w:val="top"/>
          </w:tcPr>
          <w:p w14:paraId="6BE7B4B1" w14:textId="770B30B2" w:rsidR="00BD4B16" w:rsidRPr="00BD4B16" w:rsidRDefault="00BD4B16" w:rsidP="00BD4B16">
            <w:pPr>
              <w:pStyle w:val="Tabletext"/>
              <w:jc w:val="right"/>
            </w:pPr>
            <w:r w:rsidRPr="00AD0BB7">
              <w:t>2.2%</w:t>
            </w:r>
          </w:p>
        </w:tc>
      </w:tr>
      <w:tr w:rsidR="00BD4B16" w:rsidRPr="000056E7" w14:paraId="38AADDB1" w14:textId="77777777" w:rsidTr="00AB3D40">
        <w:tblPrEx>
          <w:tblCellMar>
            <w:left w:w="108" w:type="dxa"/>
            <w:right w:w="108" w:type="dxa"/>
          </w:tblCellMar>
        </w:tblPrEx>
        <w:tc>
          <w:tcPr>
            <w:tcW w:w="1047" w:type="pct"/>
            <w:vAlign w:val="top"/>
          </w:tcPr>
          <w:p w14:paraId="38DB9BBC" w14:textId="6E2E6CDE" w:rsidR="00BD4B16" w:rsidRPr="00BD4B16" w:rsidRDefault="00BD4B16" w:rsidP="00BD4B16">
            <w:pPr>
              <w:pStyle w:val="Tabletext"/>
            </w:pPr>
            <w:r w:rsidRPr="00F24216">
              <w:t>Age</w:t>
            </w:r>
          </w:p>
        </w:tc>
        <w:tc>
          <w:tcPr>
            <w:tcW w:w="1184" w:type="pct"/>
            <w:vAlign w:val="top"/>
          </w:tcPr>
          <w:p w14:paraId="5BF23D9B" w14:textId="06137CBC" w:rsidR="00BD4B16" w:rsidRPr="00BD4B16" w:rsidRDefault="00BD4B16" w:rsidP="00BD4B16">
            <w:pPr>
              <w:pStyle w:val="Tabletext"/>
            </w:pPr>
            <w:r w:rsidRPr="00F24216">
              <w:t>Unknown</w:t>
            </w:r>
          </w:p>
        </w:tc>
        <w:tc>
          <w:tcPr>
            <w:tcW w:w="1384" w:type="pct"/>
            <w:vAlign w:val="top"/>
          </w:tcPr>
          <w:p w14:paraId="773259FE" w14:textId="6AD4E973" w:rsidR="00BD4B16" w:rsidRPr="00BD4B16" w:rsidRDefault="00BD4B16" w:rsidP="00BD4B16">
            <w:pPr>
              <w:pStyle w:val="Tabletext"/>
              <w:jc w:val="right"/>
            </w:pPr>
            <w:r w:rsidRPr="002F4A79">
              <w:t>0.4%</w:t>
            </w:r>
          </w:p>
        </w:tc>
        <w:tc>
          <w:tcPr>
            <w:tcW w:w="1384" w:type="pct"/>
            <w:vAlign w:val="top"/>
          </w:tcPr>
          <w:p w14:paraId="61B35AAF" w14:textId="03581275" w:rsidR="00BD4B16" w:rsidRPr="00BD4B16" w:rsidRDefault="00BD4B16" w:rsidP="00BD4B16">
            <w:pPr>
              <w:pStyle w:val="Tabletext"/>
              <w:jc w:val="right"/>
            </w:pPr>
            <w:r w:rsidRPr="00AD0BB7">
              <w:t>0.0%</w:t>
            </w:r>
          </w:p>
        </w:tc>
      </w:tr>
      <w:tr w:rsidR="00BD4B16" w:rsidRPr="000056E7" w14:paraId="6FEC3C12"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6A6411B7" w14:textId="34A4E3FB" w:rsidR="00BD4B16" w:rsidRPr="00BD4B16" w:rsidRDefault="00BD4B16" w:rsidP="00BD4B16">
            <w:pPr>
              <w:pStyle w:val="Tabletext"/>
            </w:pPr>
            <w:r w:rsidRPr="00F24216">
              <w:t>Age</w:t>
            </w:r>
          </w:p>
        </w:tc>
        <w:tc>
          <w:tcPr>
            <w:tcW w:w="1184" w:type="pct"/>
            <w:vAlign w:val="top"/>
          </w:tcPr>
          <w:p w14:paraId="1C088AED" w14:textId="34CAEA0D" w:rsidR="00BD4B16" w:rsidRPr="00BD4B16" w:rsidRDefault="00BD4B16" w:rsidP="00BD4B16">
            <w:pPr>
              <w:pStyle w:val="Tabletext"/>
            </w:pPr>
            <w:r w:rsidRPr="00F24216">
              <w:t>9 years or less</w:t>
            </w:r>
          </w:p>
        </w:tc>
        <w:tc>
          <w:tcPr>
            <w:tcW w:w="1384" w:type="pct"/>
            <w:vAlign w:val="top"/>
          </w:tcPr>
          <w:p w14:paraId="0EC659BA" w14:textId="050CC4BC" w:rsidR="00BD4B16" w:rsidRPr="00BD4B16" w:rsidRDefault="00BD4B16" w:rsidP="00BD4B16">
            <w:pPr>
              <w:pStyle w:val="Tabletext"/>
              <w:jc w:val="right"/>
            </w:pPr>
            <w:r w:rsidRPr="002F4A79">
              <w:t>14.6%</w:t>
            </w:r>
          </w:p>
        </w:tc>
        <w:tc>
          <w:tcPr>
            <w:tcW w:w="1384" w:type="pct"/>
            <w:vAlign w:val="top"/>
          </w:tcPr>
          <w:p w14:paraId="6A6CEDD0" w14:textId="64C8B44B" w:rsidR="00BD4B16" w:rsidRPr="00BD4B16" w:rsidRDefault="00BD4B16" w:rsidP="00BD4B16">
            <w:pPr>
              <w:pStyle w:val="Tabletext"/>
              <w:jc w:val="right"/>
            </w:pPr>
            <w:r w:rsidRPr="00AD0BB7">
              <w:t>4.9%</w:t>
            </w:r>
          </w:p>
        </w:tc>
      </w:tr>
      <w:tr w:rsidR="00BD4B16" w:rsidRPr="000056E7" w14:paraId="3711DDCB" w14:textId="77777777" w:rsidTr="00AB3D40">
        <w:tblPrEx>
          <w:tblCellMar>
            <w:left w:w="108" w:type="dxa"/>
            <w:right w:w="108" w:type="dxa"/>
          </w:tblCellMar>
        </w:tblPrEx>
        <w:tc>
          <w:tcPr>
            <w:tcW w:w="1047" w:type="pct"/>
            <w:vAlign w:val="top"/>
          </w:tcPr>
          <w:p w14:paraId="54C973E0" w14:textId="6781D4B4" w:rsidR="00BD4B16" w:rsidRPr="00BD4B16" w:rsidRDefault="00BD4B16" w:rsidP="00BD4B16">
            <w:pPr>
              <w:pStyle w:val="Tabletext"/>
            </w:pPr>
            <w:r w:rsidRPr="00F24216">
              <w:t>Age</w:t>
            </w:r>
          </w:p>
        </w:tc>
        <w:tc>
          <w:tcPr>
            <w:tcW w:w="1184" w:type="pct"/>
            <w:vAlign w:val="top"/>
          </w:tcPr>
          <w:p w14:paraId="4F6F4399" w14:textId="7AC9F160" w:rsidR="00BD4B16" w:rsidRPr="00BD4B16" w:rsidRDefault="00BD4B16" w:rsidP="00BD4B16">
            <w:pPr>
              <w:pStyle w:val="Tabletext"/>
            </w:pPr>
            <w:r w:rsidRPr="00F24216">
              <w:t>10 to 20 years</w:t>
            </w:r>
          </w:p>
        </w:tc>
        <w:tc>
          <w:tcPr>
            <w:tcW w:w="1384" w:type="pct"/>
            <w:vAlign w:val="top"/>
          </w:tcPr>
          <w:p w14:paraId="7A811BA5" w14:textId="55E41FC3" w:rsidR="00BD4B16" w:rsidRPr="00BD4B16" w:rsidRDefault="00BD4B16" w:rsidP="00BD4B16">
            <w:pPr>
              <w:pStyle w:val="Tabletext"/>
              <w:jc w:val="right"/>
            </w:pPr>
            <w:r w:rsidRPr="002F4A79">
              <w:t>6.7%</w:t>
            </w:r>
          </w:p>
        </w:tc>
        <w:tc>
          <w:tcPr>
            <w:tcW w:w="1384" w:type="pct"/>
            <w:vAlign w:val="top"/>
          </w:tcPr>
          <w:p w14:paraId="460E8BB1" w14:textId="02B99E61" w:rsidR="00BD4B16" w:rsidRPr="00BD4B16" w:rsidRDefault="00BD4B16" w:rsidP="00BD4B16">
            <w:pPr>
              <w:pStyle w:val="Tabletext"/>
              <w:jc w:val="right"/>
            </w:pPr>
            <w:r w:rsidRPr="00AD0BB7">
              <w:t>6.0%</w:t>
            </w:r>
          </w:p>
        </w:tc>
      </w:tr>
      <w:tr w:rsidR="00BD4B16" w:rsidRPr="000056E7" w14:paraId="300D4505" w14:textId="77777777" w:rsidTr="00AB3D4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1047" w:type="pct"/>
            <w:vAlign w:val="top"/>
          </w:tcPr>
          <w:p w14:paraId="43767C14" w14:textId="303DF6F9" w:rsidR="00BD4B16" w:rsidRPr="00BD4B16" w:rsidRDefault="00BD4B16" w:rsidP="00BD4B16">
            <w:pPr>
              <w:pStyle w:val="Tabletext"/>
            </w:pPr>
            <w:r w:rsidRPr="00F24216">
              <w:t>Age</w:t>
            </w:r>
          </w:p>
        </w:tc>
        <w:tc>
          <w:tcPr>
            <w:tcW w:w="1184" w:type="pct"/>
            <w:vAlign w:val="top"/>
          </w:tcPr>
          <w:p w14:paraId="3382E21C" w14:textId="5438751D" w:rsidR="00BD4B16" w:rsidRPr="00BD4B16" w:rsidRDefault="00BD4B16" w:rsidP="00BD4B16">
            <w:pPr>
              <w:pStyle w:val="Tabletext"/>
            </w:pPr>
            <w:r w:rsidRPr="00F24216">
              <w:t>More than 20 years</w:t>
            </w:r>
          </w:p>
        </w:tc>
        <w:tc>
          <w:tcPr>
            <w:tcW w:w="1384" w:type="pct"/>
            <w:vAlign w:val="top"/>
          </w:tcPr>
          <w:p w14:paraId="3F2913A7" w14:textId="2BA34FE9" w:rsidR="00BD4B16" w:rsidRPr="00BD4B16" w:rsidRDefault="00BD4B16" w:rsidP="00BD4B16">
            <w:pPr>
              <w:pStyle w:val="Tabletext"/>
              <w:jc w:val="right"/>
            </w:pPr>
            <w:r w:rsidRPr="002F4A79">
              <w:t>20.9%</w:t>
            </w:r>
          </w:p>
        </w:tc>
        <w:tc>
          <w:tcPr>
            <w:tcW w:w="1384" w:type="pct"/>
            <w:vAlign w:val="top"/>
          </w:tcPr>
          <w:p w14:paraId="25E3D273" w14:textId="25FDAFC1" w:rsidR="00BD4B16" w:rsidRPr="00BD4B16" w:rsidRDefault="00BD4B16" w:rsidP="00BD4B16">
            <w:pPr>
              <w:pStyle w:val="Tabletext"/>
              <w:jc w:val="right"/>
            </w:pPr>
            <w:r w:rsidRPr="00AD0BB7">
              <w:t>1.1%</w:t>
            </w:r>
          </w:p>
        </w:tc>
      </w:tr>
      <w:tr w:rsidR="00BD4B16" w:rsidRPr="000056E7" w14:paraId="618D9A5C" w14:textId="77777777" w:rsidTr="00AB3D40">
        <w:tblPrEx>
          <w:tblCellMar>
            <w:left w:w="108" w:type="dxa"/>
            <w:right w:w="108" w:type="dxa"/>
          </w:tblCellMar>
        </w:tblPrEx>
        <w:tc>
          <w:tcPr>
            <w:tcW w:w="1047" w:type="pct"/>
            <w:tcBorders>
              <w:bottom w:val="single" w:sz="4" w:space="0" w:color="0054BA" w:themeColor="accent2"/>
            </w:tcBorders>
            <w:vAlign w:val="top"/>
          </w:tcPr>
          <w:p w14:paraId="081D8FFC" w14:textId="14F1BE64" w:rsidR="00BD4B16" w:rsidRPr="00BD4B16" w:rsidRDefault="00BD4B16" w:rsidP="00BD4B16">
            <w:pPr>
              <w:pStyle w:val="Tabletext"/>
            </w:pPr>
            <w:r w:rsidRPr="00F24216">
              <w:t>Average</w:t>
            </w:r>
          </w:p>
        </w:tc>
        <w:tc>
          <w:tcPr>
            <w:tcW w:w="1184" w:type="pct"/>
            <w:tcBorders>
              <w:bottom w:val="single" w:sz="4" w:space="0" w:color="0054BA" w:themeColor="accent2"/>
            </w:tcBorders>
            <w:vAlign w:val="top"/>
          </w:tcPr>
          <w:p w14:paraId="71296EBE" w14:textId="77777777" w:rsidR="00BD4B16" w:rsidRPr="00BD4B16" w:rsidRDefault="00BD4B16" w:rsidP="00BD4B16">
            <w:pPr>
              <w:pStyle w:val="Tabletext"/>
            </w:pPr>
          </w:p>
        </w:tc>
        <w:tc>
          <w:tcPr>
            <w:tcW w:w="1384" w:type="pct"/>
            <w:tcBorders>
              <w:bottom w:val="single" w:sz="4" w:space="0" w:color="0054BA" w:themeColor="accent2"/>
            </w:tcBorders>
            <w:vAlign w:val="top"/>
          </w:tcPr>
          <w:p w14:paraId="5D8A51B4" w14:textId="333D6FD8" w:rsidR="00BD4B16" w:rsidRPr="00BD4B16" w:rsidRDefault="00BD4B16" w:rsidP="00BD4B16">
            <w:pPr>
              <w:pStyle w:val="Tabletext"/>
              <w:jc w:val="right"/>
            </w:pPr>
            <w:r w:rsidRPr="002F4A79">
              <w:t>5.8%</w:t>
            </w:r>
          </w:p>
        </w:tc>
        <w:tc>
          <w:tcPr>
            <w:tcW w:w="1384" w:type="pct"/>
            <w:tcBorders>
              <w:bottom w:val="single" w:sz="4" w:space="0" w:color="0054BA" w:themeColor="accent2"/>
            </w:tcBorders>
            <w:vAlign w:val="top"/>
          </w:tcPr>
          <w:p w14:paraId="1E6D48C6" w14:textId="104C41A8" w:rsidR="00BD4B16" w:rsidRPr="00BD4B16" w:rsidRDefault="00BD4B16" w:rsidP="00BD4B16">
            <w:pPr>
              <w:pStyle w:val="Tabletext"/>
              <w:jc w:val="right"/>
            </w:pPr>
            <w:r w:rsidRPr="00AD0BB7">
              <w:t>2.5%</w:t>
            </w:r>
          </w:p>
        </w:tc>
      </w:tr>
    </w:tbl>
    <w:p w14:paraId="12F5C677" w14:textId="47EC99EE" w:rsidR="00F233E6" w:rsidRPr="00BD4B16" w:rsidRDefault="002A0FBA" w:rsidP="00373904">
      <w:pPr>
        <w:pStyle w:val="Caption"/>
      </w:pPr>
      <w:r w:rsidRPr="00BD4B16">
        <w:t>Source: London Economics’ analysis of survey data</w:t>
      </w:r>
    </w:p>
    <w:p w14:paraId="54628378" w14:textId="747505F3" w:rsidR="00211A10" w:rsidRPr="00A77DD3" w:rsidRDefault="00211A10" w:rsidP="00E27E7A">
      <w:pPr>
        <w:pStyle w:val="Heading4"/>
      </w:pPr>
      <w:bookmarkStart w:id="149" w:name="_Toc89964533"/>
      <w:r w:rsidRPr="00A77DD3">
        <w:t>Difference-in-difference</w:t>
      </w:r>
      <w:bookmarkEnd w:id="149"/>
      <w:r w:rsidR="00CD57A5" w:rsidRPr="00A77DD3">
        <w:t>s</w:t>
      </w:r>
      <w:r w:rsidR="00193EBA" w:rsidRPr="00A77DD3">
        <w:t xml:space="preserve"> estimation</w:t>
      </w:r>
    </w:p>
    <w:p w14:paraId="625A720D" w14:textId="1F0F9AFE" w:rsidR="00211A10" w:rsidRPr="00B93B07" w:rsidRDefault="20CDC61F" w:rsidP="00211A10">
      <w:r w:rsidRPr="009103B8">
        <w:t>Under the difference-in-difference</w:t>
      </w:r>
      <w:r w:rsidR="1718FE72" w:rsidRPr="009103B8">
        <w:t>s</w:t>
      </w:r>
      <w:r w:rsidRPr="009103B8">
        <w:t xml:space="preserve"> approach, outcomes are compared both before and after </w:t>
      </w:r>
      <w:r w:rsidR="00C236F3">
        <w:t>RLS</w:t>
      </w:r>
      <w:r w:rsidR="78824381" w:rsidRPr="009103B8">
        <w:t xml:space="preserve"> 1.0</w:t>
      </w:r>
      <w:r w:rsidR="53A5125E" w:rsidRPr="02AC3778">
        <w:t xml:space="preserve"> </w:t>
      </w:r>
      <w:r w:rsidRPr="009103B8">
        <w:t>w</w:t>
      </w:r>
      <w:r w:rsidR="78824381" w:rsidRPr="009103B8">
        <w:t>as</w:t>
      </w:r>
      <w:r w:rsidRPr="009103B8">
        <w:t xml:space="preserve"> introduced in order to account for the pre-existing differences in performance (as measured by turnover and employment) between the treatment and control groups that may not have been eliminated in the </w:t>
      </w:r>
      <w:r w:rsidR="1718FE72" w:rsidRPr="009103B8">
        <w:t xml:space="preserve">propensity score matching </w:t>
      </w:r>
      <w:r w:rsidRPr="009103B8">
        <w:t>process.</w:t>
      </w:r>
      <w:r w:rsidR="00211A10" w:rsidRPr="009103B8">
        <w:rPr>
          <w:rStyle w:val="FootnoteReference"/>
        </w:rPr>
        <w:footnoteReference w:id="67"/>
      </w:r>
      <w:r w:rsidRPr="009103B8">
        <w:t xml:space="preserve"> This is demonstrated in the figure below, showing differences in outcomes between treated </w:t>
      </w:r>
      <w:r w:rsidR="53C9EF00" w:rsidRPr="009103B8">
        <w:t xml:space="preserve">businesses </w:t>
      </w:r>
      <w:r w:rsidRPr="009103B8">
        <w:t xml:space="preserve">(Group A) and untreated </w:t>
      </w:r>
      <w:r w:rsidR="53C9EF00" w:rsidRPr="009103B8">
        <w:t xml:space="preserve">businesses </w:t>
      </w:r>
      <w:r w:rsidRPr="009103B8">
        <w:t xml:space="preserve">(Group B). In the example, prior </w:t>
      </w:r>
      <w:r w:rsidR="78824381" w:rsidRPr="009103B8">
        <w:t>to RLS 1.0</w:t>
      </w:r>
      <w:r w:rsidR="53A5125E" w:rsidRPr="02AC3778">
        <w:t xml:space="preserve"> </w:t>
      </w:r>
      <w:r w:rsidRPr="009103B8">
        <w:t>loans being extended</w:t>
      </w:r>
      <w:r w:rsidR="78824381" w:rsidRPr="009103B8">
        <w:t>,</w:t>
      </w:r>
      <w:r w:rsidRPr="009103B8">
        <w:t xml:space="preserve"> untreated </w:t>
      </w:r>
      <w:r w:rsidR="53C9EF00" w:rsidRPr="009103B8">
        <w:t xml:space="preserve">businesses </w:t>
      </w:r>
      <w:r w:rsidRPr="009103B8">
        <w:t xml:space="preserve">outperform treated </w:t>
      </w:r>
      <w:r w:rsidR="53C9EF00" w:rsidRPr="009103B8">
        <w:t xml:space="preserve">businesses </w:t>
      </w:r>
      <w:r w:rsidRPr="009103B8">
        <w:t>(i.e., there is a pre-existing difference in outcomes)</w:t>
      </w:r>
      <w:r w:rsidR="78824381" w:rsidRPr="009103B8">
        <w:t>,</w:t>
      </w:r>
      <w:r w:rsidRPr="009103B8">
        <w:t xml:space="preserve"> though this is not necessary for this method to be valid. After </w:t>
      </w:r>
      <w:r w:rsidR="78824381" w:rsidRPr="02AC3778">
        <w:t>RLS 1.0 loans</w:t>
      </w:r>
      <w:r w:rsidRPr="009103B8">
        <w:t xml:space="preserve"> are extended, treated </w:t>
      </w:r>
      <w:r w:rsidR="53C9EF00" w:rsidRPr="009103B8">
        <w:t xml:space="preserve">businesses </w:t>
      </w:r>
      <w:r w:rsidRPr="009103B8">
        <w:t xml:space="preserve">reduce their margin of underperformance, and this is the impact of </w:t>
      </w:r>
      <w:r w:rsidR="78824381" w:rsidRPr="009103B8">
        <w:t>RLS 1</w:t>
      </w:r>
      <w:r w:rsidR="78824381" w:rsidRPr="00B93B07">
        <w:t>.0</w:t>
      </w:r>
      <w:r w:rsidRPr="00B93B07">
        <w:t xml:space="preserve">: the difference between treated and control </w:t>
      </w:r>
      <w:r w:rsidR="53C9EF00" w:rsidRPr="00B93B07">
        <w:t xml:space="preserve">businesses </w:t>
      </w:r>
      <w:r w:rsidRPr="00B93B07">
        <w:t>after receiving the</w:t>
      </w:r>
      <w:r w:rsidR="00C236F3">
        <w:t>ir</w:t>
      </w:r>
      <w:r w:rsidRPr="00B93B07">
        <w:t xml:space="preserve"> </w:t>
      </w:r>
      <w:r w:rsidR="78824381" w:rsidRPr="02AC3778">
        <w:t>RLS 1.0</w:t>
      </w:r>
      <w:r w:rsidR="53A5125E" w:rsidRPr="02AC3778">
        <w:t xml:space="preserve"> </w:t>
      </w:r>
      <w:r w:rsidRPr="00B93B07">
        <w:t>loan, minus</w:t>
      </w:r>
      <w:r w:rsidR="3F2E229E" w:rsidRPr="00B93B07">
        <w:t xml:space="preserve"> the</w:t>
      </w:r>
      <w:r w:rsidRPr="00B93B07">
        <w:t xml:space="preserve"> corresponding difference before receiving the loan (the difference-in-difference</w:t>
      </w:r>
      <w:r w:rsidR="1718FE72" w:rsidRPr="00B93B07">
        <w:t>s</w:t>
      </w:r>
      <w:r w:rsidRPr="00B93B07">
        <w:t>)</w:t>
      </w:r>
      <w:r w:rsidR="4120A31C" w:rsidRPr="00B93B07">
        <w:t>, which</w:t>
      </w:r>
      <w:r w:rsidRPr="00B93B07">
        <w:t xml:space="preserve"> is positive.</w:t>
      </w:r>
      <w:r w:rsidR="00211A10" w:rsidRPr="00B93B07">
        <w:rPr>
          <w:rStyle w:val="FootnoteReference"/>
        </w:rPr>
        <w:footnoteReference w:id="68"/>
      </w:r>
    </w:p>
    <w:p w14:paraId="54C9106B" w14:textId="1B5A1626" w:rsidR="0034438A" w:rsidRPr="00B93B07" w:rsidRDefault="0034438A" w:rsidP="00373904">
      <w:pPr>
        <w:pStyle w:val="Heading5"/>
      </w:pPr>
      <w:r w:rsidRPr="00B93B07">
        <w:t xml:space="preserve">Figure </w:t>
      </w:r>
      <w:r>
        <w:fldChar w:fldCharType="begin"/>
      </w:r>
      <w:r>
        <w:instrText xml:space="preserve"> SEQ Figure \* ARABIC </w:instrText>
      </w:r>
      <w:r>
        <w:fldChar w:fldCharType="separate"/>
      </w:r>
      <w:r w:rsidR="001525E9">
        <w:rPr>
          <w:noProof/>
        </w:rPr>
        <w:t>18</w:t>
      </w:r>
      <w:r>
        <w:rPr>
          <w:noProof/>
        </w:rPr>
        <w:fldChar w:fldCharType="end"/>
      </w:r>
      <w:r w:rsidRPr="00B93B07">
        <w:t>: Difference-in-difference framework illustration</w:t>
      </w:r>
    </w:p>
    <w:p w14:paraId="3153A8D4" w14:textId="77777777" w:rsidR="00211A10" w:rsidRPr="00B93B07" w:rsidRDefault="00211A10" w:rsidP="00211A10">
      <w:r w:rsidRPr="00B93B07">
        <w:rPr>
          <w:noProof/>
        </w:rPr>
        <w:drawing>
          <wp:inline distT="0" distB="0" distL="0" distR="0" wp14:anchorId="53C24E32" wp14:editId="1B9A81E2">
            <wp:extent cx="3895725" cy="2971585"/>
            <wp:effectExtent l="0" t="0" r="0" b="635"/>
            <wp:docPr id="20" name="Picture 20" descr="The difference in difference model relies on common trends in the outcome variable before the intervention. The impact of the intervention is then estimated as the change in the difference in the outcome variable between the treatment and control groups before and after the 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difference in difference model relies on common trends in the outcome variable before the intervention. The impact of the intervention is then estimated as the change in the difference in the outcome variable between the treatment and control groups before and after the intervention. "/>
                    <pic:cNvPicPr/>
                  </pic:nvPicPr>
                  <pic:blipFill>
                    <a:blip r:embed="rId45"/>
                    <a:stretch>
                      <a:fillRect/>
                    </a:stretch>
                  </pic:blipFill>
                  <pic:spPr>
                    <a:xfrm>
                      <a:off x="0" y="0"/>
                      <a:ext cx="3897298" cy="2972785"/>
                    </a:xfrm>
                    <a:prstGeom prst="rect">
                      <a:avLst/>
                    </a:prstGeom>
                  </pic:spPr>
                </pic:pic>
              </a:graphicData>
            </a:graphic>
          </wp:inline>
        </w:drawing>
      </w:r>
    </w:p>
    <w:p w14:paraId="6C4696FE" w14:textId="602CEA44" w:rsidR="00211A10" w:rsidRPr="00B93B07" w:rsidRDefault="00211A10" w:rsidP="00211A10">
      <w:r w:rsidRPr="00B93B07">
        <w:t>The core specification for the difference-in-difference</w:t>
      </w:r>
      <w:r w:rsidR="00CD57A5" w:rsidRPr="00B93B07">
        <w:t>s</w:t>
      </w:r>
      <w:r w:rsidRPr="00B93B07">
        <w:t xml:space="preserve"> model is described by the following equation:</w:t>
      </w:r>
    </w:p>
    <w:p w14:paraId="6B1B75E6" w14:textId="14F211E6" w:rsidR="00211A10" w:rsidRPr="00B93B07" w:rsidRDefault="00885E1E" w:rsidP="00211A10">
      <w:pPr>
        <w:rPr>
          <w:rFonts w:eastAsiaTheme="minorEastAsia"/>
        </w:rPr>
      </w:pP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γT</m:t>
            </m:r>
          </m:e>
          <m:sub>
            <m:r>
              <w:rPr>
                <w:rFonts w:ascii="Cambria Math" w:hAnsi="Cambria Math"/>
              </w:rPr>
              <m:t>i</m:t>
            </m:r>
          </m:sub>
        </m:sSub>
        <m:r>
          <w:rPr>
            <w:rFonts w:ascii="Cambria Math" w:hAnsi="Cambria Math"/>
          </w:rPr>
          <m:t>+</m:t>
        </m:r>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e>
        </m:d>
        <m:r>
          <m:rPr>
            <m:sty m:val="bi"/>
          </m:rPr>
          <w:rPr>
            <w:rFonts w:ascii="Cambria Math" w:hAnsi="Cambria Math"/>
          </w:rPr>
          <m:t>+</m:t>
        </m:r>
        <m:r>
          <m:rPr>
            <m:sty m:val="bi"/>
          </m:rPr>
          <w:rPr>
            <w:rFonts w:ascii="Cambria Math" w:hAnsi="Cambria Math"/>
          </w:rPr>
          <m:t>μ</m:t>
        </m:r>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w:r w:rsidR="002C648D" w:rsidRPr="00B93B07">
        <w:rPr>
          <w:rFonts w:eastAsiaTheme="minorEastAsia"/>
        </w:rPr>
        <w:t>……………………………………………………(1)</w:t>
      </w:r>
    </w:p>
    <w:p w14:paraId="1786DA7D" w14:textId="5AF1D77B" w:rsidR="00211A10" w:rsidRPr="00A77DD3" w:rsidRDefault="00885E1E" w:rsidP="00211A10">
      <w:pPr>
        <w:pStyle w:val="ListBullet"/>
        <w:spacing w:after="240"/>
        <w:rPr>
          <w:rFonts w:cstheme="minorHAnsi"/>
          <w:iCs/>
        </w:rPr>
      </w:pP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00211A10" w:rsidRPr="00B93B07">
        <w:rPr>
          <w:rFonts w:ascii="Cambria Math" w:hAnsi="Cambria Math"/>
          <w:i/>
        </w:rPr>
        <w:t xml:space="preserve"> </w:t>
      </w:r>
      <w:r w:rsidR="00211A10" w:rsidRPr="00B93B07">
        <w:rPr>
          <w:rFonts w:cstheme="minorHAnsi"/>
          <w:iCs/>
        </w:rPr>
        <w:t xml:space="preserve">denotes the outcome variable (i.e., either </w:t>
      </w:r>
      <w:r w:rsidR="008E6E53" w:rsidRPr="00B93B07">
        <w:rPr>
          <w:rFonts w:cstheme="minorHAnsi"/>
          <w:iCs/>
        </w:rPr>
        <w:t xml:space="preserve">log </w:t>
      </w:r>
      <w:r w:rsidR="00211A10" w:rsidRPr="00B93B07">
        <w:rPr>
          <w:rFonts w:cstheme="minorHAnsi"/>
          <w:iCs/>
        </w:rPr>
        <w:t>employment</w:t>
      </w:r>
      <w:r w:rsidR="00211A10" w:rsidRPr="00A77DD3">
        <w:rPr>
          <w:rFonts w:cstheme="minorHAnsi"/>
          <w:iCs/>
        </w:rPr>
        <w:t xml:space="preserve"> or </w:t>
      </w:r>
      <w:r w:rsidR="008E6E53" w:rsidRPr="00A77DD3">
        <w:rPr>
          <w:rFonts w:cstheme="minorHAnsi"/>
          <w:iCs/>
        </w:rPr>
        <w:t xml:space="preserve">log </w:t>
      </w:r>
      <w:r w:rsidR="00211A10" w:rsidRPr="00A77DD3">
        <w:rPr>
          <w:rFonts w:cstheme="minorHAnsi"/>
          <w:iCs/>
        </w:rPr>
        <w:t xml:space="preserve">turnover). The two years included in the analysis are the </w:t>
      </w:r>
      <w:r w:rsidR="00A77DD3" w:rsidRPr="00A77DD3">
        <w:rPr>
          <w:rFonts w:cstheme="minorHAnsi"/>
          <w:iCs/>
        </w:rPr>
        <w:t xml:space="preserve">first </w:t>
      </w:r>
      <w:r w:rsidR="00211A10" w:rsidRPr="00A77DD3">
        <w:rPr>
          <w:rFonts w:cstheme="minorHAnsi"/>
          <w:iCs/>
        </w:rPr>
        <w:t xml:space="preserve">financial year </w:t>
      </w:r>
      <w:r w:rsidR="00A77DD3" w:rsidRPr="00A77DD3">
        <w:rPr>
          <w:rFonts w:cstheme="minorHAnsi"/>
          <w:iCs/>
        </w:rPr>
        <w:t>of</w:t>
      </w:r>
      <w:r w:rsidR="00211A10" w:rsidRPr="00A77DD3">
        <w:rPr>
          <w:rFonts w:cstheme="minorHAnsi"/>
          <w:iCs/>
        </w:rPr>
        <w:t xml:space="preserve"> the pandemic </w:t>
      </w:r>
      <w:r w:rsidR="00A77DD3" w:rsidRPr="00A77DD3">
        <w:rPr>
          <w:rFonts w:cstheme="minorHAnsi"/>
          <w:iCs/>
        </w:rPr>
        <w:t xml:space="preserve">(i.e. 2020-21) </w:t>
      </w:r>
      <w:r w:rsidR="00211A10" w:rsidRPr="00A77DD3">
        <w:rPr>
          <w:rFonts w:cstheme="minorHAnsi"/>
          <w:iCs/>
        </w:rPr>
        <w:t>and the last financial year</w:t>
      </w:r>
      <w:r w:rsidR="00A77DD3" w:rsidRPr="00A77DD3">
        <w:rPr>
          <w:rFonts w:cstheme="minorHAnsi"/>
          <w:iCs/>
        </w:rPr>
        <w:t xml:space="preserve"> (2022-23)</w:t>
      </w:r>
      <w:r w:rsidR="00211A10" w:rsidRPr="00A77DD3">
        <w:rPr>
          <w:rFonts w:cstheme="minorHAnsi"/>
          <w:iCs/>
        </w:rPr>
        <w:t xml:space="preserve">, allowing a comparison before and after the effects of </w:t>
      </w:r>
      <w:r w:rsidR="00D12004">
        <w:rPr>
          <w:rFonts w:cstheme="minorHAnsi"/>
          <w:iCs/>
        </w:rPr>
        <w:t>RLS</w:t>
      </w:r>
      <w:r w:rsidR="00A77DD3" w:rsidRPr="00A77DD3">
        <w:rPr>
          <w:rFonts w:cstheme="minorHAnsi"/>
          <w:iCs/>
        </w:rPr>
        <w:t xml:space="preserve"> 1.0</w:t>
      </w:r>
      <w:r w:rsidR="00CC2BEC" w:rsidRPr="00A77DD3">
        <w:rPr>
          <w:rFonts w:cstheme="minorHAnsi"/>
          <w:szCs w:val="24"/>
        </w:rPr>
        <w:t xml:space="preserve"> </w:t>
      </w:r>
      <w:r w:rsidR="00211A10" w:rsidRPr="00A77DD3">
        <w:rPr>
          <w:rFonts w:cstheme="minorHAnsi"/>
          <w:iCs/>
        </w:rPr>
        <w:t>were reali</w:t>
      </w:r>
      <w:r w:rsidR="00942A38">
        <w:rPr>
          <w:rFonts w:cstheme="minorHAnsi"/>
          <w:iCs/>
        </w:rPr>
        <w:t>s</w:t>
      </w:r>
      <w:r w:rsidR="00211A10" w:rsidRPr="00A77DD3">
        <w:rPr>
          <w:rFonts w:cstheme="minorHAnsi"/>
          <w:iCs/>
        </w:rPr>
        <w:t xml:space="preserve">ed. </w:t>
      </w:r>
    </w:p>
    <w:p w14:paraId="2B78B079" w14:textId="77777777" w:rsidR="00211A10" w:rsidRPr="00A77DD3" w:rsidRDefault="00885E1E" w:rsidP="00211A10">
      <w:pPr>
        <w:pStyle w:val="ListBullet"/>
        <w:spacing w:after="240"/>
        <w:rPr>
          <w:rFonts w:ascii="Cambria Math" w:hAnsi="Cambria Math"/>
          <w:i/>
        </w:rPr>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211A10" w:rsidRPr="00A77DD3">
        <w:rPr>
          <w:rFonts w:ascii="Cambria Math" w:hAnsi="Cambria Math"/>
          <w:i/>
        </w:rPr>
        <w:t xml:space="preserve"> </w:t>
      </w:r>
      <w:r w:rsidR="00211A10" w:rsidRPr="00A77DD3">
        <w:rPr>
          <w:rFonts w:cstheme="minorHAnsi"/>
          <w:iCs/>
        </w:rPr>
        <w:t xml:space="preserve">is a constant term. </w:t>
      </w:r>
    </w:p>
    <w:p w14:paraId="5016DB3C" w14:textId="45643F56" w:rsidR="00211A10" w:rsidRPr="00A77DD3" w:rsidRDefault="00885E1E" w:rsidP="00211A10">
      <w:pPr>
        <w:pStyle w:val="ListBullet"/>
        <w:spacing w:after="240"/>
        <w:rPr>
          <w:rFonts w:cstheme="minorHAnsi"/>
          <w:iCs/>
        </w:rPr>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211A10" w:rsidRPr="00A77DD3">
        <w:rPr>
          <w:rFonts w:ascii="Cambria Math" w:hAnsi="Cambria Math"/>
          <w:iCs/>
        </w:rPr>
        <w:t xml:space="preserve"> </w:t>
      </w:r>
      <w:r w:rsidR="00211A10" w:rsidRPr="00A77DD3">
        <w:rPr>
          <w:rFonts w:cstheme="minorHAnsi"/>
          <w:iCs/>
        </w:rPr>
        <w:t xml:space="preserve">is a dummy variable indicating whether a given </w:t>
      </w:r>
      <w:r w:rsidR="00006E87" w:rsidRPr="00A77DD3">
        <w:rPr>
          <w:rFonts w:cstheme="minorHAnsi"/>
          <w:iCs/>
        </w:rPr>
        <w:t xml:space="preserve">business </w:t>
      </w:r>
      <w:r w:rsidR="00211A10" w:rsidRPr="00A77DD3">
        <w:rPr>
          <w:rFonts w:cstheme="minorHAnsi"/>
          <w:iCs/>
        </w:rPr>
        <w:t>was part of the treated group or not.</w:t>
      </w:r>
    </w:p>
    <w:p w14:paraId="17E57F5D" w14:textId="77777777" w:rsidR="00211A10" w:rsidRPr="00A77DD3" w:rsidRDefault="00885E1E" w:rsidP="00211A10">
      <w:pPr>
        <w:pStyle w:val="ListBullet"/>
        <w:spacing w:after="240"/>
        <w:rPr>
          <w:rFonts w:cstheme="minorHAnsi"/>
          <w:i/>
        </w:rPr>
      </w:pPr>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t</m:t>
            </m:r>
          </m:sub>
        </m:sSub>
      </m:oMath>
      <w:r w:rsidR="00211A10" w:rsidRPr="00A77DD3">
        <w:rPr>
          <w:rFonts w:ascii="Cambria Math" w:hAnsi="Cambria Math"/>
          <w:i/>
        </w:rPr>
        <w:t xml:space="preserve"> </w:t>
      </w:r>
      <w:r w:rsidR="00211A10" w:rsidRPr="00A77DD3">
        <w:rPr>
          <w:rFonts w:cstheme="minorHAnsi"/>
          <w:iCs/>
        </w:rPr>
        <w:t>indicates whether the observation is pre- or post-treatment</w:t>
      </w:r>
    </w:p>
    <w:p w14:paraId="5A53E235" w14:textId="77777777" w:rsidR="00211A10" w:rsidRPr="00A77DD3" w:rsidRDefault="00885E1E" w:rsidP="00211A10">
      <w:pPr>
        <w:pStyle w:val="ListBullet"/>
        <w:spacing w:after="240"/>
        <w:rPr>
          <w:rFonts w:cstheme="minorHAnsi"/>
          <w:iCs/>
          <w:color w:val="FF3246" w:themeColor="accent1"/>
        </w:rPr>
      </w:pP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it</m:t>
            </m:r>
          </m:sub>
        </m:sSub>
      </m:oMath>
      <w:r w:rsidR="00211A10" w:rsidRPr="00A77DD3">
        <w:rPr>
          <w:rFonts w:eastAsiaTheme="minorEastAsia" w:cstheme="minorHAnsi"/>
          <w:b/>
          <w:bCs/>
        </w:rPr>
        <w:t xml:space="preserve"> </w:t>
      </w:r>
      <w:r w:rsidR="00211A10" w:rsidRPr="00A77DD3">
        <w:rPr>
          <w:rFonts w:eastAsiaTheme="minorEastAsia" w:cstheme="minorHAnsi"/>
        </w:rPr>
        <w:t xml:space="preserve">are a set of dummies controlling for participation in other support schemes. Further details on these variables can be found in the discussion of the data that follows. </w:t>
      </w:r>
    </w:p>
    <w:p w14:paraId="32F22407" w14:textId="56536E6D" w:rsidR="00FC7F0A" w:rsidRPr="00A77DD3" w:rsidRDefault="00885E1E" w:rsidP="00211A10">
      <w:pPr>
        <w:pStyle w:val="ListBullet"/>
        <w:spacing w:after="240"/>
        <w:rPr>
          <w:rFonts w:eastAsiaTheme="minorEastAsia" w:cstheme="minorHAnsi"/>
        </w:rPr>
      </w:pP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FC7F0A" w:rsidRPr="00A77DD3">
        <w:rPr>
          <w:rFonts w:eastAsiaTheme="minorEastAsia" w:cstheme="minorHAnsi"/>
        </w:rPr>
        <w:t xml:space="preserve"> denotes unobserved time invariant factors which may influence the outcome variable</w:t>
      </w:r>
      <w:r w:rsidR="00437BB7" w:rsidRPr="00A77DD3">
        <w:rPr>
          <w:rFonts w:eastAsiaTheme="minorEastAsia" w:cstheme="minorHAnsi"/>
        </w:rPr>
        <w:t xml:space="preserve">. The use of the fixed effects estimator accounts for </w:t>
      </w:r>
      <w:r w:rsidR="00C14188" w:rsidRPr="00A77DD3">
        <w:rPr>
          <w:rFonts w:eastAsiaTheme="minorEastAsia" w:cstheme="minorHAnsi"/>
        </w:rPr>
        <w:t xml:space="preserve">this </w:t>
      </w:r>
      <w:r w:rsidR="00437BB7" w:rsidRPr="00A77DD3">
        <w:rPr>
          <w:rFonts w:eastAsiaTheme="minorEastAsia" w:cstheme="minorHAnsi"/>
        </w:rPr>
        <w:t xml:space="preserve">unobserved heterogeneity. </w:t>
      </w:r>
    </w:p>
    <w:p w14:paraId="5F19F9C6" w14:textId="44261D82" w:rsidR="00211A10" w:rsidRPr="00A77DD3" w:rsidRDefault="00885E1E" w:rsidP="00211A10">
      <w:pPr>
        <w:pStyle w:val="ListBullet"/>
        <w:spacing w:after="240"/>
        <w:rPr>
          <w:rFonts w:ascii="Cambria Math" w:hAnsi="Cambria Math"/>
          <w:i/>
        </w:rPr>
      </w:pP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00211A10" w:rsidRPr="00A77DD3">
        <w:rPr>
          <w:rFonts w:cstheme="minorHAnsi"/>
          <w:i/>
        </w:rPr>
        <w:t xml:space="preserve"> </w:t>
      </w:r>
      <w:r w:rsidR="00211A10" w:rsidRPr="00A77DD3">
        <w:rPr>
          <w:rFonts w:cstheme="minorHAnsi"/>
          <w:iCs/>
        </w:rPr>
        <w:t xml:space="preserve">is </w:t>
      </w:r>
      <w:r w:rsidR="00437BB7" w:rsidRPr="00A77DD3">
        <w:rPr>
          <w:rFonts w:cstheme="minorHAnsi"/>
          <w:iCs/>
        </w:rPr>
        <w:t xml:space="preserve">the idiosyncratic </w:t>
      </w:r>
      <w:r w:rsidR="00211A10" w:rsidRPr="00A77DD3">
        <w:rPr>
          <w:rFonts w:cstheme="minorHAnsi"/>
          <w:iCs/>
        </w:rPr>
        <w:t xml:space="preserve">error term. This captures factors which are not </w:t>
      </w:r>
      <w:r w:rsidR="00E27E7A" w:rsidRPr="00A77DD3">
        <w:rPr>
          <w:rFonts w:cstheme="minorHAnsi"/>
          <w:iCs/>
        </w:rPr>
        <w:t>observed,</w:t>
      </w:r>
      <w:r w:rsidR="00437BB7" w:rsidRPr="00A77DD3">
        <w:rPr>
          <w:rFonts w:cstheme="minorHAnsi"/>
          <w:iCs/>
        </w:rPr>
        <w:t xml:space="preserve"> and which change both across </w:t>
      </w:r>
      <w:r w:rsidR="00006E87" w:rsidRPr="00A77DD3">
        <w:t xml:space="preserve">businesses </w:t>
      </w:r>
      <w:r w:rsidR="00437BB7" w:rsidRPr="00A77DD3">
        <w:rPr>
          <w:rFonts w:cstheme="minorHAnsi"/>
          <w:iCs/>
        </w:rPr>
        <w:t>and across time</w:t>
      </w:r>
      <w:r w:rsidR="00211A10" w:rsidRPr="00A77DD3">
        <w:rPr>
          <w:rFonts w:cstheme="minorHAnsi"/>
          <w:iCs/>
        </w:rPr>
        <w:t xml:space="preserve">. Standard errors are clustered at the sector level to account for potential correlation in error terms across </w:t>
      </w:r>
      <w:r w:rsidR="00006E87" w:rsidRPr="00A77DD3">
        <w:t xml:space="preserve">businesses </w:t>
      </w:r>
      <w:r w:rsidR="00211A10" w:rsidRPr="00A77DD3">
        <w:rPr>
          <w:rFonts w:cstheme="minorHAnsi"/>
          <w:iCs/>
        </w:rPr>
        <w:t>in the same industry.</w:t>
      </w:r>
    </w:p>
    <w:p w14:paraId="63E9FD9B" w14:textId="1E080C62" w:rsidR="00777FC3" w:rsidRPr="00A77DD3" w:rsidRDefault="00116261" w:rsidP="00211A10">
      <w:pPr>
        <w:pStyle w:val="ListBullet"/>
        <w:spacing w:after="240"/>
        <w:rPr>
          <w:rFonts w:cstheme="minorHAnsi"/>
          <w:i/>
        </w:rPr>
      </w:pPr>
      <m:oMath>
        <m:r>
          <w:rPr>
            <w:rFonts w:ascii="Cambria Math" w:hAnsi="Cambria Math"/>
          </w:rPr>
          <m:t>γ</m:t>
        </m:r>
      </m:oMath>
      <w:r w:rsidR="00211A10" w:rsidRPr="00A77DD3">
        <w:rPr>
          <w:rFonts w:ascii="Cambria Math" w:hAnsi="Cambria Math"/>
          <w:i/>
        </w:rPr>
        <w:t xml:space="preserve">, </w:t>
      </w:r>
      <m:oMath>
        <m:r>
          <w:rPr>
            <w:rFonts w:ascii="Cambria Math" w:hAnsi="Cambria Math"/>
          </w:rPr>
          <m:t>λ</m:t>
        </m:r>
      </m:oMath>
      <w:r w:rsidR="00211A10" w:rsidRPr="00A77DD3">
        <w:rPr>
          <w:rFonts w:ascii="Cambria Math" w:hAnsi="Cambria Math"/>
          <w:i/>
        </w:rPr>
        <w:t xml:space="preserve"> </w:t>
      </w:r>
      <w:r w:rsidR="00211A10" w:rsidRPr="00A77DD3">
        <w:rPr>
          <w:rFonts w:cstheme="minorHAnsi"/>
          <w:iCs/>
        </w:rPr>
        <w:t xml:space="preserve">and </w:t>
      </w:r>
      <m:oMath>
        <m:r>
          <m:rPr>
            <m:sty m:val="bi"/>
          </m:rPr>
          <w:rPr>
            <w:rFonts w:ascii="Cambria Math" w:hAnsi="Cambria Math"/>
          </w:rPr>
          <m:t>μ</m:t>
        </m:r>
      </m:oMath>
      <w:r w:rsidR="00211A10" w:rsidRPr="00A77DD3">
        <w:rPr>
          <w:rFonts w:eastAsiaTheme="minorEastAsia" w:cstheme="minorHAnsi"/>
          <w:b/>
        </w:rPr>
        <w:t xml:space="preserve"> </w:t>
      </w:r>
      <w:r w:rsidR="00211A10" w:rsidRPr="00A77DD3">
        <w:rPr>
          <w:rFonts w:eastAsiaTheme="minorEastAsia" w:cstheme="minorHAnsi"/>
          <w:bCs/>
        </w:rPr>
        <w:t>a</w:t>
      </w:r>
      <w:r w:rsidR="00211A10" w:rsidRPr="00A77DD3">
        <w:rPr>
          <w:rFonts w:cstheme="minorHAnsi"/>
          <w:iCs/>
        </w:rPr>
        <w:t xml:space="preserve">re individual scalars/vectors of coefficients. </w:t>
      </w:r>
      <m:oMath>
        <m:r>
          <w:rPr>
            <w:rFonts w:ascii="Cambria Math" w:hAnsi="Cambria Math"/>
          </w:rPr>
          <m:t>λ</m:t>
        </m:r>
      </m:oMath>
      <w:r w:rsidR="00211A10" w:rsidRPr="00A77DD3">
        <w:rPr>
          <w:rFonts w:eastAsiaTheme="minorEastAsia" w:cstheme="minorHAnsi"/>
          <w:b/>
          <w:bCs/>
        </w:rPr>
        <w:t xml:space="preserve"> </w:t>
      </w:r>
      <w:r w:rsidR="00211A10" w:rsidRPr="00A77DD3">
        <w:rPr>
          <w:rFonts w:eastAsiaTheme="minorEastAsia" w:cstheme="minorHAnsi"/>
        </w:rPr>
        <w:t xml:space="preserve">is the estimate for the effect of </w:t>
      </w:r>
      <w:r w:rsidR="00D12004">
        <w:rPr>
          <w:rFonts w:eastAsiaTheme="minorEastAsia" w:cstheme="minorHAnsi"/>
        </w:rPr>
        <w:t>RLS</w:t>
      </w:r>
      <w:r w:rsidR="00A77DD3">
        <w:rPr>
          <w:rFonts w:cstheme="minorHAnsi"/>
          <w:szCs w:val="24"/>
        </w:rPr>
        <w:t xml:space="preserve"> 1.0</w:t>
      </w:r>
      <w:r w:rsidR="00211A10" w:rsidRPr="000F604E">
        <w:rPr>
          <w:rFonts w:eastAsiaTheme="minorEastAsia" w:cstheme="minorHAnsi"/>
        </w:rPr>
        <w:t>.</w:t>
      </w:r>
    </w:p>
    <w:p w14:paraId="5709CF3E" w14:textId="3A57F70E" w:rsidR="002C648D" w:rsidRPr="000056E7" w:rsidRDefault="002C648D" w:rsidP="002D08E1">
      <w:pPr>
        <w:rPr>
          <w:highlight w:val="yellow"/>
        </w:rPr>
        <w:sectPr w:rsidR="002C648D" w:rsidRPr="000056E7" w:rsidSect="00A21374">
          <w:pgSz w:w="11906" w:h="16838" w:code="9"/>
          <w:pgMar w:top="1701" w:right="845" w:bottom="1531" w:left="907" w:header="624" w:footer="454" w:gutter="0"/>
          <w:cols w:space="284"/>
          <w:titlePg/>
          <w:docGrid w:linePitch="360"/>
        </w:sectPr>
      </w:pPr>
      <w:bookmarkStart w:id="150" w:name="_Toc89964534"/>
    </w:p>
    <w:p w14:paraId="681E4E8A" w14:textId="6A2468FB" w:rsidR="00211A10" w:rsidRPr="0036069C" w:rsidRDefault="00211A10" w:rsidP="00E27E7A">
      <w:pPr>
        <w:pStyle w:val="Heading3"/>
      </w:pPr>
      <w:r w:rsidRPr="0036069C">
        <w:t>Data</w:t>
      </w:r>
      <w:bookmarkEnd w:id="150"/>
    </w:p>
    <w:p w14:paraId="440D4823" w14:textId="278DAB6B" w:rsidR="00211A10" w:rsidRPr="0036069C" w:rsidRDefault="00211A10" w:rsidP="00211A10">
      <w:r w:rsidRPr="0036069C">
        <w:t xml:space="preserve">The quantification of the </w:t>
      </w:r>
      <w:r w:rsidR="002C648D" w:rsidRPr="0036069C">
        <w:t xml:space="preserve">direct and indirect </w:t>
      </w:r>
      <w:r w:rsidRPr="0036069C">
        <w:t>impact</w:t>
      </w:r>
      <w:r w:rsidR="002C648D" w:rsidRPr="0036069C">
        <w:t>s</w:t>
      </w:r>
      <w:r w:rsidRPr="0036069C">
        <w:t xml:space="preserve"> of </w:t>
      </w:r>
      <w:r w:rsidR="00D12004">
        <w:t>RLS</w:t>
      </w:r>
      <w:r w:rsidR="0036069C" w:rsidRPr="0036069C">
        <w:t xml:space="preserve"> 1.0</w:t>
      </w:r>
      <w:r w:rsidR="00CC2BEC" w:rsidRPr="0036069C">
        <w:rPr>
          <w:rFonts w:cstheme="minorHAnsi"/>
          <w:szCs w:val="24"/>
        </w:rPr>
        <w:t xml:space="preserve"> </w:t>
      </w:r>
      <w:r w:rsidRPr="0036069C">
        <w:t xml:space="preserve">uses survey data collected from participants and non-participants. This section discusses the data processing </w:t>
      </w:r>
      <w:r w:rsidR="002259DE" w:rsidRPr="0036069C">
        <w:t xml:space="preserve">and </w:t>
      </w:r>
      <w:r w:rsidRPr="0036069C">
        <w:t xml:space="preserve">describes the variables used in the </w:t>
      </w:r>
      <w:r w:rsidR="002D08E1" w:rsidRPr="0036069C">
        <w:t xml:space="preserve">propensity score matching </w:t>
      </w:r>
      <w:r w:rsidRPr="0036069C">
        <w:t>and subsequent difference-in-difference</w:t>
      </w:r>
      <w:r w:rsidR="00CD57A5" w:rsidRPr="0036069C">
        <w:t>s</w:t>
      </w:r>
      <w:r w:rsidRPr="0036069C">
        <w:t xml:space="preserve"> analysis. </w:t>
      </w:r>
    </w:p>
    <w:p w14:paraId="736E8650" w14:textId="2C327766" w:rsidR="00EA63B0" w:rsidRPr="0036069C" w:rsidRDefault="00EA63B0" w:rsidP="000138D1">
      <w:pPr>
        <w:pStyle w:val="Heading5"/>
      </w:pPr>
      <w:bookmarkStart w:id="151" w:name="_Ref92911788"/>
      <w:bookmarkStart w:id="152" w:name="_Ref152236178"/>
      <w:r w:rsidRPr="0036069C">
        <w:t xml:space="preserve">Table </w:t>
      </w:r>
      <w:r>
        <w:fldChar w:fldCharType="begin"/>
      </w:r>
      <w:r>
        <w:instrText xml:space="preserve"> SEQ Table \* ARABIC </w:instrText>
      </w:r>
      <w:r>
        <w:fldChar w:fldCharType="separate"/>
      </w:r>
      <w:r w:rsidR="001525E9">
        <w:rPr>
          <w:noProof/>
        </w:rPr>
        <w:t>30</w:t>
      </w:r>
      <w:r>
        <w:rPr>
          <w:noProof/>
        </w:rPr>
        <w:fldChar w:fldCharType="end"/>
      </w:r>
      <w:bookmarkEnd w:id="151"/>
      <w:r w:rsidRPr="0036069C">
        <w:t>: Variables used in the PSM</w:t>
      </w:r>
      <w:bookmarkEnd w:id="152"/>
    </w:p>
    <w:tbl>
      <w:tblPr>
        <w:tblStyle w:val="TableGrid"/>
        <w:tblW w:w="5000" w:type="pct"/>
        <w:tblLook w:val="04A0" w:firstRow="1" w:lastRow="0" w:firstColumn="1" w:lastColumn="0" w:noHBand="0" w:noVBand="1"/>
        <w:tblCaption w:val="Table title"/>
        <w:tblDescription w:val="Add description of table"/>
      </w:tblPr>
      <w:tblGrid>
        <w:gridCol w:w="2198"/>
        <w:gridCol w:w="9179"/>
        <w:gridCol w:w="2229"/>
      </w:tblGrid>
      <w:tr w:rsidR="00211A10" w:rsidRPr="00A77DD3" w14:paraId="440C41F2" w14:textId="77777777" w:rsidTr="02AC3778">
        <w:trPr>
          <w:cnfStyle w:val="100000000000" w:firstRow="1" w:lastRow="0" w:firstColumn="0" w:lastColumn="0" w:oddVBand="0" w:evenVBand="0" w:oddHBand="0" w:evenHBand="0" w:firstRowFirstColumn="0" w:firstRowLastColumn="0" w:lastRowFirstColumn="0" w:lastRowLastColumn="0"/>
          <w:tblHeader/>
        </w:trPr>
        <w:tc>
          <w:tcPr>
            <w:tcW w:w="808" w:type="pct"/>
            <w:hideMark/>
          </w:tcPr>
          <w:p w14:paraId="7F6EC315" w14:textId="77777777" w:rsidR="00211A10" w:rsidRPr="00A77DD3" w:rsidRDefault="00211A10" w:rsidP="0039386C">
            <w:pPr>
              <w:pStyle w:val="Tablecolumnheading-inkblue"/>
              <w:rPr>
                <w:color w:val="FFFFFF" w:themeColor="background1"/>
              </w:rPr>
            </w:pPr>
            <w:r w:rsidRPr="00A77DD3">
              <w:rPr>
                <w:color w:val="FFFFFF" w:themeColor="background1"/>
              </w:rPr>
              <w:t>Variable</w:t>
            </w:r>
          </w:p>
        </w:tc>
        <w:tc>
          <w:tcPr>
            <w:tcW w:w="3373" w:type="pct"/>
            <w:hideMark/>
          </w:tcPr>
          <w:p w14:paraId="573F0898" w14:textId="3BE1CAD1" w:rsidR="00211A10" w:rsidRPr="00A77DD3" w:rsidRDefault="002041DB" w:rsidP="0039386C">
            <w:pPr>
              <w:pStyle w:val="Tablecolumnheading-inkblue"/>
              <w:rPr>
                <w:color w:val="FFFFFF" w:themeColor="background1"/>
              </w:rPr>
            </w:pPr>
            <w:r w:rsidRPr="00A77DD3">
              <w:rPr>
                <w:color w:val="FFFFFF" w:themeColor="background1"/>
              </w:rPr>
              <w:t>Explanation</w:t>
            </w:r>
          </w:p>
        </w:tc>
        <w:tc>
          <w:tcPr>
            <w:tcW w:w="819" w:type="pct"/>
            <w:hideMark/>
          </w:tcPr>
          <w:p w14:paraId="283994C0" w14:textId="77777777" w:rsidR="00211A10" w:rsidRPr="00A77DD3" w:rsidRDefault="00211A10" w:rsidP="0039386C">
            <w:pPr>
              <w:pStyle w:val="Tablecolumnheading-inkblue"/>
              <w:rPr>
                <w:color w:val="FFFFFF" w:themeColor="background1"/>
              </w:rPr>
            </w:pPr>
            <w:r w:rsidRPr="00A77DD3">
              <w:rPr>
                <w:color w:val="FFFFFF" w:themeColor="background1"/>
              </w:rPr>
              <w:t>Source</w:t>
            </w:r>
          </w:p>
        </w:tc>
      </w:tr>
      <w:tr w:rsidR="00A77DD3" w:rsidRPr="00A77DD3" w14:paraId="70C9A14B"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08" w:type="pct"/>
            <w:vAlign w:val="center"/>
          </w:tcPr>
          <w:p w14:paraId="254AC399" w14:textId="6C9AE832" w:rsidR="00A77DD3" w:rsidRPr="00EB3151" w:rsidRDefault="00D12004" w:rsidP="00A77DD3">
            <w:pPr>
              <w:pStyle w:val="Tabletext"/>
            </w:pPr>
            <w:r>
              <w:t>Whether a business accessed finance under RLS 1.0</w:t>
            </w:r>
          </w:p>
        </w:tc>
        <w:tc>
          <w:tcPr>
            <w:tcW w:w="3373" w:type="pct"/>
            <w:vAlign w:val="center"/>
          </w:tcPr>
          <w:p w14:paraId="403E8086" w14:textId="68DE2F42" w:rsidR="00A77DD3" w:rsidRPr="00EB3151" w:rsidRDefault="00D12004" w:rsidP="00A77DD3">
            <w:pPr>
              <w:pStyle w:val="Tabletext"/>
            </w:pPr>
            <w:r>
              <w:t>The outcome variable for the PSM.</w:t>
            </w:r>
          </w:p>
        </w:tc>
        <w:tc>
          <w:tcPr>
            <w:tcW w:w="819" w:type="pct"/>
            <w:vAlign w:val="center"/>
          </w:tcPr>
          <w:p w14:paraId="38D57A82" w14:textId="12B73686" w:rsidR="00A77DD3" w:rsidRPr="00EB3151" w:rsidRDefault="00A77DD3" w:rsidP="00A77DD3">
            <w:pPr>
              <w:pStyle w:val="Tabletext"/>
              <w:rPr>
                <w:rStyle w:val="Bold"/>
                <w:b w:val="0"/>
                <w:bCs/>
              </w:rPr>
            </w:pPr>
            <w:r w:rsidRPr="00EB3151">
              <w:rPr>
                <w:rStyle w:val="Bold"/>
                <w:b w:val="0"/>
                <w:bCs/>
              </w:rPr>
              <w:t>BBB management information and survey data</w:t>
            </w:r>
          </w:p>
        </w:tc>
      </w:tr>
      <w:tr w:rsidR="00A77DD3" w:rsidRPr="00A77DD3" w14:paraId="1494306A" w14:textId="77777777" w:rsidTr="02AC3778">
        <w:tblPrEx>
          <w:tblCellMar>
            <w:left w:w="108" w:type="dxa"/>
            <w:right w:w="108" w:type="dxa"/>
          </w:tblCellMar>
        </w:tblPrEx>
        <w:tc>
          <w:tcPr>
            <w:tcW w:w="808" w:type="pct"/>
            <w:vAlign w:val="center"/>
          </w:tcPr>
          <w:p w14:paraId="6F63683C" w14:textId="4ECCE465" w:rsidR="00A77DD3" w:rsidRPr="00EB3151" w:rsidRDefault="00A77DD3" w:rsidP="00A77DD3">
            <w:pPr>
              <w:pStyle w:val="Tabletext"/>
            </w:pPr>
            <w:r w:rsidRPr="00EB3151">
              <w:t>Region</w:t>
            </w:r>
          </w:p>
        </w:tc>
        <w:tc>
          <w:tcPr>
            <w:tcW w:w="3373" w:type="pct"/>
            <w:vAlign w:val="center"/>
          </w:tcPr>
          <w:p w14:paraId="2562E6B6" w14:textId="29EBDE2F" w:rsidR="00A77DD3" w:rsidRPr="00EB3151" w:rsidRDefault="00A77DD3" w:rsidP="00A77DD3">
            <w:pPr>
              <w:pStyle w:val="Tabletext"/>
            </w:pPr>
            <w:r w:rsidRPr="00EB3151">
              <w:t xml:space="preserve">Businesses operating in the same part of the UK will be more likely to be similar and experience similar local economic conditions to each other than businesses in different parts of the UK. As a result, it would be expected that the region a business is based in may influence its decision to participate in </w:t>
            </w:r>
            <w:r w:rsidR="00EB3151" w:rsidRPr="00EB3151">
              <w:t>RLS 1.0.</w:t>
            </w:r>
          </w:p>
          <w:p w14:paraId="53A2B3AE" w14:textId="77777777" w:rsidR="00A77DD3" w:rsidRPr="00EB3151" w:rsidRDefault="00A77DD3" w:rsidP="00A77DD3">
            <w:pPr>
              <w:pStyle w:val="Tabletext"/>
            </w:pPr>
          </w:p>
        </w:tc>
        <w:tc>
          <w:tcPr>
            <w:tcW w:w="819" w:type="pct"/>
            <w:vAlign w:val="center"/>
          </w:tcPr>
          <w:p w14:paraId="23D3EF68" w14:textId="3BEABC87" w:rsidR="00A77DD3" w:rsidRPr="00EB3151" w:rsidRDefault="00D12004" w:rsidP="00A77DD3">
            <w:pPr>
              <w:pStyle w:val="Tabletext"/>
              <w:rPr>
                <w:rStyle w:val="Bold"/>
                <w:b w:val="0"/>
                <w:bCs/>
              </w:rPr>
            </w:pPr>
            <w:r>
              <w:rPr>
                <w:rStyle w:val="Bold"/>
                <w:b w:val="0"/>
                <w:bCs/>
              </w:rPr>
              <w:t>BBB management information and s</w:t>
            </w:r>
            <w:r w:rsidR="00A77DD3" w:rsidRPr="00EB3151">
              <w:rPr>
                <w:rStyle w:val="Bold"/>
                <w:b w:val="0"/>
                <w:bCs/>
              </w:rPr>
              <w:t>urvey data</w:t>
            </w:r>
          </w:p>
        </w:tc>
      </w:tr>
      <w:tr w:rsidR="00A77DD3" w:rsidRPr="00A77DD3" w14:paraId="49B3440F"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08" w:type="pct"/>
            <w:vAlign w:val="center"/>
          </w:tcPr>
          <w:p w14:paraId="023DB2CF" w14:textId="63411F4A" w:rsidR="00A77DD3" w:rsidRPr="00EB3151" w:rsidRDefault="00A77DD3" w:rsidP="00A77DD3">
            <w:pPr>
              <w:pStyle w:val="Tabletext"/>
            </w:pPr>
            <w:r w:rsidRPr="00EB3151">
              <w:t>Sector</w:t>
            </w:r>
          </w:p>
        </w:tc>
        <w:tc>
          <w:tcPr>
            <w:tcW w:w="3373" w:type="pct"/>
            <w:vAlign w:val="center"/>
          </w:tcPr>
          <w:p w14:paraId="14016CB8" w14:textId="7ED3EB23" w:rsidR="00A77DD3" w:rsidRPr="00EB3151" w:rsidRDefault="047D0B4D" w:rsidP="00A77DD3">
            <w:pPr>
              <w:pStyle w:val="Tabletext"/>
            </w:pPr>
            <w:r w:rsidRPr="00EB3151">
              <w:t>Businesses operating in the same sector will be more likely to face similar challenges and trading conditions.</w:t>
            </w:r>
            <w:r w:rsidR="00A77DD3" w:rsidRPr="00EB3151">
              <w:rPr>
                <w:rStyle w:val="FootnoteReference"/>
              </w:rPr>
              <w:footnoteReference w:id="69"/>
            </w:r>
          </w:p>
        </w:tc>
        <w:tc>
          <w:tcPr>
            <w:tcW w:w="819" w:type="pct"/>
            <w:vAlign w:val="center"/>
          </w:tcPr>
          <w:p w14:paraId="15B48732" w14:textId="66042CA5" w:rsidR="00A77DD3" w:rsidRPr="00EB3151" w:rsidRDefault="00D12004" w:rsidP="00A77DD3">
            <w:pPr>
              <w:pStyle w:val="Tabletext"/>
              <w:rPr>
                <w:rStyle w:val="Bold"/>
                <w:b w:val="0"/>
                <w:bCs/>
              </w:rPr>
            </w:pPr>
            <w:r>
              <w:rPr>
                <w:rStyle w:val="Bold"/>
                <w:b w:val="0"/>
                <w:bCs/>
              </w:rPr>
              <w:t>BBB management information and s</w:t>
            </w:r>
            <w:r w:rsidR="00A77DD3" w:rsidRPr="00EB3151">
              <w:rPr>
                <w:rStyle w:val="Bold"/>
                <w:b w:val="0"/>
                <w:bCs/>
              </w:rPr>
              <w:t>urvey data</w:t>
            </w:r>
          </w:p>
        </w:tc>
      </w:tr>
      <w:tr w:rsidR="00A77DD3" w:rsidRPr="00A77DD3" w14:paraId="3FC2161F" w14:textId="77777777" w:rsidTr="02AC3778">
        <w:tblPrEx>
          <w:tblCellMar>
            <w:left w:w="108" w:type="dxa"/>
            <w:right w:w="108" w:type="dxa"/>
          </w:tblCellMar>
        </w:tblPrEx>
        <w:tc>
          <w:tcPr>
            <w:tcW w:w="808" w:type="pct"/>
            <w:vAlign w:val="center"/>
          </w:tcPr>
          <w:p w14:paraId="7D46C471" w14:textId="4098F5DF" w:rsidR="00A77DD3" w:rsidRPr="00A77DD3" w:rsidRDefault="00A77DD3" w:rsidP="00A77DD3">
            <w:pPr>
              <w:pStyle w:val="Tabletext"/>
              <w:rPr>
                <w:highlight w:val="yellow"/>
              </w:rPr>
            </w:pPr>
            <w:r w:rsidRPr="00EB3151">
              <w:t xml:space="preserve">Size prior to </w:t>
            </w:r>
            <w:r w:rsidR="00EB3151" w:rsidRPr="00EB3151">
              <w:t>RLS 1.0</w:t>
            </w:r>
          </w:p>
        </w:tc>
        <w:tc>
          <w:tcPr>
            <w:tcW w:w="3373" w:type="pct"/>
            <w:vAlign w:val="center"/>
          </w:tcPr>
          <w:p w14:paraId="1EEB30D1" w14:textId="2BEF8334" w:rsidR="00A77DD3" w:rsidRPr="00EB3151" w:rsidRDefault="047D0B4D" w:rsidP="00EB3151">
            <w:pPr>
              <w:pStyle w:val="Tabletext"/>
            </w:pPr>
            <w:r w:rsidRPr="00EB3151">
              <w:t>Businesses of different sizes will have different considerations in terms of the kinds of challenges they face and their response to the pandemic. Two different measures of size were used (</w:t>
            </w:r>
            <w:r w:rsidR="40427574">
              <w:t>turnover and employment</w:t>
            </w:r>
            <w:r w:rsidRPr="00EB3151">
              <w:t xml:space="preserve">), measured </w:t>
            </w:r>
            <w:r w:rsidR="40427574">
              <w:t>in</w:t>
            </w:r>
            <w:r w:rsidRPr="00EB3151">
              <w:t xml:space="preserve"> the end of </w:t>
            </w:r>
            <w:r w:rsidR="424136B2">
              <w:t xml:space="preserve">the first </w:t>
            </w:r>
            <w:r w:rsidR="4DA3F295">
              <w:t xml:space="preserve">financial </w:t>
            </w:r>
            <w:r w:rsidR="424136B2">
              <w:t>year of the pandemic</w:t>
            </w:r>
            <w:r w:rsidRPr="00EB3151">
              <w:t>.</w:t>
            </w:r>
            <w:r w:rsidR="00A77DD3" w:rsidRPr="00EB3151">
              <w:rPr>
                <w:rStyle w:val="FootnoteReference"/>
              </w:rPr>
              <w:footnoteReference w:id="70"/>
            </w:r>
          </w:p>
        </w:tc>
        <w:tc>
          <w:tcPr>
            <w:tcW w:w="819" w:type="pct"/>
            <w:vAlign w:val="center"/>
          </w:tcPr>
          <w:p w14:paraId="3FBC8EE1" w14:textId="546CCC25" w:rsidR="00A77DD3" w:rsidRPr="00A77DD3" w:rsidRDefault="00A77DD3" w:rsidP="00A77DD3">
            <w:pPr>
              <w:rPr>
                <w:highlight w:val="yellow"/>
              </w:rPr>
            </w:pPr>
            <w:r w:rsidRPr="00EB3151">
              <w:rPr>
                <w:rStyle w:val="Bold"/>
                <w:b w:val="0"/>
                <w:bCs/>
              </w:rPr>
              <w:t>Survey data</w:t>
            </w:r>
          </w:p>
        </w:tc>
      </w:tr>
      <w:tr w:rsidR="00211A10" w:rsidRPr="00A77DD3" w14:paraId="5FDF258C"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08" w:type="pct"/>
            <w:vAlign w:val="center"/>
          </w:tcPr>
          <w:p w14:paraId="13D76893" w14:textId="5466723A" w:rsidR="00211A10" w:rsidRPr="00EB3151" w:rsidRDefault="00D12004" w:rsidP="002D08E1">
            <w:pPr>
              <w:pStyle w:val="Tabletext"/>
            </w:pPr>
            <w:r>
              <w:t>Turnover and employment</w:t>
            </w:r>
            <w:r w:rsidR="00A77DD3" w:rsidRPr="00EB3151">
              <w:t xml:space="preserve"> growth</w:t>
            </w:r>
            <w:r w:rsidR="00EB3151" w:rsidRPr="00EB3151">
              <w:t xml:space="preserve"> </w:t>
            </w:r>
          </w:p>
        </w:tc>
        <w:tc>
          <w:tcPr>
            <w:tcW w:w="3373" w:type="pct"/>
            <w:vAlign w:val="center"/>
          </w:tcPr>
          <w:p w14:paraId="49D3838D" w14:textId="38D05989" w:rsidR="00211A10" w:rsidRPr="00EB3151" w:rsidRDefault="424136B2" w:rsidP="00EA63B0">
            <w:pPr>
              <w:pStyle w:val="Tabletext"/>
            </w:pPr>
            <w:r w:rsidRPr="00EB3151">
              <w:t xml:space="preserve">The </w:t>
            </w:r>
            <w:r w:rsidR="40427574">
              <w:t>change in turnover and employment</w:t>
            </w:r>
            <w:r w:rsidRPr="00EB3151">
              <w:t xml:space="preserve"> between the financial year before the pandemic (2019-20) and the first year of the pandemic (2020-21).</w:t>
            </w:r>
            <w:r w:rsidR="008E3E38">
              <w:rPr>
                <w:rStyle w:val="FootnoteReference"/>
              </w:rPr>
              <w:footnoteReference w:id="71"/>
            </w:r>
            <w:r w:rsidR="40427574">
              <w:t xml:space="preserve"> This captures the trajectory of the business prior to RLS 1.0 as well as the impact of the pandemic on the business.</w:t>
            </w:r>
          </w:p>
        </w:tc>
        <w:tc>
          <w:tcPr>
            <w:tcW w:w="819" w:type="pct"/>
            <w:vAlign w:val="center"/>
          </w:tcPr>
          <w:p w14:paraId="526AA23F" w14:textId="2C999CE0" w:rsidR="00211A10" w:rsidRPr="00A77DD3" w:rsidRDefault="00EB3151" w:rsidP="00EA63B0">
            <w:pPr>
              <w:pStyle w:val="Tabletext"/>
              <w:rPr>
                <w:rStyle w:val="Bold"/>
                <w:b w:val="0"/>
                <w:bCs/>
                <w:highlight w:val="yellow"/>
              </w:rPr>
            </w:pPr>
            <w:r w:rsidRPr="00EB3151">
              <w:rPr>
                <w:rStyle w:val="Bold"/>
                <w:b w:val="0"/>
                <w:bCs/>
              </w:rPr>
              <w:t>Survey data</w:t>
            </w:r>
          </w:p>
        </w:tc>
      </w:tr>
      <w:tr w:rsidR="00A77DD3" w:rsidRPr="00A77DD3" w14:paraId="5A71619B" w14:textId="77777777" w:rsidTr="02AC3778">
        <w:tblPrEx>
          <w:tblCellMar>
            <w:left w:w="108" w:type="dxa"/>
            <w:right w:w="108" w:type="dxa"/>
          </w:tblCellMar>
        </w:tblPrEx>
        <w:tc>
          <w:tcPr>
            <w:tcW w:w="808" w:type="pct"/>
            <w:vAlign w:val="center"/>
          </w:tcPr>
          <w:p w14:paraId="0EB063D3" w14:textId="2CCAEAD8" w:rsidR="00A77DD3" w:rsidRPr="00A77DD3" w:rsidRDefault="00A77DD3" w:rsidP="00A77DD3">
            <w:pPr>
              <w:pStyle w:val="Tabletext"/>
              <w:rPr>
                <w:highlight w:val="yellow"/>
              </w:rPr>
            </w:pPr>
            <w:r w:rsidRPr="00EB3151">
              <w:t>Age</w:t>
            </w:r>
          </w:p>
        </w:tc>
        <w:tc>
          <w:tcPr>
            <w:tcW w:w="3373" w:type="pct"/>
            <w:vAlign w:val="center"/>
          </w:tcPr>
          <w:p w14:paraId="1FF241B6" w14:textId="01392FC1" w:rsidR="00A77DD3" w:rsidRPr="008659EB" w:rsidRDefault="047D0B4D" w:rsidP="00A77DD3">
            <w:pPr>
              <w:pStyle w:val="Tabletext"/>
            </w:pPr>
            <w:r w:rsidRPr="008659EB">
              <w:t>More established businesses are likely to be impacted differently than nascent businesses and similarly are likely to have different responses to the adversity of the pandemic. As part of the survey businesses were asked how many years</w:t>
            </w:r>
            <w:r w:rsidR="00A77DD3" w:rsidRPr="008659EB">
              <w:rPr>
                <w:rStyle w:val="FootnoteReference"/>
              </w:rPr>
              <w:footnoteReference w:id="72"/>
            </w:r>
            <w:r w:rsidRPr="008659EB">
              <w:t xml:space="preserve"> their business had been trading.</w:t>
            </w:r>
            <w:r w:rsidR="00A77DD3" w:rsidRPr="008659EB">
              <w:rPr>
                <w:rStyle w:val="FootnoteReference"/>
              </w:rPr>
              <w:footnoteReference w:id="73"/>
            </w:r>
            <w:r w:rsidRPr="008659EB">
              <w:t xml:space="preserve"> </w:t>
            </w:r>
          </w:p>
        </w:tc>
        <w:tc>
          <w:tcPr>
            <w:tcW w:w="819" w:type="pct"/>
            <w:vAlign w:val="center"/>
          </w:tcPr>
          <w:p w14:paraId="2BCFB577" w14:textId="7E177C1F" w:rsidR="00A77DD3" w:rsidRPr="00A77DD3" w:rsidRDefault="00A77DD3" w:rsidP="00A77DD3">
            <w:pPr>
              <w:pStyle w:val="Tabletext"/>
              <w:rPr>
                <w:rStyle w:val="Bold"/>
                <w:b w:val="0"/>
                <w:bCs/>
                <w:color w:val="auto"/>
                <w:highlight w:val="yellow"/>
              </w:rPr>
            </w:pPr>
            <w:r w:rsidRPr="00EB3151">
              <w:rPr>
                <w:rStyle w:val="Bold"/>
                <w:b w:val="0"/>
                <w:bCs/>
              </w:rPr>
              <w:t>Survey data</w:t>
            </w:r>
          </w:p>
        </w:tc>
      </w:tr>
      <w:tr w:rsidR="00A77DD3" w:rsidRPr="00A77DD3" w14:paraId="5705AD40"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08" w:type="pct"/>
            <w:vAlign w:val="center"/>
          </w:tcPr>
          <w:p w14:paraId="4ABA6D2C" w14:textId="4AB65A9E" w:rsidR="00A77DD3" w:rsidRPr="00EB3151" w:rsidRDefault="00A77DD3" w:rsidP="00A77DD3">
            <w:pPr>
              <w:pStyle w:val="Tabletext"/>
            </w:pPr>
            <w:r w:rsidRPr="00EB3151">
              <w:t>Business obstacles</w:t>
            </w:r>
          </w:p>
        </w:tc>
        <w:tc>
          <w:tcPr>
            <w:tcW w:w="3373" w:type="pct"/>
            <w:vAlign w:val="center"/>
          </w:tcPr>
          <w:p w14:paraId="4AC7CFF9" w14:textId="65D94756" w:rsidR="00A77DD3" w:rsidRPr="00EB3151" w:rsidRDefault="00A77DD3" w:rsidP="00A77DD3">
            <w:pPr>
              <w:pStyle w:val="Tabletext"/>
            </w:pPr>
            <w:r w:rsidRPr="00EB3151">
              <w:t>The different kinds of obstacles faced by businesses because of the pandemic are likely to have affected their response strategy and business performance. As a result, it is useful to include these obstacles in the PSM to help ensure that the trajectory of the treatment and control groups absent the intervention is the same (common trends). The obstacles included are market demand, supply chain disruption, late payment, access to external finance, availability of staff</w:t>
            </w:r>
            <w:r w:rsidR="00EB3151" w:rsidRPr="00EB3151">
              <w:t xml:space="preserve">, </w:t>
            </w:r>
            <w:r w:rsidRPr="00EB3151">
              <w:t>changes needed for Covid-19 compliance</w:t>
            </w:r>
            <w:r w:rsidR="00EB3151" w:rsidRPr="00EB3151">
              <w:t xml:space="preserve"> and increased debt levels</w:t>
            </w:r>
            <w:r w:rsidRPr="00EB3151">
              <w:t>.</w:t>
            </w:r>
          </w:p>
          <w:p w14:paraId="6CFB001B" w14:textId="1A86FB2E" w:rsidR="00A77DD3" w:rsidRPr="00EB3151" w:rsidRDefault="00A77DD3" w:rsidP="00A77DD3">
            <w:pPr>
              <w:pStyle w:val="Tabletext"/>
            </w:pPr>
            <w:r w:rsidRPr="00EB3151">
              <w:t>These responses were then converted into a series of dummy variables indicating whether each obstacle was identified as major.</w:t>
            </w:r>
          </w:p>
        </w:tc>
        <w:tc>
          <w:tcPr>
            <w:tcW w:w="819" w:type="pct"/>
            <w:vAlign w:val="center"/>
          </w:tcPr>
          <w:p w14:paraId="744004D1" w14:textId="1C6DB2B2" w:rsidR="00A77DD3" w:rsidRPr="00EB3151" w:rsidRDefault="00A77DD3" w:rsidP="00A77DD3">
            <w:pPr>
              <w:pStyle w:val="Tabletext"/>
              <w:rPr>
                <w:rStyle w:val="Bold"/>
                <w:b w:val="0"/>
                <w:bCs/>
                <w:color w:val="auto"/>
              </w:rPr>
            </w:pPr>
            <w:r w:rsidRPr="00EB3151">
              <w:rPr>
                <w:rStyle w:val="Bold"/>
                <w:b w:val="0"/>
                <w:bCs/>
              </w:rPr>
              <w:t>Survey data</w:t>
            </w:r>
          </w:p>
        </w:tc>
      </w:tr>
      <w:tr w:rsidR="00A77DD3" w:rsidRPr="000056E7" w14:paraId="456FBCCB" w14:textId="77777777" w:rsidTr="02AC3778">
        <w:tblPrEx>
          <w:tblCellMar>
            <w:left w:w="108" w:type="dxa"/>
            <w:right w:w="108" w:type="dxa"/>
          </w:tblCellMar>
        </w:tblPrEx>
        <w:tc>
          <w:tcPr>
            <w:tcW w:w="808" w:type="pct"/>
            <w:tcBorders>
              <w:bottom w:val="single" w:sz="4" w:space="0" w:color="0054BA" w:themeColor="accent2"/>
            </w:tcBorders>
            <w:vAlign w:val="center"/>
          </w:tcPr>
          <w:p w14:paraId="41004118" w14:textId="37165A4D" w:rsidR="00A77DD3" w:rsidRPr="008E3E38" w:rsidRDefault="00A77DD3" w:rsidP="00A77DD3">
            <w:pPr>
              <w:pStyle w:val="Tabletext"/>
            </w:pPr>
            <w:r w:rsidRPr="008E3E38">
              <w:t>Use of other support</w:t>
            </w:r>
          </w:p>
        </w:tc>
        <w:tc>
          <w:tcPr>
            <w:tcW w:w="3373" w:type="pct"/>
            <w:tcBorders>
              <w:bottom w:val="single" w:sz="4" w:space="0" w:color="0054BA" w:themeColor="accent2"/>
            </w:tcBorders>
            <w:vAlign w:val="center"/>
          </w:tcPr>
          <w:p w14:paraId="260E62C1" w14:textId="3F7F2773" w:rsidR="00A77DD3" w:rsidRPr="008E3E38" w:rsidRDefault="424136B2" w:rsidP="00A77DD3">
            <w:pPr>
              <w:pStyle w:val="Tabletext"/>
            </w:pPr>
            <w:r w:rsidRPr="008E3E38">
              <w:t xml:space="preserve">Businesses that made use of the same </w:t>
            </w:r>
            <w:r w:rsidR="4DA3F295" w:rsidRPr="008E3E38">
              <w:t xml:space="preserve">types of </w:t>
            </w:r>
            <w:r w:rsidRPr="008E3E38">
              <w:t xml:space="preserve">government support </w:t>
            </w:r>
            <w:r w:rsidR="4DA3F295" w:rsidRPr="008E3E38">
              <w:t>a</w:t>
            </w:r>
            <w:r w:rsidRPr="008E3E38">
              <w:t xml:space="preserve">re likely to have faced similar challenges during the period. </w:t>
            </w:r>
            <w:r w:rsidR="4DA3F295" w:rsidRPr="008E3E38">
              <w:t xml:space="preserve">This data was collected as part of the survey, in which each business was asked whether their business used a number of different types of support. Dummy variables are included in the PSM indicating whether the business used each type of government support. The support </w:t>
            </w:r>
            <w:r w:rsidR="61CDFD1E">
              <w:t>dummy variables</w:t>
            </w:r>
            <w:r w:rsidR="4DA3F295" w:rsidRPr="008E3E38">
              <w:t xml:space="preserve"> included in the PSM </w:t>
            </w:r>
            <w:r w:rsidR="05BFB9F6">
              <w:t>relate to</w:t>
            </w:r>
            <w:r w:rsidR="61CDFD1E">
              <w:t xml:space="preserve"> </w:t>
            </w:r>
            <w:r w:rsidR="4DA3F295" w:rsidRPr="008E3E38">
              <w:t xml:space="preserve">the Covid-19 Loan Guarantee Schemes, the CJRS, deferral of VAT payments and </w:t>
            </w:r>
            <w:r w:rsidR="61CDFD1E">
              <w:t>Other Support Schemes</w:t>
            </w:r>
            <w:r w:rsidR="4DA3F295" w:rsidRPr="008E3E38">
              <w:t>.</w:t>
            </w:r>
            <w:r w:rsidR="009A6D01">
              <w:rPr>
                <w:rStyle w:val="FootnoteReference"/>
              </w:rPr>
              <w:footnoteReference w:id="74"/>
            </w:r>
          </w:p>
        </w:tc>
        <w:tc>
          <w:tcPr>
            <w:tcW w:w="819" w:type="pct"/>
            <w:tcBorders>
              <w:bottom w:val="single" w:sz="4" w:space="0" w:color="0054BA" w:themeColor="accent2"/>
            </w:tcBorders>
            <w:vAlign w:val="center"/>
          </w:tcPr>
          <w:p w14:paraId="10EF3FD0" w14:textId="6D6D28C4" w:rsidR="00A77DD3" w:rsidRPr="00A77DD3" w:rsidRDefault="00D12004" w:rsidP="00A77DD3">
            <w:pPr>
              <w:pStyle w:val="Tabletext"/>
              <w:rPr>
                <w:rStyle w:val="Bold"/>
                <w:b w:val="0"/>
                <w:bCs/>
                <w:highlight w:val="yellow"/>
              </w:rPr>
            </w:pPr>
            <w:r>
              <w:rPr>
                <w:rStyle w:val="Bold"/>
                <w:b w:val="0"/>
                <w:bCs/>
              </w:rPr>
              <w:t>BBB management information, s</w:t>
            </w:r>
            <w:r w:rsidR="008E3E38" w:rsidRPr="008E3E38">
              <w:rPr>
                <w:rStyle w:val="Bold"/>
                <w:b w:val="0"/>
                <w:bCs/>
              </w:rPr>
              <w:t>urvey data</w:t>
            </w:r>
          </w:p>
        </w:tc>
      </w:tr>
    </w:tbl>
    <w:p w14:paraId="036C3EDB" w14:textId="5702F9E0" w:rsidR="00EA63B0" w:rsidRPr="0036069C" w:rsidRDefault="00EA63B0" w:rsidP="000138D1">
      <w:pPr>
        <w:pStyle w:val="Heading5"/>
      </w:pPr>
      <w:bookmarkStart w:id="153" w:name="_Ref92915681"/>
      <w:r w:rsidRPr="0036069C">
        <w:t xml:space="preserve">Table </w:t>
      </w:r>
      <w:r>
        <w:fldChar w:fldCharType="begin"/>
      </w:r>
      <w:r>
        <w:instrText xml:space="preserve"> SEQ Table \* ARABIC </w:instrText>
      </w:r>
      <w:r>
        <w:fldChar w:fldCharType="separate"/>
      </w:r>
      <w:r w:rsidR="001525E9">
        <w:rPr>
          <w:noProof/>
        </w:rPr>
        <w:t>31</w:t>
      </w:r>
      <w:r>
        <w:rPr>
          <w:noProof/>
        </w:rPr>
        <w:fldChar w:fldCharType="end"/>
      </w:r>
      <w:bookmarkEnd w:id="153"/>
      <w:r w:rsidRPr="0036069C">
        <w:t xml:space="preserve">: Variables used </w:t>
      </w:r>
      <w:r w:rsidR="00D12C1E">
        <w:t xml:space="preserve">in </w:t>
      </w:r>
      <w:r w:rsidRPr="0036069C">
        <w:t>the difference-in-differences regression</w:t>
      </w:r>
    </w:p>
    <w:tbl>
      <w:tblPr>
        <w:tblStyle w:val="TableGrid"/>
        <w:tblW w:w="5000" w:type="pct"/>
        <w:tblLook w:val="04A0" w:firstRow="1" w:lastRow="0" w:firstColumn="1" w:lastColumn="0" w:noHBand="0" w:noVBand="1"/>
        <w:tblCaption w:val="Table title"/>
        <w:tblDescription w:val="Add description of table"/>
      </w:tblPr>
      <w:tblGrid>
        <w:gridCol w:w="2411"/>
        <w:gridCol w:w="9214"/>
        <w:gridCol w:w="1981"/>
      </w:tblGrid>
      <w:tr w:rsidR="00211A10" w:rsidRPr="0036069C" w14:paraId="26F86EA0" w14:textId="77777777" w:rsidTr="02AC3778">
        <w:trPr>
          <w:cnfStyle w:val="100000000000" w:firstRow="1" w:lastRow="0" w:firstColumn="0" w:lastColumn="0" w:oddVBand="0" w:evenVBand="0" w:oddHBand="0" w:evenHBand="0" w:firstRowFirstColumn="0" w:firstRowLastColumn="0" w:lastRowFirstColumn="0" w:lastRowLastColumn="0"/>
          <w:tblHeader/>
        </w:trPr>
        <w:tc>
          <w:tcPr>
            <w:tcW w:w="886" w:type="pct"/>
            <w:hideMark/>
          </w:tcPr>
          <w:p w14:paraId="1BEED1E0" w14:textId="77777777" w:rsidR="00211A10" w:rsidRPr="0036069C" w:rsidRDefault="00211A10" w:rsidP="0039386C">
            <w:pPr>
              <w:pStyle w:val="Tablecolumnheading-inkblue"/>
              <w:rPr>
                <w:color w:val="FFFFFF" w:themeColor="background1"/>
              </w:rPr>
            </w:pPr>
            <w:r w:rsidRPr="0036069C">
              <w:rPr>
                <w:color w:val="FFFFFF" w:themeColor="background1"/>
              </w:rPr>
              <w:t>Variable</w:t>
            </w:r>
          </w:p>
        </w:tc>
        <w:tc>
          <w:tcPr>
            <w:tcW w:w="3386" w:type="pct"/>
            <w:hideMark/>
          </w:tcPr>
          <w:p w14:paraId="33F64136" w14:textId="14B08C64" w:rsidR="00211A10" w:rsidRPr="0036069C" w:rsidRDefault="004C441C" w:rsidP="0039386C">
            <w:pPr>
              <w:pStyle w:val="Tablecolumnheading-inkblue"/>
              <w:rPr>
                <w:color w:val="FFFFFF" w:themeColor="background1"/>
              </w:rPr>
            </w:pPr>
            <w:r w:rsidRPr="0036069C">
              <w:rPr>
                <w:color w:val="FFFFFF" w:themeColor="background1"/>
              </w:rPr>
              <w:t>Explanation</w:t>
            </w:r>
          </w:p>
        </w:tc>
        <w:tc>
          <w:tcPr>
            <w:tcW w:w="728" w:type="pct"/>
            <w:hideMark/>
          </w:tcPr>
          <w:p w14:paraId="09308F5C" w14:textId="77777777" w:rsidR="00211A10" w:rsidRPr="0036069C" w:rsidRDefault="00211A10" w:rsidP="0039386C">
            <w:pPr>
              <w:pStyle w:val="Tablecolumnheading-inkblue"/>
              <w:rPr>
                <w:color w:val="FFFFFF" w:themeColor="background1"/>
              </w:rPr>
            </w:pPr>
            <w:r w:rsidRPr="0036069C">
              <w:rPr>
                <w:color w:val="FFFFFF" w:themeColor="background1"/>
              </w:rPr>
              <w:t>Source</w:t>
            </w:r>
          </w:p>
        </w:tc>
      </w:tr>
      <w:tr w:rsidR="00211A10" w:rsidRPr="0036069C" w14:paraId="753EE632"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86" w:type="pct"/>
            <w:vAlign w:val="center"/>
          </w:tcPr>
          <w:p w14:paraId="23B8BE6D" w14:textId="2213CBF8" w:rsidR="00211A10" w:rsidRPr="0036069C" w:rsidRDefault="20CDC61F" w:rsidP="002D08E1">
            <w:pPr>
              <w:pStyle w:val="Tabletext"/>
            </w:pPr>
            <w:r w:rsidRPr="0036069C">
              <w:t>Business outcomes (turnover</w:t>
            </w:r>
            <w:bookmarkStart w:id="154" w:name="_Ref92912571"/>
            <w:r w:rsidR="00A9219A" w:rsidRPr="0036069C">
              <w:rPr>
                <w:rStyle w:val="FootnoteReference"/>
              </w:rPr>
              <w:footnoteReference w:id="75"/>
            </w:r>
            <w:bookmarkEnd w:id="154"/>
            <w:r w:rsidR="35CA2C45" w:rsidRPr="0036069C">
              <w:t xml:space="preserve"> and </w:t>
            </w:r>
            <w:r w:rsidRPr="0036069C">
              <w:t>employment)</w:t>
            </w:r>
          </w:p>
        </w:tc>
        <w:tc>
          <w:tcPr>
            <w:tcW w:w="3386" w:type="pct"/>
            <w:vAlign w:val="center"/>
          </w:tcPr>
          <w:p w14:paraId="016E2E53" w14:textId="5B3F79B9" w:rsidR="00211A10" w:rsidRPr="0036069C" w:rsidRDefault="20CDC61F" w:rsidP="002D08E1">
            <w:pPr>
              <w:pStyle w:val="Tabletext"/>
            </w:pPr>
            <w:r w:rsidRPr="0036069C">
              <w:t xml:space="preserve">These were collected related to the last completed financial year and the </w:t>
            </w:r>
            <w:r w:rsidR="39CB78D1">
              <w:t>first</w:t>
            </w:r>
            <w:r w:rsidRPr="0036069C">
              <w:t xml:space="preserve"> year </w:t>
            </w:r>
            <w:r w:rsidR="39CB78D1">
              <w:t>of</w:t>
            </w:r>
            <w:r w:rsidRPr="0036069C">
              <w:t xml:space="preserve"> the pandemic</w:t>
            </w:r>
            <w:r w:rsidR="00211A10" w:rsidRPr="0036069C">
              <w:rPr>
                <w:rStyle w:val="FootnoteReference"/>
              </w:rPr>
              <w:footnoteReference w:id="76"/>
            </w:r>
            <w:r w:rsidR="35CA2C45" w:rsidRPr="0036069C">
              <w:t>. A log transformation was then applied to these variables for the difference-in-difference regression.</w:t>
            </w:r>
          </w:p>
        </w:tc>
        <w:tc>
          <w:tcPr>
            <w:tcW w:w="728" w:type="pct"/>
            <w:vAlign w:val="center"/>
          </w:tcPr>
          <w:p w14:paraId="7AF3C7A4" w14:textId="77777777" w:rsidR="00211A10" w:rsidRPr="0036069C" w:rsidRDefault="00211A10" w:rsidP="002D08E1">
            <w:pPr>
              <w:pStyle w:val="Tabletext"/>
              <w:rPr>
                <w:rStyle w:val="Bold"/>
                <w:b w:val="0"/>
                <w:bCs/>
              </w:rPr>
            </w:pPr>
            <w:r w:rsidRPr="0036069C">
              <w:rPr>
                <w:rStyle w:val="Bold"/>
                <w:b w:val="0"/>
                <w:bCs/>
              </w:rPr>
              <w:t>Survey data</w:t>
            </w:r>
          </w:p>
        </w:tc>
      </w:tr>
      <w:tr w:rsidR="00211A10" w:rsidRPr="0036069C" w14:paraId="1BAC9AA1" w14:textId="77777777" w:rsidTr="02AC3778">
        <w:tblPrEx>
          <w:tblCellMar>
            <w:left w:w="108" w:type="dxa"/>
            <w:right w:w="108" w:type="dxa"/>
          </w:tblCellMar>
        </w:tblPrEx>
        <w:tc>
          <w:tcPr>
            <w:tcW w:w="886" w:type="pct"/>
            <w:vAlign w:val="center"/>
          </w:tcPr>
          <w:p w14:paraId="09120F11" w14:textId="511E7BAF" w:rsidR="00211A10" w:rsidRPr="0036069C" w:rsidRDefault="00D12004" w:rsidP="002D08E1">
            <w:pPr>
              <w:pStyle w:val="Tabletext"/>
            </w:pPr>
            <w:r>
              <w:t>Whether a business accessed finance under RLS 1.0</w:t>
            </w:r>
          </w:p>
        </w:tc>
        <w:tc>
          <w:tcPr>
            <w:tcW w:w="3386" w:type="pct"/>
            <w:vAlign w:val="center"/>
          </w:tcPr>
          <w:p w14:paraId="14D8BF3E" w14:textId="50888925" w:rsidR="00211A10" w:rsidRPr="0036069C" w:rsidRDefault="00D12004" w:rsidP="002D08E1">
            <w:pPr>
              <w:pStyle w:val="Tabletext"/>
            </w:pPr>
            <w:r>
              <w:t xml:space="preserve">The differentiator between borrowers and non-borrowers. </w:t>
            </w:r>
          </w:p>
        </w:tc>
        <w:tc>
          <w:tcPr>
            <w:tcW w:w="728" w:type="pct"/>
            <w:vAlign w:val="center"/>
          </w:tcPr>
          <w:p w14:paraId="5A2D6C9D" w14:textId="77777777" w:rsidR="00211A10" w:rsidRPr="0036069C" w:rsidRDefault="00211A10" w:rsidP="002D08E1">
            <w:pPr>
              <w:pStyle w:val="Tabletext"/>
              <w:rPr>
                <w:rStyle w:val="Bold"/>
                <w:b w:val="0"/>
                <w:bCs/>
              </w:rPr>
            </w:pPr>
            <w:r w:rsidRPr="0036069C">
              <w:rPr>
                <w:rStyle w:val="Bold"/>
                <w:b w:val="0"/>
                <w:bCs/>
              </w:rPr>
              <w:t>Survey data</w:t>
            </w:r>
          </w:p>
        </w:tc>
      </w:tr>
      <w:tr w:rsidR="00211A10" w:rsidRPr="0036069C" w14:paraId="32C201E3" w14:textId="77777777" w:rsidTr="02AC3778">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886" w:type="pct"/>
            <w:vAlign w:val="center"/>
          </w:tcPr>
          <w:p w14:paraId="43A798EE" w14:textId="72757462" w:rsidR="00211A10" w:rsidRPr="0036069C" w:rsidRDefault="0036069C" w:rsidP="002D08E1">
            <w:pPr>
              <w:pStyle w:val="Tabletext"/>
            </w:pPr>
            <w:r w:rsidRPr="0036069C">
              <w:t>Use of the Covid-19 Loan Guarantee Schemes</w:t>
            </w:r>
          </w:p>
        </w:tc>
        <w:tc>
          <w:tcPr>
            <w:tcW w:w="3386" w:type="pct"/>
            <w:vAlign w:val="center"/>
          </w:tcPr>
          <w:p w14:paraId="0FA2A96C" w14:textId="29A1B2EC" w:rsidR="00211A10" w:rsidRPr="0036069C" w:rsidRDefault="00D12004" w:rsidP="002D08E1">
            <w:pPr>
              <w:pStyle w:val="Tabletext"/>
            </w:pPr>
            <w:r>
              <w:t xml:space="preserve">Control variable related to other kinds of support businesses may have accessed. </w:t>
            </w:r>
          </w:p>
        </w:tc>
        <w:tc>
          <w:tcPr>
            <w:tcW w:w="728" w:type="pct"/>
            <w:vAlign w:val="center"/>
          </w:tcPr>
          <w:p w14:paraId="6E4A483B" w14:textId="5F2B7407" w:rsidR="00211A10" w:rsidRPr="0036069C" w:rsidRDefault="00D12004" w:rsidP="002D08E1">
            <w:pPr>
              <w:pStyle w:val="Tabletext"/>
              <w:rPr>
                <w:rStyle w:val="Bold"/>
                <w:b w:val="0"/>
                <w:bCs/>
              </w:rPr>
            </w:pPr>
            <w:r>
              <w:rPr>
                <w:rStyle w:val="Bold"/>
                <w:b w:val="0"/>
                <w:bCs/>
              </w:rPr>
              <w:t>B</w:t>
            </w:r>
            <w:r w:rsidRPr="00D12004">
              <w:rPr>
                <w:rStyle w:val="Bold"/>
                <w:b w:val="0"/>
                <w:bCs/>
              </w:rPr>
              <w:t>BB management information, survey data</w:t>
            </w:r>
          </w:p>
        </w:tc>
      </w:tr>
      <w:tr w:rsidR="00211A10" w:rsidRPr="000056E7" w14:paraId="7696250B" w14:textId="77777777" w:rsidTr="02AC3778">
        <w:tblPrEx>
          <w:tblCellMar>
            <w:left w:w="108" w:type="dxa"/>
            <w:right w:w="108" w:type="dxa"/>
          </w:tblCellMar>
        </w:tblPrEx>
        <w:tc>
          <w:tcPr>
            <w:tcW w:w="886" w:type="pct"/>
            <w:tcBorders>
              <w:bottom w:val="single" w:sz="4" w:space="0" w:color="0054BA" w:themeColor="accent2"/>
            </w:tcBorders>
            <w:vAlign w:val="center"/>
          </w:tcPr>
          <w:p w14:paraId="57CF1E15" w14:textId="5F3C5CD9" w:rsidR="00211A10" w:rsidRPr="0036069C" w:rsidRDefault="00211A10" w:rsidP="002D08E1">
            <w:pPr>
              <w:pStyle w:val="Tabletext"/>
            </w:pPr>
            <w:r w:rsidRPr="0036069C">
              <w:t xml:space="preserve">Use of </w:t>
            </w:r>
            <w:r w:rsidR="00D12004">
              <w:t>other support</w:t>
            </w:r>
          </w:p>
        </w:tc>
        <w:tc>
          <w:tcPr>
            <w:tcW w:w="3386" w:type="pct"/>
            <w:tcBorders>
              <w:bottom w:val="single" w:sz="4" w:space="0" w:color="0054BA" w:themeColor="accent2"/>
            </w:tcBorders>
            <w:vAlign w:val="center"/>
          </w:tcPr>
          <w:p w14:paraId="3FC1E372" w14:textId="541C98A9" w:rsidR="00211A10" w:rsidRPr="0036069C" w:rsidRDefault="00D12004" w:rsidP="002D08E1">
            <w:pPr>
              <w:pStyle w:val="Tabletext"/>
            </w:pPr>
            <w:r>
              <w:t xml:space="preserve">Use of the Covid-19 Loan Guarantee Schemes and the CJRS. See </w:t>
            </w:r>
            <w:r>
              <w:fldChar w:fldCharType="begin"/>
            </w:r>
            <w:r>
              <w:instrText xml:space="preserve"> REF _Ref92911788 \h </w:instrText>
            </w:r>
            <w:r>
              <w:fldChar w:fldCharType="separate"/>
            </w:r>
            <w:r w:rsidR="001525E9" w:rsidRPr="0036069C">
              <w:t xml:space="preserve">Table </w:t>
            </w:r>
            <w:r w:rsidR="001525E9">
              <w:rPr>
                <w:noProof/>
              </w:rPr>
              <w:t>30</w:t>
            </w:r>
            <w:r>
              <w:fldChar w:fldCharType="end"/>
            </w:r>
            <w:r>
              <w:t>.</w:t>
            </w:r>
          </w:p>
        </w:tc>
        <w:tc>
          <w:tcPr>
            <w:tcW w:w="728" w:type="pct"/>
            <w:tcBorders>
              <w:bottom w:val="single" w:sz="4" w:space="0" w:color="0054BA" w:themeColor="accent2"/>
            </w:tcBorders>
            <w:vAlign w:val="center"/>
          </w:tcPr>
          <w:p w14:paraId="0C3F61C3" w14:textId="77777777" w:rsidR="00211A10" w:rsidRPr="0036069C" w:rsidRDefault="00211A10" w:rsidP="002D08E1">
            <w:pPr>
              <w:pStyle w:val="Tabletext"/>
              <w:rPr>
                <w:rStyle w:val="Bold"/>
                <w:b w:val="0"/>
                <w:bCs/>
                <w:color w:val="auto"/>
              </w:rPr>
            </w:pPr>
            <w:r w:rsidRPr="0036069C">
              <w:rPr>
                <w:rStyle w:val="Bold"/>
                <w:b w:val="0"/>
                <w:bCs/>
              </w:rPr>
              <w:t>Survey data</w:t>
            </w:r>
          </w:p>
        </w:tc>
      </w:tr>
    </w:tbl>
    <w:p w14:paraId="54677F34" w14:textId="77777777" w:rsidR="00211A10" w:rsidRPr="000056E7" w:rsidRDefault="00211A10" w:rsidP="00211A10">
      <w:pPr>
        <w:rPr>
          <w:highlight w:val="yellow"/>
        </w:rPr>
        <w:sectPr w:rsidR="00211A10" w:rsidRPr="000056E7" w:rsidSect="00A21374">
          <w:footerReference w:type="default" r:id="rId46"/>
          <w:footerReference w:type="first" r:id="rId47"/>
          <w:pgSz w:w="16838" w:h="11906" w:orient="landscape" w:code="9"/>
          <w:pgMar w:top="907" w:right="1701" w:bottom="845" w:left="1531" w:header="624" w:footer="454" w:gutter="0"/>
          <w:cols w:space="284"/>
          <w:titlePg/>
          <w:docGrid w:linePitch="360"/>
        </w:sectPr>
      </w:pPr>
    </w:p>
    <w:p w14:paraId="46D6F428" w14:textId="798382C0" w:rsidR="00F65A73" w:rsidRPr="002E6CFD" w:rsidRDefault="00A8544D" w:rsidP="00F65A73">
      <w:pPr>
        <w:pStyle w:val="Heading2"/>
      </w:pPr>
      <w:bookmarkStart w:id="155" w:name="_Toc161327602"/>
      <w:r>
        <w:t>Econometric results</w:t>
      </w:r>
      <w:bookmarkEnd w:id="155"/>
    </w:p>
    <w:p w14:paraId="2C74D689" w14:textId="7660197C" w:rsidR="00D17EFB" w:rsidRPr="000816D7" w:rsidRDefault="00D17EFB" w:rsidP="00D17EFB">
      <w:bookmarkStart w:id="156" w:name="_Ref90974632"/>
      <w:bookmarkStart w:id="157" w:name="_Ref92816293"/>
      <w:r w:rsidRPr="000816D7">
        <w:t>The “Post-intervention” variable in the model measure</w:t>
      </w:r>
      <w:r w:rsidR="000816D7" w:rsidRPr="000816D7">
        <w:t>s</w:t>
      </w:r>
      <w:r w:rsidRPr="000816D7">
        <w:t xml:space="preserve"> the change in turnover (or employment) among non-borrowers in </w:t>
      </w:r>
      <w:r w:rsidR="00B57160">
        <w:t xml:space="preserve">the </w:t>
      </w:r>
      <w:r w:rsidR="000816D7" w:rsidRPr="000816D7">
        <w:t>2022-23</w:t>
      </w:r>
      <w:r w:rsidRPr="000816D7">
        <w:t xml:space="preserve"> </w:t>
      </w:r>
      <w:r w:rsidR="00B57160" w:rsidRPr="000816D7">
        <w:t xml:space="preserve">financial year </w:t>
      </w:r>
      <w:r w:rsidRPr="000816D7">
        <w:t xml:space="preserve">relative to </w:t>
      </w:r>
      <w:r w:rsidR="00B57160">
        <w:t xml:space="preserve">the </w:t>
      </w:r>
      <w:r w:rsidR="000816D7" w:rsidRPr="000816D7">
        <w:t>2020-21</w:t>
      </w:r>
      <w:r w:rsidR="00B57160">
        <w:t xml:space="preserve"> </w:t>
      </w:r>
      <w:r w:rsidR="00B57160" w:rsidRPr="000816D7">
        <w:t>financial year</w:t>
      </w:r>
      <w:r w:rsidRPr="000816D7">
        <w:t>. The “Borrower, post-intervention” variable reflect</w:t>
      </w:r>
      <w:r w:rsidR="000816D7" w:rsidRPr="000816D7">
        <w:t>s</w:t>
      </w:r>
      <w:r w:rsidRPr="000816D7">
        <w:t xml:space="preserve"> the additional change in turnover (or employment) experienced by the borrowing business sample only. They are the coefficients of interest as they isolate the impact of receiving a</w:t>
      </w:r>
      <w:r w:rsidR="000816D7" w:rsidRPr="000816D7">
        <w:t xml:space="preserve">n RLS 1.0 </w:t>
      </w:r>
      <w:r w:rsidRPr="000816D7">
        <w:t xml:space="preserve">loan on turnover (or employment). </w:t>
      </w:r>
    </w:p>
    <w:p w14:paraId="19571EB6" w14:textId="6685A72A" w:rsidR="00D17EFB" w:rsidRPr="000816D7" w:rsidRDefault="00D17EFB" w:rsidP="00D17EFB">
      <w:r w:rsidRPr="000816D7">
        <w:t>The variables “Used CJRS”</w:t>
      </w:r>
      <w:r w:rsidR="000816D7" w:rsidRPr="000816D7">
        <w:t xml:space="preserve"> and “Used Covid Loans”</w:t>
      </w:r>
      <w:r w:rsidRPr="000816D7">
        <w:t xml:space="preserve"> are included in some of the models to assess the robustness of results. These variables are intended to minimise the risk that impacts of these business support measures are incorrectly attributed to </w:t>
      </w:r>
      <w:r w:rsidR="00C236F3">
        <w:t>RLS</w:t>
      </w:r>
      <w:r w:rsidR="000816D7" w:rsidRPr="000816D7">
        <w:t xml:space="preserve"> 1.0</w:t>
      </w:r>
      <w:r w:rsidRPr="000816D7">
        <w:t xml:space="preserve">. </w:t>
      </w:r>
    </w:p>
    <w:p w14:paraId="3E41F6E5" w14:textId="77777777" w:rsidR="00D17EFB" w:rsidRPr="000816D7" w:rsidRDefault="00D17EFB" w:rsidP="00D17EFB">
      <w:pPr>
        <w:rPr>
          <w:i/>
          <w:iCs/>
        </w:rPr>
      </w:pPr>
      <w:r w:rsidRPr="000816D7">
        <w:rPr>
          <w:i/>
          <w:iCs/>
        </w:rPr>
        <w:t>Turnover</w:t>
      </w:r>
    </w:p>
    <w:p w14:paraId="03A993AD" w14:textId="4ED82BB8" w:rsidR="00D17EFB" w:rsidRPr="000816D7" w:rsidRDefault="00D17EFB" w:rsidP="00D17EFB">
      <w:r w:rsidRPr="000816D7">
        <w:t xml:space="preserve">As discussed in the main report, the econometric analysis </w:t>
      </w:r>
      <w:r w:rsidR="000816D7" w:rsidRPr="000816D7">
        <w:t>finds</w:t>
      </w:r>
      <w:r w:rsidRPr="000816D7">
        <w:t xml:space="preserve"> a statistically significant impact of </w:t>
      </w:r>
      <w:r w:rsidR="000816D7" w:rsidRPr="000816D7">
        <w:t>RLS 1.0</w:t>
      </w:r>
      <w:r w:rsidRPr="000816D7">
        <w:t xml:space="preserve"> on borrowers’ turnover in </w:t>
      </w:r>
      <w:r w:rsidR="000816D7" w:rsidRPr="000816D7">
        <w:t>2022-23, which is robust to the inclusion of controls</w:t>
      </w:r>
      <w:r w:rsidRPr="000816D7">
        <w:t xml:space="preserve">. </w:t>
      </w:r>
      <w:r w:rsidR="000816D7" w:rsidRPr="000816D7">
        <w:t>Indeed, the coefficients for the variable “Borrower, post intervention” are positive and significant to the 5% significance level in both models.</w:t>
      </w:r>
    </w:p>
    <w:p w14:paraId="69DBC1F2" w14:textId="43B98CD4" w:rsidR="000816D7" w:rsidRDefault="702A58FF" w:rsidP="00B57160">
      <w:r w:rsidRPr="000816D7">
        <w:t xml:space="preserve">The estimated coefficient for the variable “Post-intervention” is </w:t>
      </w:r>
      <w:r w:rsidR="629D36F2" w:rsidRPr="000816D7">
        <w:t>positive in the first model and negative in the second</w:t>
      </w:r>
      <w:r w:rsidR="018E2A4E">
        <w:t xml:space="preserve"> model</w:t>
      </w:r>
      <w:r w:rsidR="629D36F2" w:rsidRPr="000816D7">
        <w:t xml:space="preserve">, and is not </w:t>
      </w:r>
      <w:r w:rsidRPr="000816D7">
        <w:t xml:space="preserve">statistically significant </w:t>
      </w:r>
      <w:r w:rsidR="629D36F2" w:rsidRPr="000816D7">
        <w:t>in either model. This suggests that there is not a statistically significant difference in turnover between 2020-21 and 2022-23 among non-borrowers in the sample</w:t>
      </w:r>
      <w:r w:rsidR="018E2A4E">
        <w:t>. T</w:t>
      </w:r>
      <w:r w:rsidR="629D36F2" w:rsidRPr="000816D7">
        <w:t xml:space="preserve">his may </w:t>
      </w:r>
      <w:r w:rsidR="018E2A4E">
        <w:t>suggest that</w:t>
      </w:r>
      <w:r w:rsidR="629D36F2" w:rsidRPr="000816D7">
        <w:t xml:space="preserve"> business turnover </w:t>
      </w:r>
      <w:r w:rsidR="018E2A4E">
        <w:t xml:space="preserve">had begun to recover from the pandemic by the </w:t>
      </w:r>
      <w:r w:rsidR="629D36F2" w:rsidRPr="000816D7">
        <w:t>2022-23</w:t>
      </w:r>
      <w:r w:rsidR="018E2A4E">
        <w:t xml:space="preserve"> financial year</w:t>
      </w:r>
      <w:r w:rsidR="629D36F2" w:rsidRPr="000816D7">
        <w:t xml:space="preserve">. For context, DBT business population statistics suggest that total business turnover </w:t>
      </w:r>
      <w:r w:rsidR="018E2A4E">
        <w:t xml:space="preserve">was </w:t>
      </w:r>
      <w:r w:rsidR="004D69FC">
        <w:t>£</w:t>
      </w:r>
      <w:r w:rsidR="018E2A4E">
        <w:t>4.48 trillion at the start of 2023, which is greater than total business turnover at the start of 2020 (</w:t>
      </w:r>
      <w:r w:rsidR="004D69FC">
        <w:t>£</w:t>
      </w:r>
      <w:r w:rsidR="018E2A4E">
        <w:t>4.35 trillion).</w:t>
      </w:r>
      <w:r w:rsidR="00D17EFB" w:rsidRPr="000816D7">
        <w:rPr>
          <w:rStyle w:val="FootnoteReference"/>
        </w:rPr>
        <w:footnoteReference w:id="77"/>
      </w:r>
      <w:r w:rsidRPr="000816D7">
        <w:t xml:space="preserve"> </w:t>
      </w:r>
    </w:p>
    <w:p w14:paraId="13923757" w14:textId="77777777" w:rsidR="001F7945" w:rsidRDefault="001F7945" w:rsidP="00B57160"/>
    <w:p w14:paraId="59D38271" w14:textId="77777777" w:rsidR="001F7945" w:rsidRPr="000816D7" w:rsidRDefault="001F7945" w:rsidP="00B57160"/>
    <w:p w14:paraId="0177A58E" w14:textId="65246E70" w:rsidR="00D17EFB" w:rsidRPr="000816D7" w:rsidRDefault="00D17EFB" w:rsidP="00D17EFB">
      <w:pPr>
        <w:pStyle w:val="Heading5"/>
      </w:pPr>
      <w:bookmarkStart w:id="158" w:name="_Ref138341082"/>
      <w:r w:rsidRPr="000816D7">
        <w:t xml:space="preserve">Table </w:t>
      </w:r>
      <w:r w:rsidRPr="000816D7">
        <w:fldChar w:fldCharType="begin"/>
      </w:r>
      <w:r w:rsidRPr="000816D7">
        <w:instrText>SEQ Table \* ARABIC</w:instrText>
      </w:r>
      <w:r w:rsidRPr="000816D7">
        <w:fldChar w:fldCharType="separate"/>
      </w:r>
      <w:r w:rsidR="001525E9">
        <w:rPr>
          <w:noProof/>
        </w:rPr>
        <w:t>32</w:t>
      </w:r>
      <w:r w:rsidRPr="000816D7">
        <w:fldChar w:fldCharType="end"/>
      </w:r>
      <w:bookmarkEnd w:id="158"/>
      <w:r w:rsidRPr="000816D7">
        <w:t xml:space="preserve">: Estimated impact of </w:t>
      </w:r>
      <w:r w:rsidR="000816D7" w:rsidRPr="000816D7">
        <w:t>Recovery Loan Scheme 1.0</w:t>
      </w:r>
      <w:r w:rsidRPr="000816D7">
        <w:t xml:space="preserve"> on turnover</w:t>
      </w:r>
    </w:p>
    <w:tbl>
      <w:tblPr>
        <w:tblStyle w:val="TableGrid"/>
        <w:tblW w:w="4831" w:type="pct"/>
        <w:tblLook w:val="04A0" w:firstRow="1" w:lastRow="0" w:firstColumn="1" w:lastColumn="0" w:noHBand="0" w:noVBand="1"/>
      </w:tblPr>
      <w:tblGrid>
        <w:gridCol w:w="5571"/>
        <w:gridCol w:w="2119"/>
        <w:gridCol w:w="2121"/>
      </w:tblGrid>
      <w:tr w:rsidR="000816D7" w:rsidRPr="000816D7" w14:paraId="6F243AC2" w14:textId="77777777" w:rsidTr="005230B0">
        <w:trPr>
          <w:cnfStyle w:val="100000000000" w:firstRow="1" w:lastRow="0" w:firstColumn="0" w:lastColumn="0" w:oddVBand="0" w:evenVBand="0" w:oddHBand="0" w:evenHBand="0" w:firstRowFirstColumn="0" w:firstRowLastColumn="0" w:lastRowFirstColumn="0" w:lastRowLastColumn="0"/>
          <w:trHeight w:val="546"/>
          <w:tblHeader/>
        </w:trPr>
        <w:tc>
          <w:tcPr>
            <w:tcW w:w="2839" w:type="pct"/>
          </w:tcPr>
          <w:p w14:paraId="6616DCC6" w14:textId="77777777" w:rsidR="000816D7" w:rsidRPr="000816D7" w:rsidRDefault="000816D7" w:rsidP="000816D7">
            <w:pPr>
              <w:pStyle w:val="Tablecolumnheading-inkblue"/>
              <w:rPr>
                <w:b w:val="0"/>
                <w:color w:val="FFFFFF" w:themeColor="background1"/>
                <w:szCs w:val="24"/>
              </w:rPr>
            </w:pPr>
            <w:r w:rsidRPr="000816D7">
              <w:rPr>
                <w:color w:val="FFFFFF" w:themeColor="background1"/>
                <w:szCs w:val="24"/>
              </w:rPr>
              <w:t>Variable</w:t>
            </w:r>
          </w:p>
        </w:tc>
        <w:tc>
          <w:tcPr>
            <w:tcW w:w="1080" w:type="pct"/>
          </w:tcPr>
          <w:p w14:paraId="4F93096E" w14:textId="05352B1A" w:rsidR="000816D7" w:rsidRPr="000816D7" w:rsidRDefault="000816D7" w:rsidP="000816D7">
            <w:pPr>
              <w:pStyle w:val="Tablecolumnheading-inkblue"/>
              <w:jc w:val="center"/>
              <w:rPr>
                <w:color w:val="FFFFFF" w:themeColor="background1"/>
                <w:szCs w:val="24"/>
              </w:rPr>
            </w:pPr>
            <w:r w:rsidRPr="000816D7">
              <w:rPr>
                <w:color w:val="FFFFFF" w:themeColor="background1"/>
              </w:rPr>
              <w:t>[1]</w:t>
            </w:r>
          </w:p>
        </w:tc>
        <w:tc>
          <w:tcPr>
            <w:tcW w:w="1081" w:type="pct"/>
          </w:tcPr>
          <w:p w14:paraId="79EF5F34" w14:textId="4442BD2F" w:rsidR="000816D7" w:rsidRPr="000816D7" w:rsidRDefault="000816D7" w:rsidP="000816D7">
            <w:pPr>
              <w:pStyle w:val="Tablecolumnheading-inkblue"/>
              <w:jc w:val="center"/>
              <w:rPr>
                <w:color w:val="FFFFFF" w:themeColor="background1"/>
                <w:szCs w:val="24"/>
              </w:rPr>
            </w:pPr>
            <w:r w:rsidRPr="000816D7">
              <w:rPr>
                <w:color w:val="FFFFFF" w:themeColor="background1"/>
              </w:rPr>
              <w:t>[2]</w:t>
            </w:r>
          </w:p>
        </w:tc>
      </w:tr>
      <w:tr w:rsidR="005230B0" w:rsidRPr="000816D7" w14:paraId="401A583A" w14:textId="77777777" w:rsidTr="005230B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65"/>
        </w:trPr>
        <w:tc>
          <w:tcPr>
            <w:tcW w:w="2839" w:type="pct"/>
          </w:tcPr>
          <w:p w14:paraId="361D2348" w14:textId="4CCE3132" w:rsidR="005230B0" w:rsidRPr="000816D7" w:rsidRDefault="005230B0" w:rsidP="005230B0">
            <w:pPr>
              <w:pStyle w:val="Tabletext"/>
            </w:pPr>
            <w:r w:rsidRPr="006F7AE6">
              <w:t>Post-intervention</w:t>
            </w:r>
          </w:p>
        </w:tc>
        <w:tc>
          <w:tcPr>
            <w:tcW w:w="1080" w:type="pct"/>
          </w:tcPr>
          <w:p w14:paraId="248AF877" w14:textId="77777777" w:rsidR="005230B0" w:rsidRDefault="005230B0" w:rsidP="005230B0">
            <w:pPr>
              <w:pStyle w:val="Tabletext"/>
              <w:spacing w:before="0" w:line="240" w:lineRule="auto"/>
              <w:jc w:val="center"/>
            </w:pPr>
            <w:r w:rsidRPr="006F7AE6">
              <w:t xml:space="preserve">0.117 </w:t>
            </w:r>
            <w:r>
              <w:t xml:space="preserve"> </w:t>
            </w:r>
          </w:p>
          <w:p w14:paraId="16DF52AE" w14:textId="451A7F1B" w:rsidR="005230B0" w:rsidRPr="005230B0" w:rsidRDefault="005230B0" w:rsidP="005230B0">
            <w:pPr>
              <w:pStyle w:val="Tabletext"/>
              <w:spacing w:before="0" w:line="240" w:lineRule="auto"/>
              <w:jc w:val="center"/>
            </w:pPr>
            <w:r>
              <w:t>(0.080)</w:t>
            </w:r>
          </w:p>
        </w:tc>
        <w:tc>
          <w:tcPr>
            <w:tcW w:w="1081" w:type="pct"/>
          </w:tcPr>
          <w:p w14:paraId="6E395C5F" w14:textId="77777777" w:rsidR="005230B0" w:rsidRDefault="005230B0" w:rsidP="005230B0">
            <w:pPr>
              <w:pStyle w:val="Tabletext"/>
              <w:spacing w:before="0" w:line="240" w:lineRule="auto"/>
              <w:jc w:val="center"/>
            </w:pPr>
            <w:r>
              <w:t xml:space="preserve">-0.075 </w:t>
            </w:r>
          </w:p>
          <w:p w14:paraId="1073A8AB" w14:textId="168B0487" w:rsidR="005230B0" w:rsidRPr="005230B0" w:rsidRDefault="005230B0" w:rsidP="005230B0">
            <w:pPr>
              <w:pStyle w:val="Tabletext"/>
              <w:spacing w:before="0" w:line="240" w:lineRule="auto"/>
              <w:jc w:val="center"/>
            </w:pPr>
            <w:r>
              <w:t>(0.185)</w:t>
            </w:r>
          </w:p>
        </w:tc>
      </w:tr>
      <w:tr w:rsidR="000816D7" w:rsidRPr="000816D7" w14:paraId="5E98BB8B" w14:textId="77777777" w:rsidTr="005230B0">
        <w:tblPrEx>
          <w:tblCellMar>
            <w:left w:w="108" w:type="dxa"/>
            <w:right w:w="108" w:type="dxa"/>
          </w:tblCellMar>
        </w:tblPrEx>
        <w:trPr>
          <w:trHeight w:val="565"/>
        </w:trPr>
        <w:tc>
          <w:tcPr>
            <w:tcW w:w="2839" w:type="pct"/>
          </w:tcPr>
          <w:p w14:paraId="1BF9242B" w14:textId="1C3F0F29" w:rsidR="000816D7" w:rsidRPr="005230B0" w:rsidRDefault="000816D7" w:rsidP="00B57160">
            <w:pPr>
              <w:pStyle w:val="Tabletext"/>
            </w:pPr>
            <w:r w:rsidRPr="005230B0">
              <w:t>Borrower, post</w:t>
            </w:r>
            <w:r w:rsidR="00B57160" w:rsidRPr="005230B0">
              <w:t>-</w:t>
            </w:r>
            <w:r w:rsidRPr="005230B0">
              <w:t>intervention</w:t>
            </w:r>
          </w:p>
        </w:tc>
        <w:tc>
          <w:tcPr>
            <w:tcW w:w="1080" w:type="pct"/>
          </w:tcPr>
          <w:p w14:paraId="163201A6" w14:textId="77777777" w:rsidR="000816D7" w:rsidRPr="005230B0" w:rsidRDefault="000816D7" w:rsidP="000816D7">
            <w:pPr>
              <w:pStyle w:val="Tabletext"/>
              <w:spacing w:before="0" w:line="240" w:lineRule="auto"/>
              <w:jc w:val="center"/>
              <w:rPr>
                <w:rStyle w:val="Bold"/>
                <w:rFonts w:cstheme="minorHAnsi"/>
                <w:b w:val="0"/>
                <w:szCs w:val="24"/>
              </w:rPr>
            </w:pPr>
            <w:r w:rsidRPr="005230B0">
              <w:rPr>
                <w:rStyle w:val="Bold"/>
                <w:rFonts w:cstheme="minorHAnsi"/>
                <w:b w:val="0"/>
                <w:szCs w:val="24"/>
              </w:rPr>
              <w:t xml:space="preserve">0.150** </w:t>
            </w:r>
          </w:p>
          <w:p w14:paraId="0432C9C0" w14:textId="3AD8473F" w:rsidR="000816D7" w:rsidRPr="005230B0" w:rsidRDefault="000816D7" w:rsidP="000816D7">
            <w:pPr>
              <w:pStyle w:val="Tabletext"/>
              <w:spacing w:before="0" w:line="240" w:lineRule="auto"/>
              <w:jc w:val="center"/>
              <w:rPr>
                <w:rStyle w:val="Bold"/>
                <w:rFonts w:cstheme="minorHAnsi"/>
                <w:b w:val="0"/>
                <w:szCs w:val="24"/>
              </w:rPr>
            </w:pPr>
            <w:r w:rsidRPr="005230B0">
              <w:rPr>
                <w:rStyle w:val="Bold"/>
                <w:rFonts w:cstheme="minorHAnsi"/>
                <w:b w:val="0"/>
                <w:szCs w:val="24"/>
              </w:rPr>
              <w:t>(0.046)</w:t>
            </w:r>
          </w:p>
        </w:tc>
        <w:tc>
          <w:tcPr>
            <w:tcW w:w="1081" w:type="pct"/>
          </w:tcPr>
          <w:p w14:paraId="2B52836E" w14:textId="77777777" w:rsidR="000816D7" w:rsidRPr="005230B0" w:rsidRDefault="000816D7" w:rsidP="000816D7">
            <w:pPr>
              <w:pStyle w:val="Tabletext"/>
              <w:spacing w:before="0" w:line="240" w:lineRule="auto"/>
              <w:jc w:val="center"/>
              <w:rPr>
                <w:rStyle w:val="Bold"/>
                <w:rFonts w:cstheme="minorHAnsi"/>
                <w:b w:val="0"/>
                <w:szCs w:val="24"/>
              </w:rPr>
            </w:pPr>
            <w:r w:rsidRPr="005230B0">
              <w:rPr>
                <w:rStyle w:val="Bold"/>
                <w:rFonts w:cstheme="minorHAnsi"/>
                <w:b w:val="0"/>
                <w:szCs w:val="24"/>
              </w:rPr>
              <w:t xml:space="preserve">0.153** </w:t>
            </w:r>
          </w:p>
          <w:p w14:paraId="63E83727" w14:textId="4DD97B0D" w:rsidR="000816D7" w:rsidRPr="005230B0" w:rsidRDefault="000816D7" w:rsidP="000816D7">
            <w:pPr>
              <w:pStyle w:val="Tabletext"/>
              <w:spacing w:before="0" w:line="240" w:lineRule="auto"/>
              <w:jc w:val="center"/>
              <w:rPr>
                <w:rStyle w:val="Bold"/>
                <w:rFonts w:cstheme="minorHAnsi"/>
                <w:b w:val="0"/>
                <w:szCs w:val="24"/>
              </w:rPr>
            </w:pPr>
            <w:r w:rsidRPr="005230B0">
              <w:rPr>
                <w:rStyle w:val="Bold"/>
                <w:rFonts w:cstheme="minorHAnsi"/>
                <w:b w:val="0"/>
                <w:szCs w:val="24"/>
              </w:rPr>
              <w:t>(0.035)</w:t>
            </w:r>
          </w:p>
        </w:tc>
      </w:tr>
      <w:tr w:rsidR="000816D7" w:rsidRPr="000816D7" w14:paraId="4436D620" w14:textId="77777777" w:rsidTr="005230B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6"/>
        </w:trPr>
        <w:tc>
          <w:tcPr>
            <w:tcW w:w="2839" w:type="pct"/>
          </w:tcPr>
          <w:p w14:paraId="245F9E50" w14:textId="0188E1F3" w:rsidR="000816D7" w:rsidRPr="000816D7" w:rsidRDefault="000816D7" w:rsidP="00B57160">
            <w:pPr>
              <w:pStyle w:val="Tabletext"/>
            </w:pPr>
            <w:r w:rsidRPr="000816D7">
              <w:t>Used CJRS</w:t>
            </w:r>
          </w:p>
        </w:tc>
        <w:tc>
          <w:tcPr>
            <w:tcW w:w="1080" w:type="pct"/>
          </w:tcPr>
          <w:p w14:paraId="2D2C0416" w14:textId="786614DD" w:rsidR="000816D7" w:rsidRPr="000816D7" w:rsidRDefault="000816D7" w:rsidP="000816D7">
            <w:pPr>
              <w:pStyle w:val="Tabletext"/>
              <w:spacing w:before="0" w:line="240" w:lineRule="auto"/>
              <w:jc w:val="center"/>
              <w:rPr>
                <w:rStyle w:val="Bold"/>
                <w:rFonts w:cstheme="minorHAnsi"/>
                <w:b w:val="0"/>
                <w:bCs/>
                <w:szCs w:val="24"/>
              </w:rPr>
            </w:pPr>
          </w:p>
        </w:tc>
        <w:tc>
          <w:tcPr>
            <w:tcW w:w="1081" w:type="pct"/>
          </w:tcPr>
          <w:p w14:paraId="14074B18" w14:textId="77777777" w:rsidR="000816D7" w:rsidRP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 xml:space="preserve">-0.204 </w:t>
            </w:r>
          </w:p>
          <w:p w14:paraId="476D392A" w14:textId="07F318B3" w:rsidR="000816D7" w:rsidRP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(0.160)</w:t>
            </w:r>
          </w:p>
        </w:tc>
      </w:tr>
      <w:tr w:rsidR="000816D7" w:rsidRPr="000816D7" w14:paraId="285F0CD7" w14:textId="77777777" w:rsidTr="005230B0">
        <w:tblPrEx>
          <w:tblCellMar>
            <w:left w:w="108" w:type="dxa"/>
            <w:right w:w="108" w:type="dxa"/>
          </w:tblCellMar>
        </w:tblPrEx>
        <w:trPr>
          <w:trHeight w:val="565"/>
        </w:trPr>
        <w:tc>
          <w:tcPr>
            <w:tcW w:w="2839" w:type="pct"/>
          </w:tcPr>
          <w:p w14:paraId="06C1699D" w14:textId="75065D42" w:rsidR="000816D7" w:rsidRPr="000816D7" w:rsidRDefault="000816D7" w:rsidP="00B57160">
            <w:pPr>
              <w:pStyle w:val="Tabletext"/>
            </w:pPr>
            <w:r w:rsidRPr="000816D7">
              <w:t>Used Covid Loans, pre-intervention</w:t>
            </w:r>
          </w:p>
        </w:tc>
        <w:tc>
          <w:tcPr>
            <w:tcW w:w="1080" w:type="pct"/>
          </w:tcPr>
          <w:p w14:paraId="62FEFB88" w14:textId="20923160" w:rsidR="000816D7" w:rsidRPr="000816D7" w:rsidRDefault="000816D7" w:rsidP="000816D7">
            <w:pPr>
              <w:pStyle w:val="Tabletext"/>
              <w:spacing w:before="0" w:line="240" w:lineRule="auto"/>
              <w:jc w:val="center"/>
              <w:rPr>
                <w:rStyle w:val="Bold"/>
                <w:rFonts w:cstheme="minorHAnsi"/>
                <w:b w:val="0"/>
                <w:bCs/>
                <w:szCs w:val="24"/>
              </w:rPr>
            </w:pPr>
          </w:p>
        </w:tc>
        <w:tc>
          <w:tcPr>
            <w:tcW w:w="1081" w:type="pct"/>
          </w:tcPr>
          <w:p w14:paraId="214DC3F1" w14:textId="77777777" w:rsidR="000816D7" w:rsidRP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 xml:space="preserve">-0.047 </w:t>
            </w:r>
          </w:p>
          <w:p w14:paraId="24B755B0" w14:textId="528A5E3A" w:rsidR="000816D7" w:rsidRP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(0.118)</w:t>
            </w:r>
          </w:p>
        </w:tc>
      </w:tr>
      <w:tr w:rsidR="000816D7" w:rsidRPr="000816D7" w14:paraId="4C8FC2D0" w14:textId="77777777" w:rsidTr="005230B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6"/>
        </w:trPr>
        <w:tc>
          <w:tcPr>
            <w:tcW w:w="2839" w:type="pct"/>
            <w:tcBorders>
              <w:bottom w:val="single" w:sz="4" w:space="0" w:color="0054BA"/>
            </w:tcBorders>
          </w:tcPr>
          <w:p w14:paraId="4484CC2C" w14:textId="77777777" w:rsidR="000816D7" w:rsidRPr="000816D7" w:rsidRDefault="000816D7" w:rsidP="00B57160">
            <w:pPr>
              <w:pStyle w:val="Tabletext"/>
            </w:pPr>
            <w:r w:rsidRPr="000816D7">
              <w:t>Constant</w:t>
            </w:r>
          </w:p>
        </w:tc>
        <w:tc>
          <w:tcPr>
            <w:tcW w:w="1080" w:type="pct"/>
            <w:tcBorders>
              <w:bottom w:val="single" w:sz="4" w:space="0" w:color="0054BA"/>
            </w:tcBorders>
          </w:tcPr>
          <w:p w14:paraId="3BCF3075" w14:textId="77777777" w:rsidR="000816D7" w:rsidRP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 xml:space="preserve">13.333*** </w:t>
            </w:r>
          </w:p>
          <w:p w14:paraId="37E5327F" w14:textId="427C7632" w:rsidR="000816D7" w:rsidRP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(0.032)</w:t>
            </w:r>
          </w:p>
        </w:tc>
        <w:tc>
          <w:tcPr>
            <w:tcW w:w="1081" w:type="pct"/>
            <w:tcBorders>
              <w:bottom w:val="single" w:sz="4" w:space="0" w:color="0054BA"/>
            </w:tcBorders>
          </w:tcPr>
          <w:p w14:paraId="31124099" w14:textId="77777777" w:rsidR="000816D7" w:rsidRP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 xml:space="preserve">13.523*** </w:t>
            </w:r>
          </w:p>
          <w:p w14:paraId="1867435B" w14:textId="23D474C0" w:rsidR="000816D7" w:rsidRP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(0.165)</w:t>
            </w:r>
          </w:p>
        </w:tc>
      </w:tr>
      <w:tr w:rsidR="000816D7" w:rsidRPr="000816D7" w14:paraId="457EEECA" w14:textId="77777777" w:rsidTr="005230B0">
        <w:tblPrEx>
          <w:tblCellMar>
            <w:left w:w="108" w:type="dxa"/>
            <w:right w:w="108" w:type="dxa"/>
          </w:tblCellMar>
        </w:tblPrEx>
        <w:trPr>
          <w:trHeight w:val="528"/>
        </w:trPr>
        <w:tc>
          <w:tcPr>
            <w:tcW w:w="2839" w:type="pct"/>
            <w:tcBorders>
              <w:top w:val="single" w:sz="4" w:space="0" w:color="0054BA"/>
            </w:tcBorders>
          </w:tcPr>
          <w:p w14:paraId="42318DB7" w14:textId="77777777" w:rsidR="000816D7" w:rsidRPr="000816D7" w:rsidRDefault="000816D7" w:rsidP="00B57160">
            <w:pPr>
              <w:pStyle w:val="Tabletext"/>
            </w:pPr>
            <w:r w:rsidRPr="000816D7">
              <w:t>Observations</w:t>
            </w:r>
          </w:p>
        </w:tc>
        <w:tc>
          <w:tcPr>
            <w:tcW w:w="1080" w:type="pct"/>
            <w:tcBorders>
              <w:top w:val="single" w:sz="4" w:space="0" w:color="0054BA"/>
            </w:tcBorders>
          </w:tcPr>
          <w:p w14:paraId="18820758" w14:textId="4DD96C63" w:rsidR="000816D7" w:rsidRPr="000816D7" w:rsidRDefault="000816D7" w:rsidP="000816D7">
            <w:pPr>
              <w:pStyle w:val="Tabletext"/>
              <w:spacing w:before="0" w:line="240" w:lineRule="auto"/>
              <w:jc w:val="center"/>
              <w:rPr>
                <w:rStyle w:val="Bold"/>
                <w:rFonts w:cstheme="minorHAnsi"/>
                <w:b w:val="0"/>
                <w:bCs/>
                <w:szCs w:val="24"/>
              </w:rPr>
            </w:pPr>
            <w:r w:rsidRPr="000816D7">
              <w:t>506</w:t>
            </w:r>
          </w:p>
        </w:tc>
        <w:tc>
          <w:tcPr>
            <w:tcW w:w="1081" w:type="pct"/>
            <w:tcBorders>
              <w:top w:val="single" w:sz="4" w:space="0" w:color="0054BA"/>
            </w:tcBorders>
          </w:tcPr>
          <w:p w14:paraId="4F608945" w14:textId="478F3C0D" w:rsidR="000816D7" w:rsidRPr="000816D7" w:rsidRDefault="000816D7" w:rsidP="000816D7">
            <w:pPr>
              <w:pStyle w:val="Tabletext"/>
              <w:spacing w:before="0" w:line="240" w:lineRule="auto"/>
              <w:jc w:val="center"/>
              <w:rPr>
                <w:rStyle w:val="Bold"/>
                <w:rFonts w:cstheme="minorHAnsi"/>
                <w:b w:val="0"/>
                <w:bCs/>
                <w:szCs w:val="24"/>
              </w:rPr>
            </w:pPr>
            <w:r w:rsidRPr="000816D7">
              <w:t>506</w:t>
            </w:r>
          </w:p>
        </w:tc>
      </w:tr>
      <w:tr w:rsidR="000816D7" w:rsidRPr="000816D7" w14:paraId="11DA3D4E" w14:textId="77777777" w:rsidTr="005230B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6"/>
        </w:trPr>
        <w:tc>
          <w:tcPr>
            <w:tcW w:w="2839" w:type="pct"/>
          </w:tcPr>
          <w:p w14:paraId="319B833E" w14:textId="77777777" w:rsidR="000816D7" w:rsidRPr="000816D7" w:rsidRDefault="000816D7" w:rsidP="00B57160">
            <w:pPr>
              <w:pStyle w:val="Tabletext"/>
            </w:pPr>
            <w:r w:rsidRPr="000816D7">
              <w:t>R-squared</w:t>
            </w:r>
          </w:p>
        </w:tc>
        <w:tc>
          <w:tcPr>
            <w:tcW w:w="1080" w:type="pct"/>
          </w:tcPr>
          <w:p w14:paraId="6D3B7D0C" w14:textId="56E562F4" w:rsidR="000816D7" w:rsidRPr="000816D7" w:rsidRDefault="000816D7" w:rsidP="000816D7">
            <w:pPr>
              <w:pStyle w:val="Tabletext"/>
              <w:spacing w:before="0" w:line="240" w:lineRule="auto"/>
              <w:jc w:val="center"/>
              <w:rPr>
                <w:rStyle w:val="Bold"/>
                <w:rFonts w:cstheme="minorHAnsi"/>
                <w:b w:val="0"/>
                <w:bCs/>
                <w:szCs w:val="24"/>
              </w:rPr>
            </w:pPr>
            <w:r w:rsidRPr="000816D7">
              <w:t>0.097</w:t>
            </w:r>
          </w:p>
        </w:tc>
        <w:tc>
          <w:tcPr>
            <w:tcW w:w="1081" w:type="pct"/>
          </w:tcPr>
          <w:p w14:paraId="1E3928AD" w14:textId="065930CB" w:rsidR="000816D7" w:rsidRPr="000816D7" w:rsidRDefault="000816D7" w:rsidP="000816D7">
            <w:pPr>
              <w:pStyle w:val="Tabletext"/>
              <w:spacing w:before="0" w:line="240" w:lineRule="auto"/>
              <w:jc w:val="center"/>
              <w:rPr>
                <w:rStyle w:val="Bold"/>
                <w:rFonts w:cstheme="minorHAnsi"/>
                <w:b w:val="0"/>
                <w:bCs/>
                <w:szCs w:val="24"/>
              </w:rPr>
            </w:pPr>
            <w:r w:rsidRPr="000816D7">
              <w:t>0.117</w:t>
            </w:r>
          </w:p>
        </w:tc>
      </w:tr>
      <w:tr w:rsidR="000816D7" w:rsidRPr="000816D7" w14:paraId="6401E3CD" w14:textId="77777777" w:rsidTr="005230B0">
        <w:tblPrEx>
          <w:tblCellMar>
            <w:left w:w="108" w:type="dxa"/>
            <w:right w:w="108" w:type="dxa"/>
          </w:tblCellMar>
        </w:tblPrEx>
        <w:trPr>
          <w:trHeight w:val="528"/>
        </w:trPr>
        <w:tc>
          <w:tcPr>
            <w:tcW w:w="2839" w:type="pct"/>
            <w:tcBorders>
              <w:bottom w:val="single" w:sz="4" w:space="0" w:color="0054BA"/>
            </w:tcBorders>
          </w:tcPr>
          <w:p w14:paraId="7C6EA59C" w14:textId="77777777" w:rsidR="000816D7" w:rsidRPr="000816D7" w:rsidRDefault="000816D7" w:rsidP="00B57160">
            <w:pPr>
              <w:pStyle w:val="Tabletext"/>
            </w:pPr>
            <w:r w:rsidRPr="000816D7">
              <w:t>Business fixed effects</w:t>
            </w:r>
          </w:p>
        </w:tc>
        <w:tc>
          <w:tcPr>
            <w:tcW w:w="1080" w:type="pct"/>
            <w:tcBorders>
              <w:bottom w:val="single" w:sz="4" w:space="0" w:color="0054BA"/>
            </w:tcBorders>
          </w:tcPr>
          <w:p w14:paraId="35770EA6" w14:textId="076291C4" w:rsidR="000816D7" w:rsidRPr="000816D7" w:rsidRDefault="000816D7" w:rsidP="000816D7">
            <w:pPr>
              <w:pStyle w:val="Tabletext"/>
              <w:spacing w:before="0" w:line="240" w:lineRule="auto"/>
              <w:jc w:val="center"/>
              <w:rPr>
                <w:rStyle w:val="Bold"/>
                <w:rFonts w:cstheme="minorHAnsi"/>
                <w:b w:val="0"/>
                <w:bCs/>
                <w:szCs w:val="24"/>
              </w:rPr>
            </w:pPr>
            <w:r w:rsidRPr="000816D7">
              <w:t>Yes</w:t>
            </w:r>
          </w:p>
        </w:tc>
        <w:tc>
          <w:tcPr>
            <w:tcW w:w="1081" w:type="pct"/>
            <w:tcBorders>
              <w:bottom w:val="single" w:sz="4" w:space="0" w:color="0054BA"/>
            </w:tcBorders>
          </w:tcPr>
          <w:p w14:paraId="3379D58A" w14:textId="7AC84E25" w:rsidR="000816D7" w:rsidRPr="000816D7" w:rsidRDefault="000816D7" w:rsidP="000816D7">
            <w:pPr>
              <w:pStyle w:val="Tabletext"/>
              <w:spacing w:before="0" w:line="240" w:lineRule="auto"/>
              <w:jc w:val="center"/>
              <w:rPr>
                <w:rStyle w:val="Bold"/>
                <w:rFonts w:cstheme="minorHAnsi"/>
                <w:b w:val="0"/>
                <w:bCs/>
                <w:szCs w:val="24"/>
              </w:rPr>
            </w:pPr>
            <w:r w:rsidRPr="000816D7">
              <w:t>Yes</w:t>
            </w:r>
          </w:p>
        </w:tc>
      </w:tr>
    </w:tbl>
    <w:p w14:paraId="378D130E" w14:textId="77777777" w:rsidR="00D17EFB" w:rsidRPr="000816D7" w:rsidRDefault="00D17EFB" w:rsidP="00D17EFB">
      <w:pPr>
        <w:pStyle w:val="Caption"/>
        <w:rPr>
          <w:rStyle w:val="Emphasis"/>
          <w:b w:val="0"/>
          <w:iCs/>
          <w:color w:val="555674"/>
        </w:rPr>
      </w:pPr>
      <w:r w:rsidRPr="000816D7">
        <w:rPr>
          <w:rStyle w:val="Emphasis"/>
          <w:b w:val="0"/>
          <w:iCs/>
          <w:color w:val="555674"/>
        </w:rPr>
        <w:t>Note: Standard errors clustered at the sector level in parentheses. *** p-value&lt;0.01, ** p-value&lt;0.05, * p-value&lt;0.1. Source: London Economics’ analysis of survey data.</w:t>
      </w:r>
    </w:p>
    <w:p w14:paraId="3A20C2EC" w14:textId="77777777" w:rsidR="00D17EFB" w:rsidRPr="009567D9" w:rsidRDefault="00D17EFB" w:rsidP="00D17EFB">
      <w:pPr>
        <w:rPr>
          <w:i/>
          <w:iCs/>
        </w:rPr>
      </w:pPr>
      <w:r w:rsidRPr="009567D9">
        <w:rPr>
          <w:i/>
          <w:iCs/>
        </w:rPr>
        <w:t>Employment</w:t>
      </w:r>
    </w:p>
    <w:p w14:paraId="15E2B27A" w14:textId="4FB96A9F" w:rsidR="00D17EFB" w:rsidRPr="009567D9" w:rsidRDefault="00D17EFB" w:rsidP="00D17EFB">
      <w:r w:rsidRPr="009567D9">
        <w:t xml:space="preserve">As discussed in the main </w:t>
      </w:r>
      <w:r w:rsidR="00D12004">
        <w:t>body of the report</w:t>
      </w:r>
      <w:r w:rsidRPr="009567D9">
        <w:t xml:space="preserve">, the econometric analysis does not identify a statistically significant impact of the schemes on borrowers’ employment in </w:t>
      </w:r>
      <w:r w:rsidR="00B57160">
        <w:t>the</w:t>
      </w:r>
      <w:r w:rsidR="009567D9" w:rsidRPr="009567D9">
        <w:t xml:space="preserve"> 2022-23</w:t>
      </w:r>
      <w:r w:rsidR="00B57160">
        <w:t xml:space="preserve"> financial year</w:t>
      </w:r>
      <w:r w:rsidRPr="009567D9">
        <w:t>. Indeed, the coefficient on the variable “Borrower, post intervention” is not statistically significant</w:t>
      </w:r>
      <w:r w:rsidR="009567D9" w:rsidRPr="009567D9">
        <w:t xml:space="preserve"> in either model</w:t>
      </w:r>
      <w:r w:rsidRPr="009567D9">
        <w:t xml:space="preserve">. </w:t>
      </w:r>
    </w:p>
    <w:p w14:paraId="475C99BC" w14:textId="7A0BA1CF" w:rsidR="009567D9" w:rsidRPr="009567D9" w:rsidRDefault="009567D9" w:rsidP="00D17EFB">
      <w:r w:rsidRPr="009567D9">
        <w:t>The estimated coefficient for the variable “Post-intervention” is positive and significant, indicating higher levels of employment in 2022-23 compared to 2020-21. However, this is not robust to the inclusion of control variables.</w:t>
      </w:r>
    </w:p>
    <w:p w14:paraId="34E5A486" w14:textId="34E4A7C0" w:rsidR="00D17EFB" w:rsidRPr="009567D9" w:rsidRDefault="00D17EFB" w:rsidP="00D17EFB">
      <w:r w:rsidRPr="009567D9">
        <w:t xml:space="preserve">The inclusion of variables related to participation in other business support schemes such as the </w:t>
      </w:r>
      <w:r w:rsidR="009567D9" w:rsidRPr="009567D9">
        <w:t xml:space="preserve">Covid-19 Loan Guarantee Schemes and the </w:t>
      </w:r>
      <w:r w:rsidRPr="009567D9">
        <w:t>CJRS do not change the statistical significance of the estimated impacts (i.e. the coefficient on the variable “Borrower, post-intervention”</w:t>
      </w:r>
      <w:r w:rsidR="002E6CFD">
        <w:t>)</w:t>
      </w:r>
      <w:r w:rsidRPr="009567D9">
        <w:t xml:space="preserve">. The estimated coefficient </w:t>
      </w:r>
      <w:r w:rsidR="009567D9" w:rsidRPr="009567D9">
        <w:t xml:space="preserve">on both the CJRS and the Covid-19 Loan Guarantee Schemes is statistically insignificant. </w:t>
      </w:r>
    </w:p>
    <w:p w14:paraId="68E576FA" w14:textId="3D85A999" w:rsidR="00D17EFB" w:rsidRPr="000816D7" w:rsidRDefault="00D17EFB" w:rsidP="00D17EFB">
      <w:pPr>
        <w:pStyle w:val="Heading5"/>
      </w:pPr>
      <w:bookmarkStart w:id="159" w:name="_Ref138340013"/>
      <w:r w:rsidRPr="000816D7">
        <w:t xml:space="preserve">Table </w:t>
      </w:r>
      <w:r w:rsidRPr="000816D7">
        <w:fldChar w:fldCharType="begin"/>
      </w:r>
      <w:r w:rsidRPr="000816D7">
        <w:instrText>SEQ Table \* ARABIC</w:instrText>
      </w:r>
      <w:r w:rsidRPr="000816D7">
        <w:fldChar w:fldCharType="separate"/>
      </w:r>
      <w:r w:rsidR="001525E9">
        <w:rPr>
          <w:noProof/>
        </w:rPr>
        <w:t>33</w:t>
      </w:r>
      <w:r w:rsidRPr="000816D7">
        <w:fldChar w:fldCharType="end"/>
      </w:r>
      <w:bookmarkEnd w:id="159"/>
      <w:r w:rsidRPr="000816D7">
        <w:t xml:space="preserve">: Estimated impact of </w:t>
      </w:r>
      <w:r w:rsidR="000816D7" w:rsidRPr="000816D7">
        <w:t>Recovery Loan Scheme 1.0</w:t>
      </w:r>
      <w:r w:rsidRPr="000816D7">
        <w:t xml:space="preserve"> on employment</w:t>
      </w:r>
    </w:p>
    <w:tbl>
      <w:tblPr>
        <w:tblStyle w:val="TableGrid"/>
        <w:tblW w:w="4831" w:type="pct"/>
        <w:tblLook w:val="04A0" w:firstRow="1" w:lastRow="0" w:firstColumn="1" w:lastColumn="0" w:noHBand="0" w:noVBand="1"/>
      </w:tblPr>
      <w:tblGrid>
        <w:gridCol w:w="5571"/>
        <w:gridCol w:w="2119"/>
        <w:gridCol w:w="2121"/>
      </w:tblGrid>
      <w:tr w:rsidR="000816D7" w:rsidRPr="000816D7" w14:paraId="2B8010D8" w14:textId="77777777" w:rsidTr="005230B0">
        <w:trPr>
          <w:cnfStyle w:val="100000000000" w:firstRow="1" w:lastRow="0" w:firstColumn="0" w:lastColumn="0" w:oddVBand="0" w:evenVBand="0" w:oddHBand="0" w:evenHBand="0" w:firstRowFirstColumn="0" w:firstRowLastColumn="0" w:lastRowFirstColumn="0" w:lastRowLastColumn="0"/>
          <w:trHeight w:val="546"/>
          <w:tblHeader/>
        </w:trPr>
        <w:tc>
          <w:tcPr>
            <w:tcW w:w="2839" w:type="pct"/>
          </w:tcPr>
          <w:p w14:paraId="6338C2C5" w14:textId="77777777" w:rsidR="000816D7" w:rsidRPr="000816D7" w:rsidRDefault="000816D7" w:rsidP="00AB3D40">
            <w:pPr>
              <w:pStyle w:val="Tablecolumnheading-inkblue"/>
              <w:rPr>
                <w:b w:val="0"/>
                <w:color w:val="FFFFFF" w:themeColor="background1"/>
                <w:szCs w:val="24"/>
              </w:rPr>
            </w:pPr>
            <w:r w:rsidRPr="000816D7">
              <w:rPr>
                <w:color w:val="FFFFFF" w:themeColor="background1"/>
                <w:szCs w:val="24"/>
              </w:rPr>
              <w:t>Variable</w:t>
            </w:r>
          </w:p>
        </w:tc>
        <w:tc>
          <w:tcPr>
            <w:tcW w:w="1080" w:type="pct"/>
          </w:tcPr>
          <w:p w14:paraId="1394D882" w14:textId="77777777" w:rsidR="000816D7" w:rsidRPr="000816D7" w:rsidRDefault="000816D7" w:rsidP="000816D7">
            <w:pPr>
              <w:pStyle w:val="Tablecolumnheading-inkblue"/>
              <w:jc w:val="center"/>
              <w:rPr>
                <w:color w:val="FFFFFF" w:themeColor="background1"/>
                <w:szCs w:val="24"/>
              </w:rPr>
            </w:pPr>
            <w:r w:rsidRPr="000816D7">
              <w:rPr>
                <w:color w:val="FFFFFF" w:themeColor="background1"/>
              </w:rPr>
              <w:t>[1]</w:t>
            </w:r>
          </w:p>
        </w:tc>
        <w:tc>
          <w:tcPr>
            <w:tcW w:w="1081" w:type="pct"/>
          </w:tcPr>
          <w:p w14:paraId="5042BE01" w14:textId="77777777" w:rsidR="000816D7" w:rsidRPr="000816D7" w:rsidRDefault="000816D7" w:rsidP="000816D7">
            <w:pPr>
              <w:pStyle w:val="Tablecolumnheading-inkblue"/>
              <w:jc w:val="center"/>
              <w:rPr>
                <w:color w:val="FFFFFF" w:themeColor="background1"/>
                <w:szCs w:val="24"/>
              </w:rPr>
            </w:pPr>
            <w:r w:rsidRPr="000816D7">
              <w:rPr>
                <w:color w:val="FFFFFF" w:themeColor="background1"/>
              </w:rPr>
              <w:t>[2]</w:t>
            </w:r>
          </w:p>
        </w:tc>
      </w:tr>
      <w:tr w:rsidR="000816D7" w:rsidRPr="000816D7" w14:paraId="6230C975" w14:textId="77777777" w:rsidTr="005230B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28"/>
        </w:trPr>
        <w:tc>
          <w:tcPr>
            <w:tcW w:w="2839" w:type="pct"/>
          </w:tcPr>
          <w:p w14:paraId="6B12F832" w14:textId="77777777" w:rsidR="000816D7" w:rsidRPr="000816D7" w:rsidDel="000A1204" w:rsidRDefault="000816D7" w:rsidP="00AB3D40">
            <w:pPr>
              <w:pStyle w:val="Tabletext"/>
              <w:spacing w:before="0"/>
              <w:rPr>
                <w:b/>
                <w:bCs/>
                <w:szCs w:val="24"/>
              </w:rPr>
            </w:pPr>
            <w:r w:rsidRPr="000816D7">
              <w:rPr>
                <w:bCs/>
              </w:rPr>
              <w:t>Post-intervention</w:t>
            </w:r>
          </w:p>
        </w:tc>
        <w:tc>
          <w:tcPr>
            <w:tcW w:w="1080" w:type="pct"/>
          </w:tcPr>
          <w:p w14:paraId="2D65E4BE" w14:textId="77777777" w:rsidR="000816D7" w:rsidRPr="005230B0" w:rsidRDefault="000816D7" w:rsidP="000816D7">
            <w:pPr>
              <w:pStyle w:val="Tabletext"/>
              <w:spacing w:before="0" w:line="240" w:lineRule="auto"/>
              <w:jc w:val="center"/>
              <w:rPr>
                <w:rStyle w:val="Bold"/>
                <w:rFonts w:cstheme="minorHAnsi"/>
                <w:b w:val="0"/>
                <w:szCs w:val="24"/>
              </w:rPr>
            </w:pPr>
            <w:r w:rsidRPr="005230B0">
              <w:rPr>
                <w:rStyle w:val="Bold"/>
                <w:rFonts w:cstheme="minorHAnsi"/>
                <w:b w:val="0"/>
                <w:szCs w:val="24"/>
              </w:rPr>
              <w:t xml:space="preserve">0.137** </w:t>
            </w:r>
          </w:p>
          <w:p w14:paraId="15B6777D" w14:textId="67B6367D" w:rsidR="000816D7" w:rsidRPr="005230B0" w:rsidRDefault="000816D7" w:rsidP="000816D7">
            <w:pPr>
              <w:pStyle w:val="Tabletext"/>
              <w:spacing w:before="0" w:line="240" w:lineRule="auto"/>
              <w:jc w:val="center"/>
              <w:rPr>
                <w:rStyle w:val="Bold"/>
                <w:rFonts w:cstheme="minorHAnsi"/>
                <w:b w:val="0"/>
                <w:szCs w:val="24"/>
              </w:rPr>
            </w:pPr>
            <w:r w:rsidRPr="005230B0">
              <w:rPr>
                <w:rStyle w:val="Bold"/>
                <w:rFonts w:cstheme="minorHAnsi"/>
                <w:b w:val="0"/>
                <w:szCs w:val="24"/>
              </w:rPr>
              <w:t>(0.047)</w:t>
            </w:r>
          </w:p>
        </w:tc>
        <w:tc>
          <w:tcPr>
            <w:tcW w:w="1081" w:type="pct"/>
          </w:tcPr>
          <w:p w14:paraId="66857CC1" w14:textId="77777777" w:rsidR="000816D7" w:rsidRPr="005230B0" w:rsidRDefault="000816D7" w:rsidP="000816D7">
            <w:pPr>
              <w:pStyle w:val="Tabletext"/>
              <w:spacing w:before="0" w:line="240" w:lineRule="auto"/>
              <w:jc w:val="center"/>
              <w:rPr>
                <w:rStyle w:val="Bold"/>
                <w:rFonts w:cstheme="minorHAnsi"/>
                <w:b w:val="0"/>
                <w:szCs w:val="24"/>
              </w:rPr>
            </w:pPr>
            <w:r w:rsidRPr="005230B0">
              <w:rPr>
                <w:rStyle w:val="Bold"/>
                <w:rFonts w:cstheme="minorHAnsi"/>
                <w:b w:val="0"/>
                <w:szCs w:val="24"/>
              </w:rPr>
              <w:t>0.191</w:t>
            </w:r>
          </w:p>
          <w:p w14:paraId="29C769C1" w14:textId="122D14D9" w:rsidR="000816D7" w:rsidRPr="005230B0" w:rsidRDefault="000816D7" w:rsidP="000816D7">
            <w:pPr>
              <w:pStyle w:val="Tabletext"/>
              <w:spacing w:before="0" w:line="240" w:lineRule="auto"/>
              <w:jc w:val="center"/>
              <w:rPr>
                <w:rStyle w:val="Bold"/>
                <w:rFonts w:cstheme="minorHAnsi"/>
                <w:b w:val="0"/>
                <w:szCs w:val="24"/>
              </w:rPr>
            </w:pPr>
            <w:r w:rsidRPr="005230B0">
              <w:rPr>
                <w:rStyle w:val="Bold"/>
                <w:rFonts w:cstheme="minorHAnsi"/>
                <w:b w:val="0"/>
                <w:szCs w:val="24"/>
              </w:rPr>
              <w:t>(0.105)</w:t>
            </w:r>
          </w:p>
        </w:tc>
      </w:tr>
      <w:tr w:rsidR="000816D7" w:rsidRPr="000816D7" w14:paraId="1908B509" w14:textId="77777777" w:rsidTr="005230B0">
        <w:tblPrEx>
          <w:tblCellMar>
            <w:left w:w="108" w:type="dxa"/>
            <w:right w:w="108" w:type="dxa"/>
          </w:tblCellMar>
        </w:tblPrEx>
        <w:trPr>
          <w:trHeight w:val="565"/>
        </w:trPr>
        <w:tc>
          <w:tcPr>
            <w:tcW w:w="2839" w:type="pct"/>
          </w:tcPr>
          <w:p w14:paraId="04AD7E20" w14:textId="4B18B356" w:rsidR="000816D7" w:rsidRPr="000816D7" w:rsidRDefault="000816D7" w:rsidP="00AB3D40">
            <w:pPr>
              <w:pStyle w:val="Tabletext"/>
            </w:pPr>
            <w:r w:rsidRPr="000816D7">
              <w:t>Borrower, pos</w:t>
            </w:r>
            <w:r w:rsidR="00B57160">
              <w:t>t-</w:t>
            </w:r>
            <w:r w:rsidRPr="000816D7">
              <w:t>intervention</w:t>
            </w:r>
          </w:p>
        </w:tc>
        <w:tc>
          <w:tcPr>
            <w:tcW w:w="1080" w:type="pct"/>
          </w:tcPr>
          <w:p w14:paraId="51551554" w14:textId="77777777" w:rsid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 xml:space="preserve">-0.062 </w:t>
            </w:r>
          </w:p>
          <w:p w14:paraId="4D8C67BB" w14:textId="36360470" w:rsidR="000816D7" w:rsidRP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(0.038)</w:t>
            </w:r>
          </w:p>
        </w:tc>
        <w:tc>
          <w:tcPr>
            <w:tcW w:w="1081" w:type="pct"/>
          </w:tcPr>
          <w:p w14:paraId="759323DA" w14:textId="77777777" w:rsid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 xml:space="preserve">-0.064 </w:t>
            </w:r>
          </w:p>
          <w:p w14:paraId="6C79D5B7" w14:textId="16DB492E" w:rsidR="000816D7" w:rsidRP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(0.042)</w:t>
            </w:r>
          </w:p>
        </w:tc>
      </w:tr>
      <w:tr w:rsidR="000816D7" w:rsidRPr="000816D7" w14:paraId="1BE36A52" w14:textId="77777777" w:rsidTr="005230B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6"/>
        </w:trPr>
        <w:tc>
          <w:tcPr>
            <w:tcW w:w="2839" w:type="pct"/>
          </w:tcPr>
          <w:p w14:paraId="7E15CEF1" w14:textId="77777777" w:rsidR="000816D7" w:rsidRPr="000816D7" w:rsidRDefault="000816D7" w:rsidP="00AB3D40">
            <w:pPr>
              <w:pStyle w:val="Tabletext"/>
            </w:pPr>
            <w:r w:rsidRPr="000816D7">
              <w:t>Used CJRS</w:t>
            </w:r>
          </w:p>
        </w:tc>
        <w:tc>
          <w:tcPr>
            <w:tcW w:w="1080" w:type="pct"/>
          </w:tcPr>
          <w:p w14:paraId="25B0E7FE" w14:textId="77777777" w:rsidR="000816D7" w:rsidRPr="000816D7" w:rsidRDefault="000816D7" w:rsidP="000816D7">
            <w:pPr>
              <w:pStyle w:val="Tabletext"/>
              <w:spacing w:before="0" w:line="240" w:lineRule="auto"/>
              <w:jc w:val="center"/>
              <w:rPr>
                <w:rStyle w:val="Bold"/>
                <w:rFonts w:cstheme="minorHAnsi"/>
                <w:b w:val="0"/>
                <w:bCs/>
                <w:szCs w:val="24"/>
              </w:rPr>
            </w:pPr>
          </w:p>
        </w:tc>
        <w:tc>
          <w:tcPr>
            <w:tcW w:w="1081" w:type="pct"/>
          </w:tcPr>
          <w:p w14:paraId="249E2D21" w14:textId="77777777" w:rsid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 xml:space="preserve">0.050 </w:t>
            </w:r>
          </w:p>
          <w:p w14:paraId="128F3B52" w14:textId="4855F4D3" w:rsidR="000816D7" w:rsidRP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(0.128)</w:t>
            </w:r>
          </w:p>
        </w:tc>
      </w:tr>
      <w:tr w:rsidR="000816D7" w:rsidRPr="000816D7" w14:paraId="2084BE49" w14:textId="77777777" w:rsidTr="005230B0">
        <w:tblPrEx>
          <w:tblCellMar>
            <w:left w:w="108" w:type="dxa"/>
            <w:right w:w="108" w:type="dxa"/>
          </w:tblCellMar>
        </w:tblPrEx>
        <w:trPr>
          <w:trHeight w:val="565"/>
        </w:trPr>
        <w:tc>
          <w:tcPr>
            <w:tcW w:w="2839" w:type="pct"/>
          </w:tcPr>
          <w:p w14:paraId="7E7281BC" w14:textId="06C4E872" w:rsidR="000816D7" w:rsidRPr="000816D7" w:rsidRDefault="000816D7" w:rsidP="00AB3D40">
            <w:pPr>
              <w:pStyle w:val="Tabletext"/>
            </w:pPr>
            <w:r w:rsidRPr="000816D7">
              <w:t>Used Covid Loans, p</w:t>
            </w:r>
            <w:r>
              <w:t>ost</w:t>
            </w:r>
            <w:r w:rsidRPr="000816D7">
              <w:t>-intervention</w:t>
            </w:r>
          </w:p>
        </w:tc>
        <w:tc>
          <w:tcPr>
            <w:tcW w:w="1080" w:type="pct"/>
          </w:tcPr>
          <w:p w14:paraId="09E8011C" w14:textId="77777777" w:rsidR="000816D7" w:rsidRPr="000816D7" w:rsidRDefault="000816D7" w:rsidP="000816D7">
            <w:pPr>
              <w:pStyle w:val="Tabletext"/>
              <w:spacing w:before="0" w:line="240" w:lineRule="auto"/>
              <w:jc w:val="center"/>
              <w:rPr>
                <w:rStyle w:val="Bold"/>
                <w:rFonts w:cstheme="minorHAnsi"/>
                <w:b w:val="0"/>
                <w:bCs/>
                <w:szCs w:val="24"/>
              </w:rPr>
            </w:pPr>
          </w:p>
        </w:tc>
        <w:tc>
          <w:tcPr>
            <w:tcW w:w="1081" w:type="pct"/>
          </w:tcPr>
          <w:p w14:paraId="53CB31A0" w14:textId="77777777" w:rsid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 xml:space="preserve">-0.019 </w:t>
            </w:r>
          </w:p>
          <w:p w14:paraId="43BC0E7E" w14:textId="57939515" w:rsidR="000816D7" w:rsidRPr="000816D7" w:rsidRDefault="000816D7" w:rsidP="000816D7">
            <w:pPr>
              <w:pStyle w:val="Tabletext"/>
              <w:spacing w:before="0" w:line="240" w:lineRule="auto"/>
              <w:jc w:val="center"/>
              <w:rPr>
                <w:rStyle w:val="Bold"/>
                <w:rFonts w:cstheme="minorHAnsi"/>
                <w:b w:val="0"/>
                <w:bCs/>
                <w:szCs w:val="24"/>
              </w:rPr>
            </w:pPr>
            <w:r w:rsidRPr="000816D7">
              <w:rPr>
                <w:rStyle w:val="Bold"/>
                <w:rFonts w:cstheme="minorHAnsi"/>
                <w:b w:val="0"/>
                <w:bCs/>
                <w:szCs w:val="24"/>
              </w:rPr>
              <w:t>(0.050)</w:t>
            </w:r>
          </w:p>
        </w:tc>
      </w:tr>
      <w:tr w:rsidR="000816D7" w:rsidRPr="000816D7" w14:paraId="3AC268BA" w14:textId="77777777" w:rsidTr="005230B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6"/>
        </w:trPr>
        <w:tc>
          <w:tcPr>
            <w:tcW w:w="2839" w:type="pct"/>
            <w:tcBorders>
              <w:bottom w:val="single" w:sz="4" w:space="0" w:color="0054BA"/>
            </w:tcBorders>
          </w:tcPr>
          <w:p w14:paraId="1F84A713" w14:textId="77777777" w:rsidR="000816D7" w:rsidRPr="000816D7" w:rsidRDefault="000816D7" w:rsidP="00AB3D40">
            <w:pPr>
              <w:pStyle w:val="Tabletext"/>
            </w:pPr>
            <w:r w:rsidRPr="000816D7">
              <w:t>Constant</w:t>
            </w:r>
          </w:p>
        </w:tc>
        <w:tc>
          <w:tcPr>
            <w:tcW w:w="1080" w:type="pct"/>
            <w:tcBorders>
              <w:bottom w:val="single" w:sz="4" w:space="0" w:color="0054BA"/>
            </w:tcBorders>
          </w:tcPr>
          <w:p w14:paraId="65815479" w14:textId="77777777" w:rsid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 xml:space="preserve">2.034*** </w:t>
            </w:r>
          </w:p>
          <w:p w14:paraId="0A06275B" w14:textId="52C8340A" w:rsidR="000816D7" w:rsidRP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(0.016)</w:t>
            </w:r>
          </w:p>
        </w:tc>
        <w:tc>
          <w:tcPr>
            <w:tcW w:w="1081" w:type="pct"/>
            <w:tcBorders>
              <w:bottom w:val="single" w:sz="4" w:space="0" w:color="0054BA"/>
            </w:tcBorders>
          </w:tcPr>
          <w:p w14:paraId="4A9D696A" w14:textId="77777777" w:rsid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 xml:space="preserve">1.996*** </w:t>
            </w:r>
          </w:p>
          <w:p w14:paraId="60E7E17D" w14:textId="2BF0A958" w:rsidR="000816D7" w:rsidRP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(0.106)</w:t>
            </w:r>
          </w:p>
        </w:tc>
      </w:tr>
      <w:tr w:rsidR="000816D7" w:rsidRPr="000816D7" w14:paraId="748D97A5" w14:textId="77777777" w:rsidTr="005230B0">
        <w:tblPrEx>
          <w:tblCellMar>
            <w:left w:w="108" w:type="dxa"/>
            <w:right w:w="108" w:type="dxa"/>
          </w:tblCellMar>
        </w:tblPrEx>
        <w:trPr>
          <w:trHeight w:val="528"/>
        </w:trPr>
        <w:tc>
          <w:tcPr>
            <w:tcW w:w="2839" w:type="pct"/>
            <w:tcBorders>
              <w:top w:val="single" w:sz="4" w:space="0" w:color="0054BA"/>
            </w:tcBorders>
          </w:tcPr>
          <w:p w14:paraId="4F388C20" w14:textId="77777777" w:rsidR="000816D7" w:rsidRPr="000816D7" w:rsidRDefault="000816D7" w:rsidP="00AB3D40">
            <w:pPr>
              <w:pStyle w:val="Tabletext"/>
            </w:pPr>
            <w:r w:rsidRPr="000816D7">
              <w:t>Observations</w:t>
            </w:r>
          </w:p>
        </w:tc>
        <w:tc>
          <w:tcPr>
            <w:tcW w:w="1080" w:type="pct"/>
            <w:tcBorders>
              <w:top w:val="single" w:sz="4" w:space="0" w:color="0054BA"/>
            </w:tcBorders>
          </w:tcPr>
          <w:p w14:paraId="47647853" w14:textId="2B51E337" w:rsidR="000816D7" w:rsidRP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542</w:t>
            </w:r>
          </w:p>
        </w:tc>
        <w:tc>
          <w:tcPr>
            <w:tcW w:w="1081" w:type="pct"/>
            <w:tcBorders>
              <w:top w:val="single" w:sz="4" w:space="0" w:color="0054BA"/>
            </w:tcBorders>
          </w:tcPr>
          <w:p w14:paraId="7468D3AD" w14:textId="5BC9C2CB" w:rsidR="000816D7" w:rsidRPr="000816D7" w:rsidRDefault="000816D7" w:rsidP="000816D7">
            <w:pPr>
              <w:pStyle w:val="Tabletext"/>
              <w:spacing w:before="0" w:line="240" w:lineRule="auto"/>
              <w:jc w:val="center"/>
              <w:rPr>
                <w:rStyle w:val="Bold"/>
                <w:rFonts w:cstheme="minorHAnsi"/>
                <w:b w:val="0"/>
                <w:bCs/>
                <w:szCs w:val="24"/>
              </w:rPr>
            </w:pPr>
            <w:r>
              <w:rPr>
                <w:rStyle w:val="Bold"/>
                <w:rFonts w:cstheme="minorHAnsi"/>
                <w:b w:val="0"/>
                <w:bCs/>
                <w:szCs w:val="24"/>
              </w:rPr>
              <w:t>542</w:t>
            </w:r>
          </w:p>
        </w:tc>
      </w:tr>
      <w:tr w:rsidR="000816D7" w:rsidRPr="000816D7" w14:paraId="2E5963FD" w14:textId="77777777" w:rsidTr="005230B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46"/>
        </w:trPr>
        <w:tc>
          <w:tcPr>
            <w:tcW w:w="2839" w:type="pct"/>
          </w:tcPr>
          <w:p w14:paraId="76FF8242" w14:textId="77777777" w:rsidR="000816D7" w:rsidRPr="000816D7" w:rsidRDefault="000816D7" w:rsidP="000816D7">
            <w:pPr>
              <w:pStyle w:val="Tabletext"/>
            </w:pPr>
            <w:r w:rsidRPr="000816D7">
              <w:t>R-squared</w:t>
            </w:r>
          </w:p>
        </w:tc>
        <w:tc>
          <w:tcPr>
            <w:tcW w:w="1080" w:type="pct"/>
          </w:tcPr>
          <w:p w14:paraId="43351EC7" w14:textId="41633EDA" w:rsidR="000816D7" w:rsidRPr="000816D7" w:rsidRDefault="000816D7" w:rsidP="000816D7">
            <w:pPr>
              <w:pStyle w:val="Tabletext"/>
              <w:spacing w:before="0" w:line="240" w:lineRule="auto"/>
              <w:jc w:val="center"/>
              <w:rPr>
                <w:rStyle w:val="Bold"/>
                <w:rFonts w:cstheme="minorHAnsi"/>
                <w:b w:val="0"/>
                <w:bCs/>
                <w:szCs w:val="24"/>
              </w:rPr>
            </w:pPr>
            <w:r w:rsidRPr="00FE2696">
              <w:t>0.079</w:t>
            </w:r>
          </w:p>
        </w:tc>
        <w:tc>
          <w:tcPr>
            <w:tcW w:w="1081" w:type="pct"/>
          </w:tcPr>
          <w:p w14:paraId="67EA9B6C" w14:textId="176F0EC9" w:rsidR="000816D7" w:rsidRPr="000816D7" w:rsidRDefault="000816D7" w:rsidP="000816D7">
            <w:pPr>
              <w:pStyle w:val="Tabletext"/>
              <w:spacing w:before="0" w:line="240" w:lineRule="auto"/>
              <w:jc w:val="center"/>
              <w:rPr>
                <w:rStyle w:val="Bold"/>
                <w:rFonts w:cstheme="minorHAnsi"/>
                <w:b w:val="0"/>
                <w:bCs/>
                <w:szCs w:val="24"/>
              </w:rPr>
            </w:pPr>
            <w:r w:rsidRPr="00FE2696">
              <w:t>0.083</w:t>
            </w:r>
          </w:p>
        </w:tc>
      </w:tr>
      <w:tr w:rsidR="000816D7" w:rsidRPr="000816D7" w14:paraId="5B7A9EE1" w14:textId="77777777" w:rsidTr="005230B0">
        <w:tblPrEx>
          <w:tblCellMar>
            <w:left w:w="108" w:type="dxa"/>
            <w:right w:w="108" w:type="dxa"/>
          </w:tblCellMar>
        </w:tblPrEx>
        <w:trPr>
          <w:trHeight w:val="528"/>
        </w:trPr>
        <w:tc>
          <w:tcPr>
            <w:tcW w:w="2839" w:type="pct"/>
            <w:tcBorders>
              <w:bottom w:val="single" w:sz="4" w:space="0" w:color="0054BA"/>
            </w:tcBorders>
          </w:tcPr>
          <w:p w14:paraId="365DAE03" w14:textId="77777777" w:rsidR="000816D7" w:rsidRPr="000816D7" w:rsidRDefault="000816D7" w:rsidP="00AB3D40">
            <w:pPr>
              <w:pStyle w:val="Tabletext"/>
            </w:pPr>
            <w:r w:rsidRPr="000816D7">
              <w:t>Business fixed effects</w:t>
            </w:r>
          </w:p>
        </w:tc>
        <w:tc>
          <w:tcPr>
            <w:tcW w:w="1080" w:type="pct"/>
            <w:tcBorders>
              <w:bottom w:val="single" w:sz="4" w:space="0" w:color="0054BA"/>
            </w:tcBorders>
          </w:tcPr>
          <w:p w14:paraId="42E97F68" w14:textId="77777777" w:rsidR="000816D7" w:rsidRPr="000816D7" w:rsidRDefault="000816D7" w:rsidP="00AB3D40">
            <w:pPr>
              <w:pStyle w:val="Tabletext"/>
              <w:spacing w:before="0" w:line="240" w:lineRule="auto"/>
              <w:jc w:val="center"/>
              <w:rPr>
                <w:rStyle w:val="Bold"/>
                <w:rFonts w:cstheme="minorHAnsi"/>
                <w:b w:val="0"/>
                <w:bCs/>
                <w:szCs w:val="24"/>
              </w:rPr>
            </w:pPr>
            <w:r w:rsidRPr="000816D7">
              <w:t>Yes</w:t>
            </w:r>
          </w:p>
        </w:tc>
        <w:tc>
          <w:tcPr>
            <w:tcW w:w="1081" w:type="pct"/>
            <w:tcBorders>
              <w:bottom w:val="single" w:sz="4" w:space="0" w:color="0054BA"/>
            </w:tcBorders>
          </w:tcPr>
          <w:p w14:paraId="12C99C37" w14:textId="77777777" w:rsidR="000816D7" w:rsidRPr="000816D7" w:rsidRDefault="000816D7" w:rsidP="00AB3D40">
            <w:pPr>
              <w:pStyle w:val="Tabletext"/>
              <w:spacing w:before="0" w:line="240" w:lineRule="auto"/>
              <w:jc w:val="center"/>
              <w:rPr>
                <w:rStyle w:val="Bold"/>
                <w:rFonts w:cstheme="minorHAnsi"/>
                <w:b w:val="0"/>
                <w:bCs/>
                <w:szCs w:val="24"/>
              </w:rPr>
            </w:pPr>
            <w:r w:rsidRPr="000816D7">
              <w:t>Yes</w:t>
            </w:r>
          </w:p>
        </w:tc>
      </w:tr>
    </w:tbl>
    <w:p w14:paraId="73FF8B3A" w14:textId="77777777" w:rsidR="00D17EFB" w:rsidRPr="000816D7" w:rsidRDefault="00D17EFB" w:rsidP="00D17EFB">
      <w:pPr>
        <w:pStyle w:val="Caption"/>
        <w:rPr>
          <w:rStyle w:val="Emphasis"/>
          <w:b w:val="0"/>
          <w:iCs/>
          <w:color w:val="555674"/>
        </w:rPr>
      </w:pPr>
      <w:r w:rsidRPr="000816D7">
        <w:rPr>
          <w:rStyle w:val="Emphasis"/>
          <w:b w:val="0"/>
          <w:iCs/>
          <w:color w:val="555674"/>
        </w:rPr>
        <w:t>Note: Standard errors clustered at the sector level in parentheses. *** p-value&lt;0.01, ** p-value&lt;0.05, * p-value&lt;0.1. Source: London Economics’ analysis of survey data.</w:t>
      </w:r>
    </w:p>
    <w:p w14:paraId="7EB6520A" w14:textId="421E1715" w:rsidR="009567D9" w:rsidRDefault="00942201">
      <w:pPr>
        <w:spacing w:after="160" w:line="259" w:lineRule="auto"/>
        <w:rPr>
          <w:highlight w:val="yellow"/>
        </w:rPr>
      </w:pPr>
      <w:bookmarkStart w:id="160" w:name="_Ref97621903"/>
      <w:bookmarkStart w:id="161" w:name="_Ref97638132"/>
      <w:bookmarkEnd w:id="156"/>
      <w:bookmarkEnd w:id="157"/>
      <w:r>
        <w:rPr>
          <w:highlight w:val="yellow"/>
        </w:rPr>
        <w:br w:type="page"/>
      </w:r>
    </w:p>
    <w:p w14:paraId="4A9A73E0" w14:textId="37C10327" w:rsidR="00942201" w:rsidRDefault="6F2FB3FB" w:rsidP="00942201">
      <w:pPr>
        <w:pStyle w:val="Heading1"/>
      </w:pPr>
      <w:bookmarkStart w:id="162" w:name="_Ref158198707"/>
      <w:bookmarkStart w:id="163" w:name="_Ref160033320"/>
      <w:bookmarkStart w:id="164" w:name="_Toc161327603"/>
      <w:r>
        <w:t>Annex 5</w:t>
      </w:r>
      <w:bookmarkEnd w:id="162"/>
      <w:bookmarkEnd w:id="163"/>
      <w:r w:rsidR="00267953">
        <w:t xml:space="preserve"> – Lender mapping</w:t>
      </w:r>
      <w:bookmarkEnd w:id="164"/>
    </w:p>
    <w:p w14:paraId="5977DE80" w14:textId="0DBB4786" w:rsidR="00942201" w:rsidRPr="002E562D" w:rsidRDefault="00942201" w:rsidP="002E562D">
      <w:r>
        <w:t>The table below presents the classification of lenders into banks</w:t>
      </w:r>
      <w:r w:rsidR="00E02439">
        <w:t xml:space="preserve"> </w:t>
      </w:r>
      <w:r>
        <w:t xml:space="preserve">and non-banks used </w:t>
      </w:r>
      <w:r w:rsidR="00701AD2">
        <w:t>in the analysis of additionality by lender type</w:t>
      </w:r>
      <w:r w:rsidR="246CF38D">
        <w:t xml:space="preserve"> in the impact evaluation</w:t>
      </w:r>
      <w:r>
        <w:t xml:space="preserve">. </w:t>
      </w:r>
    </w:p>
    <w:p w14:paraId="436C6481" w14:textId="5551EFB1" w:rsidR="00701AD2" w:rsidRPr="002E562D" w:rsidRDefault="00701AD2" w:rsidP="002E562D">
      <w:pPr>
        <w:pStyle w:val="Heading5"/>
      </w:pPr>
      <w:r>
        <w:t xml:space="preserve">Table </w:t>
      </w:r>
      <w:r>
        <w:fldChar w:fldCharType="begin"/>
      </w:r>
      <w:r>
        <w:instrText>SEQ Table \* ARABIC</w:instrText>
      </w:r>
      <w:r>
        <w:fldChar w:fldCharType="separate"/>
      </w:r>
      <w:r w:rsidR="001525E9">
        <w:rPr>
          <w:noProof/>
        </w:rPr>
        <w:t>34</w:t>
      </w:r>
      <w:r>
        <w:fldChar w:fldCharType="end"/>
      </w:r>
      <w:r>
        <w:t>: Lender type mapping</w:t>
      </w:r>
    </w:p>
    <w:tbl>
      <w:tblPr>
        <w:tblStyle w:val="TableGrid"/>
        <w:tblW w:w="0" w:type="auto"/>
        <w:tblLook w:val="04A0" w:firstRow="1" w:lastRow="0" w:firstColumn="1" w:lastColumn="0" w:noHBand="0" w:noVBand="1"/>
      </w:tblPr>
      <w:tblGrid>
        <w:gridCol w:w="6379"/>
        <w:gridCol w:w="3775"/>
      </w:tblGrid>
      <w:tr w:rsidR="00701AD2" w14:paraId="2B6D025F" w14:textId="77777777" w:rsidTr="002E562D">
        <w:trPr>
          <w:cnfStyle w:val="100000000000" w:firstRow="1" w:lastRow="0" w:firstColumn="0" w:lastColumn="0" w:oddVBand="0" w:evenVBand="0" w:oddHBand="0" w:evenHBand="0" w:firstRowFirstColumn="0" w:firstRowLastColumn="0" w:lastRowFirstColumn="0" w:lastRowLastColumn="0"/>
        </w:trPr>
        <w:tc>
          <w:tcPr>
            <w:tcW w:w="6379" w:type="dxa"/>
            <w:vAlign w:val="center"/>
          </w:tcPr>
          <w:p w14:paraId="77A13C2E" w14:textId="65A2BBC8" w:rsidR="00701AD2" w:rsidRDefault="00701AD2" w:rsidP="00701AD2">
            <w:pPr>
              <w:spacing w:after="160" w:line="259" w:lineRule="auto"/>
            </w:pPr>
            <w:r>
              <w:t>Lender name</w:t>
            </w:r>
            <w:r w:rsidR="00E02439">
              <w:rPr>
                <w:rStyle w:val="FootnoteReference"/>
              </w:rPr>
              <w:footnoteReference w:id="78"/>
            </w:r>
          </w:p>
        </w:tc>
        <w:tc>
          <w:tcPr>
            <w:tcW w:w="3775" w:type="dxa"/>
            <w:vAlign w:val="center"/>
          </w:tcPr>
          <w:p w14:paraId="1D825113" w14:textId="585C3C34" w:rsidR="00701AD2" w:rsidRDefault="00701AD2" w:rsidP="002E562D">
            <w:pPr>
              <w:spacing w:after="160" w:line="259" w:lineRule="auto"/>
            </w:pPr>
            <w:r>
              <w:t>Lender type</w:t>
            </w:r>
          </w:p>
        </w:tc>
      </w:tr>
      <w:tr w:rsidR="00A10CE0" w14:paraId="7CA6E22A" w14:textId="77777777" w:rsidTr="002E562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1000C065" w14:textId="281E73DE" w:rsidR="00A10CE0" w:rsidRDefault="00A10CE0" w:rsidP="00A10CE0">
            <w:pPr>
              <w:pStyle w:val="Tabletext"/>
            </w:pPr>
            <w:r w:rsidRPr="0012151E">
              <w:t>Bank of Scotland plc</w:t>
            </w:r>
          </w:p>
        </w:tc>
        <w:tc>
          <w:tcPr>
            <w:tcW w:w="3775" w:type="dxa"/>
            <w:vAlign w:val="top"/>
          </w:tcPr>
          <w:p w14:paraId="74DA7AD3" w14:textId="432A0DE9" w:rsidR="00A10CE0" w:rsidRDefault="00A10CE0" w:rsidP="00A10CE0">
            <w:pPr>
              <w:pStyle w:val="Tabletext"/>
            </w:pPr>
            <w:r w:rsidRPr="0012151E">
              <w:t>Bank</w:t>
            </w:r>
          </w:p>
        </w:tc>
      </w:tr>
      <w:tr w:rsidR="00A10CE0" w14:paraId="7ED4E442" w14:textId="77777777" w:rsidTr="002E562D">
        <w:tblPrEx>
          <w:tblCellMar>
            <w:left w:w="108" w:type="dxa"/>
            <w:right w:w="108" w:type="dxa"/>
          </w:tblCellMar>
        </w:tblPrEx>
        <w:tc>
          <w:tcPr>
            <w:tcW w:w="6379" w:type="dxa"/>
            <w:vAlign w:val="top"/>
          </w:tcPr>
          <w:p w14:paraId="293F6CA8" w14:textId="018D6C1E" w:rsidR="00A10CE0" w:rsidRDefault="00A10CE0" w:rsidP="00A10CE0">
            <w:pPr>
              <w:pStyle w:val="Tabletext"/>
            </w:pPr>
            <w:r w:rsidRPr="0012151E">
              <w:t>Barclays Bank Plc</w:t>
            </w:r>
          </w:p>
        </w:tc>
        <w:tc>
          <w:tcPr>
            <w:tcW w:w="3775" w:type="dxa"/>
            <w:vAlign w:val="top"/>
          </w:tcPr>
          <w:p w14:paraId="61F7E9E5" w14:textId="4A63F348" w:rsidR="00A10CE0" w:rsidRDefault="00A10CE0" w:rsidP="00A10CE0">
            <w:pPr>
              <w:pStyle w:val="Tabletext"/>
            </w:pPr>
            <w:r w:rsidRPr="0012151E">
              <w:t>Bank</w:t>
            </w:r>
          </w:p>
        </w:tc>
      </w:tr>
      <w:tr w:rsidR="00A10CE0" w14:paraId="754ADBC5" w14:textId="77777777" w:rsidTr="002E562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4845BD20" w14:textId="2F972124" w:rsidR="00A10CE0" w:rsidRDefault="00A10CE0" w:rsidP="00A10CE0">
            <w:pPr>
              <w:pStyle w:val="Tabletext"/>
            </w:pPr>
            <w:r w:rsidRPr="0012151E">
              <w:t>Clydesdale Bank Plc</w:t>
            </w:r>
          </w:p>
        </w:tc>
        <w:tc>
          <w:tcPr>
            <w:tcW w:w="3775" w:type="dxa"/>
            <w:vAlign w:val="top"/>
          </w:tcPr>
          <w:p w14:paraId="4C084BA5" w14:textId="3B48C7CE" w:rsidR="00A10CE0" w:rsidRDefault="00A10CE0" w:rsidP="00A10CE0">
            <w:pPr>
              <w:pStyle w:val="Tabletext"/>
            </w:pPr>
            <w:r w:rsidRPr="0012151E">
              <w:t>Bank</w:t>
            </w:r>
          </w:p>
        </w:tc>
      </w:tr>
      <w:tr w:rsidR="00A10CE0" w14:paraId="722AA40A" w14:textId="77777777" w:rsidTr="002E562D">
        <w:tblPrEx>
          <w:tblCellMar>
            <w:left w:w="108" w:type="dxa"/>
            <w:right w:w="108" w:type="dxa"/>
          </w:tblCellMar>
        </w:tblPrEx>
        <w:tc>
          <w:tcPr>
            <w:tcW w:w="6379" w:type="dxa"/>
            <w:vAlign w:val="top"/>
          </w:tcPr>
          <w:p w14:paraId="53DE04CF" w14:textId="0F207B4A" w:rsidR="00A10CE0" w:rsidRDefault="00A10CE0" w:rsidP="00A10CE0">
            <w:pPr>
              <w:pStyle w:val="Tabletext"/>
            </w:pPr>
            <w:r w:rsidRPr="0012151E">
              <w:t>HSBC UK Bank Plc</w:t>
            </w:r>
          </w:p>
        </w:tc>
        <w:tc>
          <w:tcPr>
            <w:tcW w:w="3775" w:type="dxa"/>
            <w:vAlign w:val="top"/>
          </w:tcPr>
          <w:p w14:paraId="3BF2F195" w14:textId="357DAAA5" w:rsidR="00A10CE0" w:rsidRDefault="00A10CE0" w:rsidP="00A10CE0">
            <w:pPr>
              <w:pStyle w:val="Tabletext"/>
            </w:pPr>
            <w:r w:rsidRPr="0012151E">
              <w:t>Bank</w:t>
            </w:r>
          </w:p>
        </w:tc>
      </w:tr>
      <w:tr w:rsidR="00A10CE0" w14:paraId="3809690B"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198AC276" w14:textId="5EFDE70B" w:rsidR="00A10CE0" w:rsidRDefault="00A10CE0" w:rsidP="00A10CE0">
            <w:pPr>
              <w:pStyle w:val="Tabletext"/>
            </w:pPr>
            <w:r w:rsidRPr="0012151E">
              <w:t>Lloyds Bank Plc</w:t>
            </w:r>
          </w:p>
        </w:tc>
        <w:tc>
          <w:tcPr>
            <w:tcW w:w="3775" w:type="dxa"/>
            <w:vAlign w:val="top"/>
          </w:tcPr>
          <w:p w14:paraId="7B52F18B" w14:textId="690C3CA9" w:rsidR="00A10CE0" w:rsidRDefault="00A10CE0" w:rsidP="00A10CE0">
            <w:pPr>
              <w:pStyle w:val="Tabletext"/>
            </w:pPr>
            <w:r w:rsidRPr="0012151E">
              <w:t>Bank</w:t>
            </w:r>
          </w:p>
        </w:tc>
      </w:tr>
      <w:tr w:rsidR="00A10CE0" w14:paraId="5EB619DB" w14:textId="77777777" w:rsidTr="00E02439">
        <w:tblPrEx>
          <w:tblCellMar>
            <w:left w:w="108" w:type="dxa"/>
            <w:right w:w="108" w:type="dxa"/>
          </w:tblCellMar>
        </w:tblPrEx>
        <w:tc>
          <w:tcPr>
            <w:tcW w:w="6379" w:type="dxa"/>
            <w:vAlign w:val="top"/>
          </w:tcPr>
          <w:p w14:paraId="5C0F9519" w14:textId="4852AF6D" w:rsidR="00A10CE0" w:rsidRDefault="00A10CE0" w:rsidP="00A10CE0">
            <w:pPr>
              <w:pStyle w:val="Tabletext"/>
            </w:pPr>
            <w:r w:rsidRPr="0012151E">
              <w:t>NatWest Group plc</w:t>
            </w:r>
          </w:p>
        </w:tc>
        <w:tc>
          <w:tcPr>
            <w:tcW w:w="3775" w:type="dxa"/>
            <w:vAlign w:val="top"/>
          </w:tcPr>
          <w:p w14:paraId="5CD7D292" w14:textId="0385314D" w:rsidR="00A10CE0" w:rsidRDefault="00A10CE0" w:rsidP="00A10CE0">
            <w:pPr>
              <w:pStyle w:val="Tabletext"/>
            </w:pPr>
            <w:r w:rsidRPr="0012151E">
              <w:t>Bank</w:t>
            </w:r>
          </w:p>
        </w:tc>
      </w:tr>
      <w:tr w:rsidR="00A10CE0" w14:paraId="03209099"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5EA7EFE1" w14:textId="076D1F70" w:rsidR="00A10CE0" w:rsidRDefault="00A10CE0" w:rsidP="00A10CE0">
            <w:pPr>
              <w:pStyle w:val="Tabletext"/>
            </w:pPr>
            <w:r w:rsidRPr="0012151E">
              <w:t>Santander UK</w:t>
            </w:r>
          </w:p>
        </w:tc>
        <w:tc>
          <w:tcPr>
            <w:tcW w:w="3775" w:type="dxa"/>
            <w:vAlign w:val="top"/>
          </w:tcPr>
          <w:p w14:paraId="6BAA6639" w14:textId="536893F3" w:rsidR="00A10CE0" w:rsidRDefault="00A10CE0" w:rsidP="00A10CE0">
            <w:pPr>
              <w:pStyle w:val="Tabletext"/>
            </w:pPr>
            <w:r w:rsidRPr="0012151E">
              <w:t>Bank</w:t>
            </w:r>
          </w:p>
        </w:tc>
      </w:tr>
      <w:tr w:rsidR="00A10CE0" w14:paraId="633A90A5" w14:textId="77777777" w:rsidTr="00E02439">
        <w:tblPrEx>
          <w:tblCellMar>
            <w:left w:w="108" w:type="dxa"/>
            <w:right w:w="108" w:type="dxa"/>
          </w:tblCellMar>
        </w:tblPrEx>
        <w:tc>
          <w:tcPr>
            <w:tcW w:w="6379" w:type="dxa"/>
            <w:vAlign w:val="top"/>
          </w:tcPr>
          <w:p w14:paraId="1357E2AD" w14:textId="48B07B34" w:rsidR="00A10CE0" w:rsidRDefault="00A10CE0" w:rsidP="00A10CE0">
            <w:pPr>
              <w:pStyle w:val="Tabletext"/>
            </w:pPr>
            <w:r w:rsidRPr="0012151E">
              <w:t>AIB Group (UK) Plc</w:t>
            </w:r>
          </w:p>
        </w:tc>
        <w:tc>
          <w:tcPr>
            <w:tcW w:w="3775" w:type="dxa"/>
            <w:vAlign w:val="top"/>
          </w:tcPr>
          <w:p w14:paraId="2D9FB6F5" w14:textId="0AD105CC" w:rsidR="00A10CE0" w:rsidRDefault="00A10CE0" w:rsidP="00A10CE0">
            <w:pPr>
              <w:pStyle w:val="Tabletext"/>
            </w:pPr>
            <w:r w:rsidRPr="0012151E">
              <w:t>Bank</w:t>
            </w:r>
          </w:p>
        </w:tc>
      </w:tr>
      <w:tr w:rsidR="00A10CE0" w14:paraId="29D1241B"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58CBFA42" w14:textId="43EEB6C0" w:rsidR="00A10CE0" w:rsidRDefault="00A10CE0" w:rsidP="00A10CE0">
            <w:pPr>
              <w:pStyle w:val="Tabletext"/>
            </w:pPr>
            <w:r w:rsidRPr="0012151E">
              <w:t>Aldermore Bank Plc</w:t>
            </w:r>
          </w:p>
        </w:tc>
        <w:tc>
          <w:tcPr>
            <w:tcW w:w="3775" w:type="dxa"/>
            <w:vAlign w:val="top"/>
          </w:tcPr>
          <w:p w14:paraId="244C9A88" w14:textId="49991523" w:rsidR="00A10CE0" w:rsidRDefault="00A10CE0" w:rsidP="00A10CE0">
            <w:pPr>
              <w:pStyle w:val="Tabletext"/>
            </w:pPr>
            <w:r w:rsidRPr="0012151E">
              <w:t>Bank</w:t>
            </w:r>
          </w:p>
        </w:tc>
      </w:tr>
      <w:tr w:rsidR="00A10CE0" w14:paraId="3F2B1D18" w14:textId="77777777" w:rsidTr="00E02439">
        <w:tblPrEx>
          <w:tblCellMar>
            <w:left w:w="108" w:type="dxa"/>
            <w:right w:w="108" w:type="dxa"/>
          </w:tblCellMar>
        </w:tblPrEx>
        <w:tc>
          <w:tcPr>
            <w:tcW w:w="6379" w:type="dxa"/>
            <w:vAlign w:val="top"/>
          </w:tcPr>
          <w:p w14:paraId="5762EB56" w14:textId="14E1B586" w:rsidR="00A10CE0" w:rsidRDefault="00A10CE0" w:rsidP="00A10CE0">
            <w:pPr>
              <w:pStyle w:val="Tabletext"/>
            </w:pPr>
            <w:r w:rsidRPr="0012151E">
              <w:t>Arbuthnot Latham &amp; Co Ltd</w:t>
            </w:r>
          </w:p>
        </w:tc>
        <w:tc>
          <w:tcPr>
            <w:tcW w:w="3775" w:type="dxa"/>
            <w:vAlign w:val="top"/>
          </w:tcPr>
          <w:p w14:paraId="08EB1FAE" w14:textId="560B4DBA" w:rsidR="00A10CE0" w:rsidRDefault="00A10CE0" w:rsidP="00A10CE0">
            <w:pPr>
              <w:pStyle w:val="Tabletext"/>
            </w:pPr>
            <w:r w:rsidRPr="0012151E">
              <w:t>Bank</w:t>
            </w:r>
          </w:p>
        </w:tc>
      </w:tr>
      <w:tr w:rsidR="00A10CE0" w14:paraId="4F6B1ABD"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7961AA09" w14:textId="707B4489" w:rsidR="00A10CE0" w:rsidRDefault="00A10CE0" w:rsidP="00A10CE0">
            <w:pPr>
              <w:pStyle w:val="Tabletext"/>
            </w:pPr>
            <w:r w:rsidRPr="0012151E">
              <w:t>Atom Bank plc</w:t>
            </w:r>
          </w:p>
        </w:tc>
        <w:tc>
          <w:tcPr>
            <w:tcW w:w="3775" w:type="dxa"/>
            <w:vAlign w:val="top"/>
          </w:tcPr>
          <w:p w14:paraId="32C5200B" w14:textId="352EBA4B" w:rsidR="00A10CE0" w:rsidRDefault="00A10CE0" w:rsidP="00A10CE0">
            <w:pPr>
              <w:pStyle w:val="Tabletext"/>
            </w:pPr>
            <w:r w:rsidRPr="0012151E">
              <w:t>Bank</w:t>
            </w:r>
          </w:p>
        </w:tc>
      </w:tr>
      <w:tr w:rsidR="00A10CE0" w14:paraId="7940BCFD" w14:textId="77777777" w:rsidTr="00E02439">
        <w:tblPrEx>
          <w:tblCellMar>
            <w:left w:w="108" w:type="dxa"/>
            <w:right w:w="108" w:type="dxa"/>
          </w:tblCellMar>
        </w:tblPrEx>
        <w:tc>
          <w:tcPr>
            <w:tcW w:w="6379" w:type="dxa"/>
            <w:vAlign w:val="top"/>
          </w:tcPr>
          <w:p w14:paraId="5AEDAF35" w14:textId="7BDC0377" w:rsidR="00A10CE0" w:rsidRDefault="00A10CE0" w:rsidP="00A10CE0">
            <w:pPr>
              <w:pStyle w:val="Tabletext"/>
            </w:pPr>
            <w:r w:rsidRPr="0012151E">
              <w:t>Close Brothers Ltd</w:t>
            </w:r>
          </w:p>
        </w:tc>
        <w:tc>
          <w:tcPr>
            <w:tcW w:w="3775" w:type="dxa"/>
            <w:vAlign w:val="top"/>
          </w:tcPr>
          <w:p w14:paraId="6B676954" w14:textId="53FD5870" w:rsidR="00A10CE0" w:rsidRDefault="00A10CE0" w:rsidP="00A10CE0">
            <w:pPr>
              <w:pStyle w:val="Tabletext"/>
            </w:pPr>
            <w:r w:rsidRPr="0012151E">
              <w:t>Bank</w:t>
            </w:r>
          </w:p>
        </w:tc>
      </w:tr>
      <w:tr w:rsidR="00A10CE0" w14:paraId="57D4D983"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439F3151" w14:textId="4535F06A" w:rsidR="00A10CE0" w:rsidRDefault="00A10CE0" w:rsidP="00A10CE0">
            <w:pPr>
              <w:pStyle w:val="Tabletext"/>
            </w:pPr>
            <w:r w:rsidRPr="0012151E">
              <w:t>Cynergy Bank Ltd</w:t>
            </w:r>
          </w:p>
        </w:tc>
        <w:tc>
          <w:tcPr>
            <w:tcW w:w="3775" w:type="dxa"/>
            <w:vAlign w:val="top"/>
          </w:tcPr>
          <w:p w14:paraId="4D33D08F" w14:textId="321297E9" w:rsidR="00A10CE0" w:rsidRDefault="00A10CE0" w:rsidP="00A10CE0">
            <w:pPr>
              <w:pStyle w:val="Tabletext"/>
            </w:pPr>
            <w:r w:rsidRPr="0012151E">
              <w:t>Bank</w:t>
            </w:r>
          </w:p>
        </w:tc>
      </w:tr>
      <w:tr w:rsidR="00A10CE0" w14:paraId="75447735" w14:textId="77777777" w:rsidTr="00E02439">
        <w:tblPrEx>
          <w:tblCellMar>
            <w:left w:w="108" w:type="dxa"/>
            <w:right w:w="108" w:type="dxa"/>
          </w:tblCellMar>
        </w:tblPrEx>
        <w:tc>
          <w:tcPr>
            <w:tcW w:w="6379" w:type="dxa"/>
            <w:vAlign w:val="top"/>
          </w:tcPr>
          <w:p w14:paraId="1BA94F15" w14:textId="72A50825" w:rsidR="00A10CE0" w:rsidRDefault="00A10CE0" w:rsidP="00A10CE0">
            <w:pPr>
              <w:pStyle w:val="Tabletext"/>
            </w:pPr>
            <w:r w:rsidRPr="0012151E">
              <w:t>Danske Bank</w:t>
            </w:r>
          </w:p>
        </w:tc>
        <w:tc>
          <w:tcPr>
            <w:tcW w:w="3775" w:type="dxa"/>
            <w:vAlign w:val="top"/>
          </w:tcPr>
          <w:p w14:paraId="494B9FF6" w14:textId="71470077" w:rsidR="00A10CE0" w:rsidRDefault="00A10CE0" w:rsidP="00A10CE0">
            <w:pPr>
              <w:pStyle w:val="Tabletext"/>
            </w:pPr>
            <w:r w:rsidRPr="0012151E">
              <w:t>Bank</w:t>
            </w:r>
          </w:p>
        </w:tc>
      </w:tr>
      <w:tr w:rsidR="00A10CE0" w14:paraId="51C53E44"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5E9E1A19" w14:textId="773411BA" w:rsidR="00A10CE0" w:rsidRDefault="00A10CE0" w:rsidP="00A10CE0">
            <w:pPr>
              <w:pStyle w:val="Tabletext"/>
            </w:pPr>
            <w:r w:rsidRPr="0012151E">
              <w:t>Hampshire Trust Bank Plc</w:t>
            </w:r>
          </w:p>
        </w:tc>
        <w:tc>
          <w:tcPr>
            <w:tcW w:w="3775" w:type="dxa"/>
            <w:vAlign w:val="top"/>
          </w:tcPr>
          <w:p w14:paraId="725C1602" w14:textId="56BB427D" w:rsidR="00A10CE0" w:rsidRDefault="00A10CE0" w:rsidP="00A10CE0">
            <w:pPr>
              <w:pStyle w:val="Tabletext"/>
            </w:pPr>
            <w:r w:rsidRPr="0012151E">
              <w:t>Bank</w:t>
            </w:r>
          </w:p>
        </w:tc>
      </w:tr>
      <w:tr w:rsidR="00A10CE0" w14:paraId="2AE783C4" w14:textId="77777777" w:rsidTr="00E02439">
        <w:tblPrEx>
          <w:tblCellMar>
            <w:left w:w="108" w:type="dxa"/>
            <w:right w:w="108" w:type="dxa"/>
          </w:tblCellMar>
        </w:tblPrEx>
        <w:tc>
          <w:tcPr>
            <w:tcW w:w="6379" w:type="dxa"/>
            <w:vAlign w:val="top"/>
          </w:tcPr>
          <w:p w14:paraId="16F29424" w14:textId="1C591C2A" w:rsidR="00A10CE0" w:rsidRDefault="00A10CE0" w:rsidP="00A10CE0">
            <w:pPr>
              <w:pStyle w:val="Tabletext"/>
            </w:pPr>
            <w:r w:rsidRPr="0012151E">
              <w:t>Investec Bank PLC</w:t>
            </w:r>
          </w:p>
        </w:tc>
        <w:tc>
          <w:tcPr>
            <w:tcW w:w="3775" w:type="dxa"/>
            <w:vAlign w:val="top"/>
          </w:tcPr>
          <w:p w14:paraId="7329EFF5" w14:textId="43EC7E14" w:rsidR="00A10CE0" w:rsidRDefault="00A10CE0" w:rsidP="00A10CE0">
            <w:pPr>
              <w:pStyle w:val="Tabletext"/>
            </w:pPr>
            <w:r w:rsidRPr="0012151E">
              <w:t>Bank</w:t>
            </w:r>
          </w:p>
        </w:tc>
      </w:tr>
      <w:tr w:rsidR="00A10CE0" w14:paraId="48FECF16"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0EB6B020" w14:textId="1780BCEB" w:rsidR="00A10CE0" w:rsidRDefault="00A10CE0" w:rsidP="00A10CE0">
            <w:pPr>
              <w:pStyle w:val="Tabletext"/>
            </w:pPr>
            <w:r w:rsidRPr="0012151E">
              <w:t>Leumi UK Group Ltd</w:t>
            </w:r>
          </w:p>
        </w:tc>
        <w:tc>
          <w:tcPr>
            <w:tcW w:w="3775" w:type="dxa"/>
            <w:vAlign w:val="top"/>
          </w:tcPr>
          <w:p w14:paraId="118F7EC4" w14:textId="2E3F12ED" w:rsidR="00A10CE0" w:rsidRDefault="00A10CE0" w:rsidP="00A10CE0">
            <w:pPr>
              <w:pStyle w:val="Tabletext"/>
            </w:pPr>
            <w:r w:rsidRPr="0012151E">
              <w:t>Bank</w:t>
            </w:r>
          </w:p>
        </w:tc>
      </w:tr>
      <w:tr w:rsidR="00A10CE0" w14:paraId="75B14D1E" w14:textId="77777777" w:rsidTr="00E02439">
        <w:tblPrEx>
          <w:tblCellMar>
            <w:left w:w="108" w:type="dxa"/>
            <w:right w:w="108" w:type="dxa"/>
          </w:tblCellMar>
        </w:tblPrEx>
        <w:tc>
          <w:tcPr>
            <w:tcW w:w="6379" w:type="dxa"/>
            <w:vAlign w:val="top"/>
          </w:tcPr>
          <w:p w14:paraId="725B6D6F" w14:textId="1301AC62" w:rsidR="00A10CE0" w:rsidRDefault="00A10CE0" w:rsidP="00A10CE0">
            <w:pPr>
              <w:pStyle w:val="Tabletext"/>
            </w:pPr>
            <w:r w:rsidRPr="0012151E">
              <w:t>Metro Bank PLC</w:t>
            </w:r>
          </w:p>
        </w:tc>
        <w:tc>
          <w:tcPr>
            <w:tcW w:w="3775" w:type="dxa"/>
            <w:vAlign w:val="top"/>
          </w:tcPr>
          <w:p w14:paraId="3882317D" w14:textId="654FEE66" w:rsidR="00A10CE0" w:rsidRDefault="00A10CE0" w:rsidP="00A10CE0">
            <w:pPr>
              <w:pStyle w:val="Tabletext"/>
            </w:pPr>
            <w:r w:rsidRPr="0012151E">
              <w:t>Bank</w:t>
            </w:r>
          </w:p>
        </w:tc>
      </w:tr>
      <w:tr w:rsidR="00A10CE0" w14:paraId="43DB108E"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7407F51C" w14:textId="43D3D325" w:rsidR="00A10CE0" w:rsidRDefault="00A10CE0" w:rsidP="00A10CE0">
            <w:pPr>
              <w:pStyle w:val="Tabletext"/>
            </w:pPr>
            <w:r w:rsidRPr="0012151E">
              <w:t>OakNorth Bank plc</w:t>
            </w:r>
          </w:p>
        </w:tc>
        <w:tc>
          <w:tcPr>
            <w:tcW w:w="3775" w:type="dxa"/>
            <w:vAlign w:val="top"/>
          </w:tcPr>
          <w:p w14:paraId="705339BE" w14:textId="67DEA228" w:rsidR="00A10CE0" w:rsidRDefault="00A10CE0" w:rsidP="00A10CE0">
            <w:pPr>
              <w:pStyle w:val="Tabletext"/>
            </w:pPr>
            <w:r w:rsidRPr="0012151E">
              <w:t>Bank</w:t>
            </w:r>
          </w:p>
        </w:tc>
      </w:tr>
      <w:tr w:rsidR="00A10CE0" w14:paraId="352F4C41" w14:textId="77777777" w:rsidTr="002E562D">
        <w:tblPrEx>
          <w:tblCellMar>
            <w:left w:w="108" w:type="dxa"/>
            <w:right w:w="108" w:type="dxa"/>
          </w:tblCellMar>
        </w:tblPrEx>
        <w:tc>
          <w:tcPr>
            <w:tcW w:w="6379" w:type="dxa"/>
            <w:vAlign w:val="top"/>
          </w:tcPr>
          <w:p w14:paraId="68E3F556" w14:textId="2E7512AC" w:rsidR="00A10CE0" w:rsidRDefault="00A10CE0" w:rsidP="00A10CE0">
            <w:pPr>
              <w:pStyle w:val="Tabletext"/>
            </w:pPr>
            <w:r w:rsidRPr="0012151E">
              <w:t>Paragon Bank PLC</w:t>
            </w:r>
          </w:p>
        </w:tc>
        <w:tc>
          <w:tcPr>
            <w:tcW w:w="3775" w:type="dxa"/>
            <w:vAlign w:val="top"/>
          </w:tcPr>
          <w:p w14:paraId="3C44C466" w14:textId="5C86D1B7" w:rsidR="00A10CE0" w:rsidRDefault="00A10CE0" w:rsidP="00A10CE0">
            <w:pPr>
              <w:pStyle w:val="Tabletext"/>
            </w:pPr>
            <w:r w:rsidRPr="0012151E">
              <w:t>Bank</w:t>
            </w:r>
          </w:p>
        </w:tc>
      </w:tr>
      <w:tr w:rsidR="00A10CE0" w14:paraId="2E55B189"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3763E416" w14:textId="70E2519E" w:rsidR="00A10CE0" w:rsidRDefault="00A10CE0" w:rsidP="00A10CE0">
            <w:pPr>
              <w:pStyle w:val="Tabletext"/>
            </w:pPr>
            <w:r w:rsidRPr="0012151E">
              <w:t>Secure Trust Bank plc</w:t>
            </w:r>
          </w:p>
        </w:tc>
        <w:tc>
          <w:tcPr>
            <w:tcW w:w="3775" w:type="dxa"/>
            <w:vAlign w:val="top"/>
          </w:tcPr>
          <w:p w14:paraId="0E31FA22" w14:textId="60F9D1C8" w:rsidR="00A10CE0" w:rsidRDefault="00A10CE0" w:rsidP="00A10CE0">
            <w:pPr>
              <w:pStyle w:val="Tabletext"/>
            </w:pPr>
            <w:r w:rsidRPr="0012151E">
              <w:t>Bank</w:t>
            </w:r>
          </w:p>
        </w:tc>
      </w:tr>
      <w:tr w:rsidR="00A10CE0" w14:paraId="0A495612" w14:textId="77777777" w:rsidTr="00E02439">
        <w:tblPrEx>
          <w:tblCellMar>
            <w:left w:w="108" w:type="dxa"/>
            <w:right w:w="108" w:type="dxa"/>
          </w:tblCellMar>
        </w:tblPrEx>
        <w:tc>
          <w:tcPr>
            <w:tcW w:w="6379" w:type="dxa"/>
            <w:vAlign w:val="top"/>
          </w:tcPr>
          <w:p w14:paraId="28889DAD" w14:textId="601EC794" w:rsidR="00A10CE0" w:rsidRDefault="00A10CE0" w:rsidP="00A10CE0">
            <w:pPr>
              <w:pStyle w:val="Tabletext"/>
            </w:pPr>
            <w:r w:rsidRPr="0012151E">
              <w:t>Shawbrook Bank Limited</w:t>
            </w:r>
          </w:p>
        </w:tc>
        <w:tc>
          <w:tcPr>
            <w:tcW w:w="3775" w:type="dxa"/>
            <w:vAlign w:val="top"/>
          </w:tcPr>
          <w:p w14:paraId="1C15C593" w14:textId="7AD577F7" w:rsidR="00A10CE0" w:rsidRDefault="00A10CE0" w:rsidP="00A10CE0">
            <w:pPr>
              <w:pStyle w:val="Tabletext"/>
            </w:pPr>
            <w:r w:rsidRPr="0012151E">
              <w:t>Bank</w:t>
            </w:r>
          </w:p>
        </w:tc>
      </w:tr>
      <w:tr w:rsidR="00A10CE0" w14:paraId="23E11A93"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3A77B6D3" w14:textId="34F79C0F" w:rsidR="00A10CE0" w:rsidRDefault="00A10CE0" w:rsidP="00A10CE0">
            <w:pPr>
              <w:pStyle w:val="Tabletext"/>
            </w:pPr>
            <w:r w:rsidRPr="0012151E">
              <w:t>Starling Bank Ltd</w:t>
            </w:r>
          </w:p>
        </w:tc>
        <w:tc>
          <w:tcPr>
            <w:tcW w:w="3775" w:type="dxa"/>
            <w:vAlign w:val="top"/>
          </w:tcPr>
          <w:p w14:paraId="1DAD7EAB" w14:textId="12B779ED" w:rsidR="00A10CE0" w:rsidRDefault="00A10CE0" w:rsidP="00A10CE0">
            <w:pPr>
              <w:pStyle w:val="Tabletext"/>
            </w:pPr>
            <w:r w:rsidRPr="0012151E">
              <w:t>Bank</w:t>
            </w:r>
          </w:p>
        </w:tc>
      </w:tr>
      <w:tr w:rsidR="00A10CE0" w14:paraId="558D5639" w14:textId="77777777" w:rsidTr="00E02439">
        <w:tblPrEx>
          <w:tblCellMar>
            <w:left w:w="108" w:type="dxa"/>
            <w:right w:w="108" w:type="dxa"/>
          </w:tblCellMar>
        </w:tblPrEx>
        <w:tc>
          <w:tcPr>
            <w:tcW w:w="6379" w:type="dxa"/>
            <w:vAlign w:val="top"/>
          </w:tcPr>
          <w:p w14:paraId="0DC53293" w14:textId="571E3E38" w:rsidR="00A10CE0" w:rsidRDefault="00A10CE0" w:rsidP="00A10CE0">
            <w:pPr>
              <w:pStyle w:val="Tabletext"/>
            </w:pPr>
            <w:r w:rsidRPr="0012151E">
              <w:t>Triodos Bank UK Ltd</w:t>
            </w:r>
          </w:p>
        </w:tc>
        <w:tc>
          <w:tcPr>
            <w:tcW w:w="3775" w:type="dxa"/>
            <w:vAlign w:val="top"/>
          </w:tcPr>
          <w:p w14:paraId="6131FB94" w14:textId="356BAE46" w:rsidR="00A10CE0" w:rsidRDefault="00A10CE0" w:rsidP="00A10CE0">
            <w:pPr>
              <w:pStyle w:val="Tabletext"/>
            </w:pPr>
            <w:r w:rsidRPr="0012151E">
              <w:t>Bank</w:t>
            </w:r>
          </w:p>
        </w:tc>
      </w:tr>
      <w:tr w:rsidR="00A10CE0" w14:paraId="0A259A33"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2A31B368" w14:textId="277C901C" w:rsidR="00A10CE0" w:rsidRDefault="00A10CE0" w:rsidP="00A10CE0">
            <w:pPr>
              <w:pStyle w:val="Tabletext"/>
            </w:pPr>
            <w:r w:rsidRPr="0012151E">
              <w:t>United Trust Bank Limited</w:t>
            </w:r>
          </w:p>
        </w:tc>
        <w:tc>
          <w:tcPr>
            <w:tcW w:w="3775" w:type="dxa"/>
            <w:vAlign w:val="top"/>
          </w:tcPr>
          <w:p w14:paraId="4FBC696F" w14:textId="6C9AB20C" w:rsidR="00A10CE0" w:rsidRDefault="00A10CE0" w:rsidP="00A10CE0">
            <w:pPr>
              <w:pStyle w:val="Tabletext"/>
            </w:pPr>
            <w:r w:rsidRPr="0012151E">
              <w:t>Bank</w:t>
            </w:r>
          </w:p>
        </w:tc>
      </w:tr>
      <w:tr w:rsidR="00A10CE0" w14:paraId="09B70E91" w14:textId="77777777" w:rsidTr="00E02439">
        <w:tblPrEx>
          <w:tblCellMar>
            <w:left w:w="108" w:type="dxa"/>
            <w:right w:w="108" w:type="dxa"/>
          </w:tblCellMar>
        </w:tblPrEx>
        <w:tc>
          <w:tcPr>
            <w:tcW w:w="6379" w:type="dxa"/>
            <w:vAlign w:val="top"/>
          </w:tcPr>
          <w:p w14:paraId="5F9945F5" w14:textId="59B4A1CA" w:rsidR="00A10CE0" w:rsidRDefault="00A10CE0" w:rsidP="00A10CE0">
            <w:pPr>
              <w:pStyle w:val="Tabletext"/>
            </w:pPr>
            <w:r w:rsidRPr="0012151E">
              <w:t>ABN AMRO Asset Based Finance N.V.</w:t>
            </w:r>
          </w:p>
        </w:tc>
        <w:tc>
          <w:tcPr>
            <w:tcW w:w="3775" w:type="dxa"/>
            <w:vAlign w:val="top"/>
          </w:tcPr>
          <w:p w14:paraId="161DA106" w14:textId="4C962523" w:rsidR="00A10CE0" w:rsidRDefault="00A10CE0" w:rsidP="00A10CE0">
            <w:pPr>
              <w:pStyle w:val="Tabletext"/>
            </w:pPr>
            <w:r w:rsidRPr="0012151E">
              <w:t>Non-bank</w:t>
            </w:r>
          </w:p>
        </w:tc>
      </w:tr>
      <w:tr w:rsidR="00A10CE0" w14:paraId="38BA16FC"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4EB68AAB" w14:textId="0DD0FF03" w:rsidR="00A10CE0" w:rsidRDefault="00A10CE0" w:rsidP="00A10CE0">
            <w:pPr>
              <w:pStyle w:val="Tabletext"/>
            </w:pPr>
            <w:r w:rsidRPr="0012151E">
              <w:t>Arkle Finance Ltd</w:t>
            </w:r>
          </w:p>
        </w:tc>
        <w:tc>
          <w:tcPr>
            <w:tcW w:w="3775" w:type="dxa"/>
            <w:vAlign w:val="top"/>
          </w:tcPr>
          <w:p w14:paraId="4BF2B297" w14:textId="201AF861" w:rsidR="00A10CE0" w:rsidRDefault="00A10CE0" w:rsidP="00A10CE0">
            <w:pPr>
              <w:pStyle w:val="Tabletext"/>
            </w:pPr>
            <w:r w:rsidRPr="0012151E">
              <w:t>Non-bank</w:t>
            </w:r>
          </w:p>
        </w:tc>
      </w:tr>
      <w:tr w:rsidR="00A10CE0" w14:paraId="19A3ADF9" w14:textId="77777777" w:rsidTr="00E02439">
        <w:tblPrEx>
          <w:tblCellMar>
            <w:left w:w="108" w:type="dxa"/>
            <w:right w:w="108" w:type="dxa"/>
          </w:tblCellMar>
        </w:tblPrEx>
        <w:tc>
          <w:tcPr>
            <w:tcW w:w="6379" w:type="dxa"/>
            <w:vAlign w:val="top"/>
          </w:tcPr>
          <w:p w14:paraId="56108A00" w14:textId="543891F3" w:rsidR="00A10CE0" w:rsidRDefault="00A10CE0" w:rsidP="00A10CE0">
            <w:pPr>
              <w:pStyle w:val="Tabletext"/>
            </w:pPr>
            <w:r w:rsidRPr="0012151E">
              <w:t>ART SHARE Limited</w:t>
            </w:r>
          </w:p>
        </w:tc>
        <w:tc>
          <w:tcPr>
            <w:tcW w:w="3775" w:type="dxa"/>
            <w:vAlign w:val="top"/>
          </w:tcPr>
          <w:p w14:paraId="538B14A4" w14:textId="7BA25452" w:rsidR="00A10CE0" w:rsidRDefault="00A10CE0" w:rsidP="00A10CE0">
            <w:pPr>
              <w:pStyle w:val="Tabletext"/>
            </w:pPr>
            <w:r w:rsidRPr="0012151E">
              <w:t>Non-bank</w:t>
            </w:r>
          </w:p>
        </w:tc>
      </w:tr>
      <w:tr w:rsidR="00A10CE0" w14:paraId="6075E15C"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3755ED7E" w14:textId="69B38E6D" w:rsidR="00A10CE0" w:rsidRDefault="00A10CE0" w:rsidP="00A10CE0">
            <w:pPr>
              <w:pStyle w:val="Tabletext"/>
            </w:pPr>
            <w:r w:rsidRPr="0012151E">
              <w:t>Assetz Capital Lending Limited</w:t>
            </w:r>
          </w:p>
        </w:tc>
        <w:tc>
          <w:tcPr>
            <w:tcW w:w="3775" w:type="dxa"/>
            <w:vAlign w:val="top"/>
          </w:tcPr>
          <w:p w14:paraId="7684D1E9" w14:textId="3087E173" w:rsidR="00A10CE0" w:rsidRDefault="00A10CE0" w:rsidP="00A10CE0">
            <w:pPr>
              <w:pStyle w:val="Tabletext"/>
            </w:pPr>
            <w:r w:rsidRPr="0012151E">
              <w:t>Non-bank</w:t>
            </w:r>
          </w:p>
        </w:tc>
      </w:tr>
      <w:tr w:rsidR="00A10CE0" w14:paraId="5C5F985F" w14:textId="77777777" w:rsidTr="00E02439">
        <w:tblPrEx>
          <w:tblCellMar>
            <w:left w:w="108" w:type="dxa"/>
            <w:right w:w="108" w:type="dxa"/>
          </w:tblCellMar>
        </w:tblPrEx>
        <w:tc>
          <w:tcPr>
            <w:tcW w:w="6379" w:type="dxa"/>
            <w:vAlign w:val="top"/>
          </w:tcPr>
          <w:p w14:paraId="2553813B" w14:textId="3DE29034" w:rsidR="00A10CE0" w:rsidRDefault="00A10CE0" w:rsidP="00A10CE0">
            <w:pPr>
              <w:pStyle w:val="Tabletext"/>
            </w:pPr>
            <w:r w:rsidRPr="0012151E">
              <w:t>BCRS Business Loans Ltd</w:t>
            </w:r>
          </w:p>
        </w:tc>
        <w:tc>
          <w:tcPr>
            <w:tcW w:w="3775" w:type="dxa"/>
            <w:vAlign w:val="top"/>
          </w:tcPr>
          <w:p w14:paraId="0F91831D" w14:textId="1A2551EC" w:rsidR="00A10CE0" w:rsidRDefault="00A10CE0" w:rsidP="00A10CE0">
            <w:pPr>
              <w:pStyle w:val="Tabletext"/>
            </w:pPr>
            <w:r w:rsidRPr="0012151E">
              <w:t>Non-bank</w:t>
            </w:r>
          </w:p>
        </w:tc>
      </w:tr>
      <w:tr w:rsidR="00A10CE0" w14:paraId="068A45DF"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5A654E20" w14:textId="403AF940" w:rsidR="00A10CE0" w:rsidRDefault="00A10CE0" w:rsidP="00A10CE0">
            <w:pPr>
              <w:pStyle w:val="Tabletext"/>
            </w:pPr>
            <w:r w:rsidRPr="0012151E">
              <w:t>Business Enterprise Fund</w:t>
            </w:r>
          </w:p>
        </w:tc>
        <w:tc>
          <w:tcPr>
            <w:tcW w:w="3775" w:type="dxa"/>
            <w:vAlign w:val="top"/>
          </w:tcPr>
          <w:p w14:paraId="7B7304C0" w14:textId="5A73FF13" w:rsidR="00A10CE0" w:rsidRDefault="00A10CE0" w:rsidP="00A10CE0">
            <w:pPr>
              <w:pStyle w:val="Tabletext"/>
            </w:pPr>
            <w:r w:rsidRPr="0012151E">
              <w:t>Non-bank</w:t>
            </w:r>
          </w:p>
        </w:tc>
      </w:tr>
      <w:tr w:rsidR="00A10CE0" w14:paraId="1135A164" w14:textId="77777777" w:rsidTr="00E02439">
        <w:tblPrEx>
          <w:tblCellMar>
            <w:left w:w="108" w:type="dxa"/>
            <w:right w:w="108" w:type="dxa"/>
          </w:tblCellMar>
        </w:tblPrEx>
        <w:tc>
          <w:tcPr>
            <w:tcW w:w="6379" w:type="dxa"/>
            <w:vAlign w:val="top"/>
          </w:tcPr>
          <w:p w14:paraId="01A722E7" w14:textId="5C7A3BD9" w:rsidR="00A10CE0" w:rsidRDefault="00A10CE0" w:rsidP="00A10CE0">
            <w:pPr>
              <w:pStyle w:val="Tabletext"/>
            </w:pPr>
            <w:r w:rsidRPr="0012151E">
              <w:t>Business Lending Group</w:t>
            </w:r>
          </w:p>
        </w:tc>
        <w:tc>
          <w:tcPr>
            <w:tcW w:w="3775" w:type="dxa"/>
            <w:vAlign w:val="top"/>
          </w:tcPr>
          <w:p w14:paraId="03F2B5D0" w14:textId="544470D5" w:rsidR="00A10CE0" w:rsidRDefault="00A10CE0" w:rsidP="00A10CE0">
            <w:pPr>
              <w:pStyle w:val="Tabletext"/>
            </w:pPr>
            <w:r w:rsidRPr="0012151E">
              <w:t>Non-bank</w:t>
            </w:r>
          </w:p>
        </w:tc>
      </w:tr>
      <w:tr w:rsidR="00A10CE0" w14:paraId="4531150E"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517D3A79" w14:textId="34AF07B7" w:rsidR="00A10CE0" w:rsidRDefault="00A10CE0" w:rsidP="00A10CE0">
            <w:pPr>
              <w:pStyle w:val="Tabletext"/>
            </w:pPr>
            <w:r w:rsidRPr="0012151E">
              <w:t>Capitalise Business Support Ltd</w:t>
            </w:r>
          </w:p>
        </w:tc>
        <w:tc>
          <w:tcPr>
            <w:tcW w:w="3775" w:type="dxa"/>
            <w:vAlign w:val="top"/>
          </w:tcPr>
          <w:p w14:paraId="4C3916EB" w14:textId="2171AAFF" w:rsidR="00A10CE0" w:rsidRDefault="00A10CE0" w:rsidP="00A10CE0">
            <w:pPr>
              <w:pStyle w:val="Tabletext"/>
            </w:pPr>
            <w:r w:rsidRPr="0012151E">
              <w:t>Non-bank</w:t>
            </w:r>
          </w:p>
        </w:tc>
      </w:tr>
      <w:tr w:rsidR="00A10CE0" w14:paraId="16C72779" w14:textId="77777777" w:rsidTr="00E02439">
        <w:tblPrEx>
          <w:tblCellMar>
            <w:left w:w="108" w:type="dxa"/>
            <w:right w:w="108" w:type="dxa"/>
          </w:tblCellMar>
        </w:tblPrEx>
        <w:tc>
          <w:tcPr>
            <w:tcW w:w="6379" w:type="dxa"/>
            <w:vAlign w:val="top"/>
          </w:tcPr>
          <w:p w14:paraId="07019235" w14:textId="4B6B66D3" w:rsidR="00A10CE0" w:rsidRDefault="00A10CE0" w:rsidP="00A10CE0">
            <w:pPr>
              <w:pStyle w:val="Tabletext"/>
            </w:pPr>
            <w:r w:rsidRPr="0012151E">
              <w:t>Compass Business Finance</w:t>
            </w:r>
          </w:p>
        </w:tc>
        <w:tc>
          <w:tcPr>
            <w:tcW w:w="3775" w:type="dxa"/>
            <w:vAlign w:val="top"/>
          </w:tcPr>
          <w:p w14:paraId="62529FBE" w14:textId="4145EE6D" w:rsidR="00A10CE0" w:rsidRDefault="00A10CE0" w:rsidP="00A10CE0">
            <w:pPr>
              <w:pStyle w:val="Tabletext"/>
            </w:pPr>
            <w:r w:rsidRPr="0012151E">
              <w:t>Non-bank</w:t>
            </w:r>
          </w:p>
        </w:tc>
      </w:tr>
      <w:tr w:rsidR="00A10CE0" w14:paraId="3959F091"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71421290" w14:textId="21EDF1B2" w:rsidR="00A10CE0" w:rsidRDefault="00A10CE0" w:rsidP="00A10CE0">
            <w:pPr>
              <w:pStyle w:val="Tabletext"/>
            </w:pPr>
            <w:r w:rsidRPr="0012151E">
              <w:t>Conister Finance &amp; Leasing Ltd</w:t>
            </w:r>
          </w:p>
        </w:tc>
        <w:tc>
          <w:tcPr>
            <w:tcW w:w="3775" w:type="dxa"/>
            <w:vAlign w:val="top"/>
          </w:tcPr>
          <w:p w14:paraId="0ECF14B4" w14:textId="04E9E87E" w:rsidR="00A10CE0" w:rsidRDefault="00A10CE0" w:rsidP="00A10CE0">
            <w:pPr>
              <w:pStyle w:val="Tabletext"/>
            </w:pPr>
            <w:r w:rsidRPr="0012151E">
              <w:t>Non-bank</w:t>
            </w:r>
          </w:p>
        </w:tc>
      </w:tr>
      <w:tr w:rsidR="00A10CE0" w14:paraId="1AE51F21" w14:textId="77777777" w:rsidTr="00E02439">
        <w:tblPrEx>
          <w:tblCellMar>
            <w:left w:w="108" w:type="dxa"/>
            <w:right w:w="108" w:type="dxa"/>
          </w:tblCellMar>
        </w:tblPrEx>
        <w:tc>
          <w:tcPr>
            <w:tcW w:w="6379" w:type="dxa"/>
            <w:vAlign w:val="top"/>
          </w:tcPr>
          <w:p w14:paraId="4A6EC6D6" w14:textId="52FD2C84" w:rsidR="00A10CE0" w:rsidRDefault="00A10CE0" w:rsidP="00A10CE0">
            <w:pPr>
              <w:pStyle w:val="Tabletext"/>
            </w:pPr>
            <w:r w:rsidRPr="0012151E">
              <w:t>Coventry &amp; Warwickshire Reinvestment Trust Ltd</w:t>
            </w:r>
          </w:p>
        </w:tc>
        <w:tc>
          <w:tcPr>
            <w:tcW w:w="3775" w:type="dxa"/>
            <w:vAlign w:val="top"/>
          </w:tcPr>
          <w:p w14:paraId="16CEE99E" w14:textId="01C09F01" w:rsidR="00A10CE0" w:rsidRDefault="00A10CE0" w:rsidP="00A10CE0">
            <w:pPr>
              <w:pStyle w:val="Tabletext"/>
            </w:pPr>
            <w:r w:rsidRPr="0012151E">
              <w:t>Non-bank</w:t>
            </w:r>
          </w:p>
        </w:tc>
      </w:tr>
      <w:tr w:rsidR="00A10CE0" w14:paraId="7852ED4E"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62E7E876" w14:textId="68D05166" w:rsidR="00A10CE0" w:rsidRDefault="00A10CE0" w:rsidP="00A10CE0">
            <w:pPr>
              <w:pStyle w:val="Tabletext"/>
            </w:pPr>
            <w:r w:rsidRPr="0012151E">
              <w:t>DSL Business Finance</w:t>
            </w:r>
          </w:p>
        </w:tc>
        <w:tc>
          <w:tcPr>
            <w:tcW w:w="3775" w:type="dxa"/>
            <w:vAlign w:val="top"/>
          </w:tcPr>
          <w:p w14:paraId="75CDEEE6" w14:textId="0154B77D" w:rsidR="00A10CE0" w:rsidRDefault="00A10CE0" w:rsidP="00A10CE0">
            <w:pPr>
              <w:pStyle w:val="Tabletext"/>
            </w:pPr>
            <w:r w:rsidRPr="0012151E">
              <w:t>Non-bank</w:t>
            </w:r>
          </w:p>
        </w:tc>
      </w:tr>
      <w:tr w:rsidR="00A10CE0" w14:paraId="62F0D8EF" w14:textId="77777777" w:rsidTr="00E02439">
        <w:tblPrEx>
          <w:tblCellMar>
            <w:left w:w="108" w:type="dxa"/>
            <w:right w:w="108" w:type="dxa"/>
          </w:tblCellMar>
        </w:tblPrEx>
        <w:tc>
          <w:tcPr>
            <w:tcW w:w="6379" w:type="dxa"/>
            <w:vAlign w:val="top"/>
          </w:tcPr>
          <w:p w14:paraId="2066BE00" w14:textId="6BBAFFCA" w:rsidR="00A10CE0" w:rsidRDefault="00A10CE0" w:rsidP="00A10CE0">
            <w:pPr>
              <w:pStyle w:val="Tabletext"/>
            </w:pPr>
            <w:r w:rsidRPr="0012151E">
              <w:t>Ebury Partners UK Ltd</w:t>
            </w:r>
          </w:p>
        </w:tc>
        <w:tc>
          <w:tcPr>
            <w:tcW w:w="3775" w:type="dxa"/>
            <w:vAlign w:val="top"/>
          </w:tcPr>
          <w:p w14:paraId="2093D8CC" w14:textId="7193C818" w:rsidR="00A10CE0" w:rsidRDefault="00A10CE0" w:rsidP="00A10CE0">
            <w:pPr>
              <w:pStyle w:val="Tabletext"/>
            </w:pPr>
            <w:r w:rsidRPr="0012151E">
              <w:t>Non-bank</w:t>
            </w:r>
          </w:p>
        </w:tc>
      </w:tr>
      <w:tr w:rsidR="00A10CE0" w14:paraId="72BC7097"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49D46263" w14:textId="6F78379C" w:rsidR="00A10CE0" w:rsidRDefault="00A10CE0" w:rsidP="00A10CE0">
            <w:pPr>
              <w:pStyle w:val="Tabletext"/>
            </w:pPr>
            <w:r w:rsidRPr="0012151E">
              <w:t>Enterprise Answers</w:t>
            </w:r>
          </w:p>
        </w:tc>
        <w:tc>
          <w:tcPr>
            <w:tcW w:w="3775" w:type="dxa"/>
            <w:vAlign w:val="top"/>
          </w:tcPr>
          <w:p w14:paraId="73CF4CA6" w14:textId="6BB8A11D" w:rsidR="00A10CE0" w:rsidRDefault="00A10CE0" w:rsidP="00A10CE0">
            <w:pPr>
              <w:pStyle w:val="Tabletext"/>
            </w:pPr>
            <w:r w:rsidRPr="0012151E">
              <w:t>Non-bank</w:t>
            </w:r>
          </w:p>
        </w:tc>
      </w:tr>
      <w:tr w:rsidR="00A10CE0" w14:paraId="7FE449C4" w14:textId="77777777" w:rsidTr="00E02439">
        <w:tblPrEx>
          <w:tblCellMar>
            <w:left w:w="108" w:type="dxa"/>
            <w:right w:w="108" w:type="dxa"/>
          </w:tblCellMar>
        </w:tblPrEx>
        <w:tc>
          <w:tcPr>
            <w:tcW w:w="6379" w:type="dxa"/>
            <w:vAlign w:val="top"/>
          </w:tcPr>
          <w:p w14:paraId="42384D76" w14:textId="3A440334" w:rsidR="00A10CE0" w:rsidRDefault="00A10CE0" w:rsidP="00A10CE0">
            <w:pPr>
              <w:pStyle w:val="Tabletext"/>
            </w:pPr>
            <w:r w:rsidRPr="0012151E">
              <w:t>Enterprise Loans East Midlands</w:t>
            </w:r>
          </w:p>
        </w:tc>
        <w:tc>
          <w:tcPr>
            <w:tcW w:w="3775" w:type="dxa"/>
            <w:vAlign w:val="top"/>
          </w:tcPr>
          <w:p w14:paraId="05008468" w14:textId="00D6475C" w:rsidR="00A10CE0" w:rsidRDefault="00A10CE0" w:rsidP="00A10CE0">
            <w:pPr>
              <w:pStyle w:val="Tabletext"/>
            </w:pPr>
            <w:r w:rsidRPr="0012151E">
              <w:t>Non-bank</w:t>
            </w:r>
          </w:p>
        </w:tc>
      </w:tr>
      <w:tr w:rsidR="00A10CE0" w14:paraId="61AF2FB2"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73EEE90C" w14:textId="55BCBF13" w:rsidR="00A10CE0" w:rsidRDefault="00A10CE0" w:rsidP="00A10CE0">
            <w:pPr>
              <w:pStyle w:val="Tabletext"/>
            </w:pPr>
            <w:r w:rsidRPr="0012151E">
              <w:t>EVBL (General Partner NPIF Y&amp;H Debt) Limited</w:t>
            </w:r>
          </w:p>
        </w:tc>
        <w:tc>
          <w:tcPr>
            <w:tcW w:w="3775" w:type="dxa"/>
            <w:vAlign w:val="top"/>
          </w:tcPr>
          <w:p w14:paraId="2F6F7383" w14:textId="488418CF" w:rsidR="00A10CE0" w:rsidRDefault="00A10CE0" w:rsidP="00A10CE0">
            <w:pPr>
              <w:pStyle w:val="Tabletext"/>
            </w:pPr>
            <w:r w:rsidRPr="0012151E">
              <w:t>Non-bank</w:t>
            </w:r>
          </w:p>
        </w:tc>
      </w:tr>
      <w:tr w:rsidR="00A10CE0" w14:paraId="5AA3250E" w14:textId="77777777" w:rsidTr="00E02439">
        <w:tblPrEx>
          <w:tblCellMar>
            <w:left w:w="108" w:type="dxa"/>
            <w:right w:w="108" w:type="dxa"/>
          </w:tblCellMar>
        </w:tblPrEx>
        <w:tc>
          <w:tcPr>
            <w:tcW w:w="6379" w:type="dxa"/>
            <w:vAlign w:val="top"/>
          </w:tcPr>
          <w:p w14:paraId="18C5A7F8" w14:textId="37CA6E0F" w:rsidR="00A10CE0" w:rsidRDefault="00A10CE0" w:rsidP="00A10CE0">
            <w:pPr>
              <w:pStyle w:val="Tabletext"/>
            </w:pPr>
            <w:r w:rsidRPr="0012151E">
              <w:t>Fiduciam Nominees Limited</w:t>
            </w:r>
          </w:p>
        </w:tc>
        <w:tc>
          <w:tcPr>
            <w:tcW w:w="3775" w:type="dxa"/>
            <w:vAlign w:val="top"/>
          </w:tcPr>
          <w:p w14:paraId="71C98293" w14:textId="112205F1" w:rsidR="00A10CE0" w:rsidRDefault="00A10CE0" w:rsidP="00A10CE0">
            <w:pPr>
              <w:pStyle w:val="Tabletext"/>
            </w:pPr>
            <w:r w:rsidRPr="0012151E">
              <w:t>Non-bank</w:t>
            </w:r>
          </w:p>
        </w:tc>
      </w:tr>
      <w:tr w:rsidR="00A10CE0" w14:paraId="71591227"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3FD17A67" w14:textId="64F7A5A2" w:rsidR="00A10CE0" w:rsidRDefault="00A10CE0" w:rsidP="00A10CE0">
            <w:pPr>
              <w:pStyle w:val="Tabletext"/>
            </w:pPr>
            <w:r w:rsidRPr="0012151E">
              <w:t>Finance for Enterprise</w:t>
            </w:r>
          </w:p>
        </w:tc>
        <w:tc>
          <w:tcPr>
            <w:tcW w:w="3775" w:type="dxa"/>
            <w:vAlign w:val="top"/>
          </w:tcPr>
          <w:p w14:paraId="6251A5F8" w14:textId="3092901C" w:rsidR="00A10CE0" w:rsidRDefault="00A10CE0" w:rsidP="00A10CE0">
            <w:pPr>
              <w:pStyle w:val="Tabletext"/>
            </w:pPr>
            <w:r w:rsidRPr="0012151E">
              <w:t>Non-bank</w:t>
            </w:r>
          </w:p>
        </w:tc>
      </w:tr>
      <w:tr w:rsidR="00A10CE0" w14:paraId="2783EB5A" w14:textId="77777777" w:rsidTr="00E02439">
        <w:tblPrEx>
          <w:tblCellMar>
            <w:left w:w="108" w:type="dxa"/>
            <w:right w:w="108" w:type="dxa"/>
          </w:tblCellMar>
        </w:tblPrEx>
        <w:tc>
          <w:tcPr>
            <w:tcW w:w="6379" w:type="dxa"/>
            <w:vAlign w:val="top"/>
          </w:tcPr>
          <w:p w14:paraId="011A5410" w14:textId="79F5E475" w:rsidR="00A10CE0" w:rsidRDefault="00A10CE0" w:rsidP="00A10CE0">
            <w:pPr>
              <w:pStyle w:val="Tabletext"/>
            </w:pPr>
            <w:r w:rsidRPr="0012151E">
              <w:t>FSE GLIF LD LP</w:t>
            </w:r>
          </w:p>
        </w:tc>
        <w:tc>
          <w:tcPr>
            <w:tcW w:w="3775" w:type="dxa"/>
            <w:vAlign w:val="top"/>
          </w:tcPr>
          <w:p w14:paraId="6A17A0E2" w14:textId="3ED6CE16" w:rsidR="00A10CE0" w:rsidRDefault="00A10CE0" w:rsidP="00A10CE0">
            <w:pPr>
              <w:pStyle w:val="Tabletext"/>
            </w:pPr>
            <w:r w:rsidRPr="0012151E">
              <w:t>Non-bank</w:t>
            </w:r>
          </w:p>
        </w:tc>
      </w:tr>
      <w:tr w:rsidR="00A10CE0" w14:paraId="22622919"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0AE89432" w14:textId="26F42160" w:rsidR="00A10CE0" w:rsidRDefault="00A10CE0" w:rsidP="00A10CE0">
            <w:pPr>
              <w:pStyle w:val="Tabletext"/>
            </w:pPr>
            <w:r w:rsidRPr="0012151E">
              <w:t>FSE GLIF SD LP</w:t>
            </w:r>
          </w:p>
        </w:tc>
        <w:tc>
          <w:tcPr>
            <w:tcW w:w="3775" w:type="dxa"/>
            <w:vAlign w:val="top"/>
          </w:tcPr>
          <w:p w14:paraId="1789F3FF" w14:textId="424EA1A1" w:rsidR="00A10CE0" w:rsidRDefault="00A10CE0" w:rsidP="00A10CE0">
            <w:pPr>
              <w:pStyle w:val="Tabletext"/>
            </w:pPr>
            <w:r w:rsidRPr="0012151E">
              <w:t>Non-bank</w:t>
            </w:r>
          </w:p>
        </w:tc>
      </w:tr>
      <w:tr w:rsidR="00A10CE0" w14:paraId="2E785379" w14:textId="77777777" w:rsidTr="00E02439">
        <w:tblPrEx>
          <w:tblCellMar>
            <w:left w:w="108" w:type="dxa"/>
            <w:right w:w="108" w:type="dxa"/>
          </w:tblCellMar>
        </w:tblPrEx>
        <w:tc>
          <w:tcPr>
            <w:tcW w:w="6379" w:type="dxa"/>
            <w:vAlign w:val="top"/>
          </w:tcPr>
          <w:p w14:paraId="2ACF650C" w14:textId="5CFC5761" w:rsidR="00A10CE0" w:rsidRDefault="00A10CE0" w:rsidP="00A10CE0">
            <w:pPr>
              <w:pStyle w:val="Tabletext"/>
            </w:pPr>
            <w:r w:rsidRPr="0012151E">
              <w:t>FSE MEIF LP</w:t>
            </w:r>
          </w:p>
        </w:tc>
        <w:tc>
          <w:tcPr>
            <w:tcW w:w="3775" w:type="dxa"/>
            <w:vAlign w:val="top"/>
          </w:tcPr>
          <w:p w14:paraId="71644357" w14:textId="5CF082DF" w:rsidR="00A10CE0" w:rsidRDefault="00A10CE0" w:rsidP="00A10CE0">
            <w:pPr>
              <w:pStyle w:val="Tabletext"/>
            </w:pPr>
            <w:r w:rsidRPr="0012151E">
              <w:t>Non-bank</w:t>
            </w:r>
          </w:p>
        </w:tc>
      </w:tr>
      <w:tr w:rsidR="00A10CE0" w14:paraId="6BFC7D70"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59270DF7" w14:textId="552D28DC" w:rsidR="00A10CE0" w:rsidRDefault="00A10CE0" w:rsidP="00A10CE0">
            <w:pPr>
              <w:pStyle w:val="Tabletext"/>
            </w:pPr>
            <w:r w:rsidRPr="0012151E">
              <w:t>Funding Circle</w:t>
            </w:r>
          </w:p>
        </w:tc>
        <w:tc>
          <w:tcPr>
            <w:tcW w:w="3775" w:type="dxa"/>
            <w:vAlign w:val="top"/>
          </w:tcPr>
          <w:p w14:paraId="4A4FA1BC" w14:textId="45A5E812" w:rsidR="00A10CE0" w:rsidRDefault="00A10CE0" w:rsidP="00A10CE0">
            <w:pPr>
              <w:pStyle w:val="Tabletext"/>
            </w:pPr>
            <w:r w:rsidRPr="0012151E">
              <w:t>Non-bank</w:t>
            </w:r>
          </w:p>
        </w:tc>
      </w:tr>
      <w:tr w:rsidR="00A10CE0" w14:paraId="77C6139D" w14:textId="77777777" w:rsidTr="00E02439">
        <w:tblPrEx>
          <w:tblCellMar>
            <w:left w:w="108" w:type="dxa"/>
            <w:right w:w="108" w:type="dxa"/>
          </w:tblCellMar>
        </w:tblPrEx>
        <w:tc>
          <w:tcPr>
            <w:tcW w:w="6379" w:type="dxa"/>
            <w:vAlign w:val="top"/>
          </w:tcPr>
          <w:p w14:paraId="50653137" w14:textId="57A022D1" w:rsidR="00A10CE0" w:rsidRDefault="00A10CE0" w:rsidP="00A10CE0">
            <w:pPr>
              <w:pStyle w:val="Tabletext"/>
            </w:pPr>
            <w:r w:rsidRPr="0012151E">
              <w:t>GC Business Finance</w:t>
            </w:r>
          </w:p>
        </w:tc>
        <w:tc>
          <w:tcPr>
            <w:tcW w:w="3775" w:type="dxa"/>
            <w:vAlign w:val="top"/>
          </w:tcPr>
          <w:p w14:paraId="551DEAD0" w14:textId="16DA3D5C" w:rsidR="00A10CE0" w:rsidRDefault="00A10CE0" w:rsidP="00A10CE0">
            <w:pPr>
              <w:pStyle w:val="Tabletext"/>
            </w:pPr>
            <w:r w:rsidRPr="0012151E">
              <w:t>Non-bank</w:t>
            </w:r>
          </w:p>
        </w:tc>
      </w:tr>
      <w:tr w:rsidR="00A10CE0" w14:paraId="6A52C988"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04EB5703" w14:textId="549B8DC9" w:rsidR="00A10CE0" w:rsidRDefault="00A10CE0" w:rsidP="00A10CE0">
            <w:pPr>
              <w:pStyle w:val="Tabletext"/>
            </w:pPr>
            <w:r w:rsidRPr="0012151E">
              <w:t>Genesis Asset Finance Ltd</w:t>
            </w:r>
          </w:p>
        </w:tc>
        <w:tc>
          <w:tcPr>
            <w:tcW w:w="3775" w:type="dxa"/>
            <w:vAlign w:val="top"/>
          </w:tcPr>
          <w:p w14:paraId="5375D3FF" w14:textId="72008B24" w:rsidR="00A10CE0" w:rsidRDefault="00A10CE0" w:rsidP="00A10CE0">
            <w:pPr>
              <w:pStyle w:val="Tabletext"/>
            </w:pPr>
            <w:r w:rsidRPr="0012151E">
              <w:t>Non-bank</w:t>
            </w:r>
          </w:p>
        </w:tc>
      </w:tr>
      <w:tr w:rsidR="00A10CE0" w14:paraId="1587A1DA" w14:textId="77777777" w:rsidTr="00E02439">
        <w:tblPrEx>
          <w:tblCellMar>
            <w:left w:w="108" w:type="dxa"/>
            <w:right w:w="108" w:type="dxa"/>
          </w:tblCellMar>
        </w:tblPrEx>
        <w:tc>
          <w:tcPr>
            <w:tcW w:w="6379" w:type="dxa"/>
            <w:vAlign w:val="top"/>
          </w:tcPr>
          <w:p w14:paraId="050A55D4" w14:textId="79145DCB" w:rsidR="00A10CE0" w:rsidRDefault="00A10CE0" w:rsidP="00A10CE0">
            <w:pPr>
              <w:pStyle w:val="Tabletext"/>
            </w:pPr>
            <w:r w:rsidRPr="0012151E">
              <w:t>Growth Lending Group Ltd</w:t>
            </w:r>
          </w:p>
        </w:tc>
        <w:tc>
          <w:tcPr>
            <w:tcW w:w="3775" w:type="dxa"/>
            <w:vAlign w:val="top"/>
          </w:tcPr>
          <w:p w14:paraId="788B5D4F" w14:textId="62DA48DB" w:rsidR="00A10CE0" w:rsidRDefault="00A10CE0" w:rsidP="00A10CE0">
            <w:pPr>
              <w:pStyle w:val="Tabletext"/>
            </w:pPr>
            <w:r w:rsidRPr="0012151E">
              <w:t>Non-bank</w:t>
            </w:r>
          </w:p>
        </w:tc>
      </w:tr>
      <w:tr w:rsidR="00A10CE0" w14:paraId="1A2B6247"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0F58EF4E" w14:textId="6ABBC3BD" w:rsidR="00A10CE0" w:rsidRDefault="00A10CE0" w:rsidP="00A10CE0">
            <w:pPr>
              <w:pStyle w:val="Tabletext"/>
            </w:pPr>
            <w:r w:rsidRPr="0012151E">
              <w:t>Haydock Finance</w:t>
            </w:r>
          </w:p>
        </w:tc>
        <w:tc>
          <w:tcPr>
            <w:tcW w:w="3775" w:type="dxa"/>
            <w:vAlign w:val="top"/>
          </w:tcPr>
          <w:p w14:paraId="61E14545" w14:textId="3433820C" w:rsidR="00A10CE0" w:rsidRDefault="00A10CE0" w:rsidP="00A10CE0">
            <w:pPr>
              <w:pStyle w:val="Tabletext"/>
            </w:pPr>
            <w:r w:rsidRPr="0012151E">
              <w:t>Non-bank</w:t>
            </w:r>
          </w:p>
        </w:tc>
      </w:tr>
      <w:tr w:rsidR="00A10CE0" w14:paraId="67821CB9" w14:textId="77777777" w:rsidTr="00E02439">
        <w:tblPrEx>
          <w:tblCellMar>
            <w:left w:w="108" w:type="dxa"/>
            <w:right w:w="108" w:type="dxa"/>
          </w:tblCellMar>
        </w:tblPrEx>
        <w:tc>
          <w:tcPr>
            <w:tcW w:w="6379" w:type="dxa"/>
            <w:vAlign w:val="top"/>
          </w:tcPr>
          <w:p w14:paraId="0D65FB16" w14:textId="19B42113" w:rsidR="00A10CE0" w:rsidRDefault="00A10CE0" w:rsidP="00A10CE0">
            <w:pPr>
              <w:pStyle w:val="Tabletext"/>
            </w:pPr>
            <w:r w:rsidRPr="0012151E">
              <w:t>Independent Growth Finance Ltd</w:t>
            </w:r>
          </w:p>
        </w:tc>
        <w:tc>
          <w:tcPr>
            <w:tcW w:w="3775" w:type="dxa"/>
            <w:vAlign w:val="top"/>
          </w:tcPr>
          <w:p w14:paraId="1C5E44CD" w14:textId="1FDE07FC" w:rsidR="00A10CE0" w:rsidRDefault="00A10CE0" w:rsidP="00A10CE0">
            <w:pPr>
              <w:pStyle w:val="Tabletext"/>
            </w:pPr>
            <w:r w:rsidRPr="0012151E">
              <w:t>Non-bank</w:t>
            </w:r>
          </w:p>
        </w:tc>
      </w:tr>
      <w:tr w:rsidR="00A10CE0" w14:paraId="30253AA1"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0594E484" w14:textId="44DF62B5" w:rsidR="00A10CE0" w:rsidRDefault="00A10CE0" w:rsidP="00A10CE0">
            <w:pPr>
              <w:pStyle w:val="Tabletext"/>
            </w:pPr>
            <w:r w:rsidRPr="0012151E">
              <w:t>InterBay Asset Finance Limited</w:t>
            </w:r>
          </w:p>
        </w:tc>
        <w:tc>
          <w:tcPr>
            <w:tcW w:w="3775" w:type="dxa"/>
            <w:vAlign w:val="top"/>
          </w:tcPr>
          <w:p w14:paraId="3C0F405E" w14:textId="4D83EDCB" w:rsidR="00A10CE0" w:rsidRDefault="00A10CE0" w:rsidP="00A10CE0">
            <w:pPr>
              <w:pStyle w:val="Tabletext"/>
            </w:pPr>
            <w:r w:rsidRPr="0012151E">
              <w:t>Non-bank</w:t>
            </w:r>
          </w:p>
        </w:tc>
      </w:tr>
      <w:tr w:rsidR="00A10CE0" w14:paraId="12405056" w14:textId="77777777" w:rsidTr="00E02439">
        <w:tblPrEx>
          <w:tblCellMar>
            <w:left w:w="108" w:type="dxa"/>
            <w:right w:w="108" w:type="dxa"/>
          </w:tblCellMar>
        </w:tblPrEx>
        <w:tc>
          <w:tcPr>
            <w:tcW w:w="6379" w:type="dxa"/>
            <w:vAlign w:val="top"/>
          </w:tcPr>
          <w:p w14:paraId="1F46FC38" w14:textId="071F8C03" w:rsidR="00A10CE0" w:rsidRDefault="00A10CE0" w:rsidP="00A10CE0">
            <w:pPr>
              <w:pStyle w:val="Tabletext"/>
            </w:pPr>
            <w:r w:rsidRPr="0012151E">
              <w:t>Iwoca Limited</w:t>
            </w:r>
          </w:p>
        </w:tc>
        <w:tc>
          <w:tcPr>
            <w:tcW w:w="3775" w:type="dxa"/>
            <w:vAlign w:val="top"/>
          </w:tcPr>
          <w:p w14:paraId="0146BFFF" w14:textId="3FADF2CC" w:rsidR="00A10CE0" w:rsidRDefault="00A10CE0" w:rsidP="00A10CE0">
            <w:pPr>
              <w:pStyle w:val="Tabletext"/>
            </w:pPr>
            <w:r w:rsidRPr="0012151E">
              <w:t>Non-bank</w:t>
            </w:r>
          </w:p>
        </w:tc>
      </w:tr>
      <w:tr w:rsidR="00A10CE0" w14:paraId="681F19FF"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4856BDA6" w14:textId="51DF8AA2" w:rsidR="00A10CE0" w:rsidRDefault="00A10CE0" w:rsidP="00A10CE0">
            <w:pPr>
              <w:pStyle w:val="Tabletext"/>
            </w:pPr>
            <w:r w:rsidRPr="0012151E">
              <w:t>Kingsway Finance group</w:t>
            </w:r>
          </w:p>
        </w:tc>
        <w:tc>
          <w:tcPr>
            <w:tcW w:w="3775" w:type="dxa"/>
            <w:vAlign w:val="top"/>
          </w:tcPr>
          <w:p w14:paraId="42B65672" w14:textId="0E36C2E8" w:rsidR="00A10CE0" w:rsidRDefault="00A10CE0" w:rsidP="00A10CE0">
            <w:pPr>
              <w:pStyle w:val="Tabletext"/>
            </w:pPr>
            <w:r w:rsidRPr="0012151E">
              <w:t>Non-bank</w:t>
            </w:r>
          </w:p>
        </w:tc>
      </w:tr>
      <w:tr w:rsidR="00A10CE0" w14:paraId="431A61C2" w14:textId="77777777" w:rsidTr="00E02439">
        <w:tblPrEx>
          <w:tblCellMar>
            <w:left w:w="108" w:type="dxa"/>
            <w:right w:w="108" w:type="dxa"/>
          </w:tblCellMar>
        </w:tblPrEx>
        <w:tc>
          <w:tcPr>
            <w:tcW w:w="6379" w:type="dxa"/>
            <w:vAlign w:val="top"/>
          </w:tcPr>
          <w:p w14:paraId="0C352986" w14:textId="0AB6E239" w:rsidR="00A10CE0" w:rsidRDefault="00A10CE0" w:rsidP="00A10CE0">
            <w:pPr>
              <w:pStyle w:val="Tabletext"/>
            </w:pPr>
            <w:r w:rsidRPr="0012151E">
              <w:t>Kriya Finance (Formerly MarketFinance)</w:t>
            </w:r>
          </w:p>
        </w:tc>
        <w:tc>
          <w:tcPr>
            <w:tcW w:w="3775" w:type="dxa"/>
            <w:vAlign w:val="top"/>
          </w:tcPr>
          <w:p w14:paraId="6E86C402" w14:textId="770114C7" w:rsidR="00A10CE0" w:rsidRDefault="00A10CE0" w:rsidP="00A10CE0">
            <w:pPr>
              <w:pStyle w:val="Tabletext"/>
            </w:pPr>
            <w:r w:rsidRPr="0012151E">
              <w:t>Non-bank</w:t>
            </w:r>
          </w:p>
        </w:tc>
      </w:tr>
      <w:tr w:rsidR="00A10CE0" w14:paraId="7C2B05F7"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2EFEA2AE" w14:textId="33E8B257" w:rsidR="00A10CE0" w:rsidRDefault="00A10CE0" w:rsidP="00A10CE0">
            <w:pPr>
              <w:pStyle w:val="Tabletext"/>
            </w:pPr>
            <w:r w:rsidRPr="0012151E">
              <w:t>MEIF - ESEM SBL LP</w:t>
            </w:r>
          </w:p>
        </w:tc>
        <w:tc>
          <w:tcPr>
            <w:tcW w:w="3775" w:type="dxa"/>
            <w:vAlign w:val="top"/>
          </w:tcPr>
          <w:p w14:paraId="79B3A76D" w14:textId="6C2B99D5" w:rsidR="00A10CE0" w:rsidRDefault="00A10CE0" w:rsidP="00A10CE0">
            <w:pPr>
              <w:pStyle w:val="Tabletext"/>
            </w:pPr>
            <w:r w:rsidRPr="0012151E">
              <w:t>Non-bank</w:t>
            </w:r>
          </w:p>
        </w:tc>
      </w:tr>
      <w:tr w:rsidR="00A10CE0" w14:paraId="042FE578" w14:textId="77777777" w:rsidTr="00E02439">
        <w:tblPrEx>
          <w:tblCellMar>
            <w:left w:w="108" w:type="dxa"/>
            <w:right w:w="108" w:type="dxa"/>
          </w:tblCellMar>
        </w:tblPrEx>
        <w:tc>
          <w:tcPr>
            <w:tcW w:w="6379" w:type="dxa"/>
            <w:vAlign w:val="top"/>
          </w:tcPr>
          <w:p w14:paraId="1990E139" w14:textId="60DCE95B" w:rsidR="00A10CE0" w:rsidRDefault="00A10CE0" w:rsidP="00A10CE0">
            <w:pPr>
              <w:pStyle w:val="Tabletext"/>
            </w:pPr>
            <w:r w:rsidRPr="0012151E">
              <w:t>MEIF - Maven East and South East Midlands</w:t>
            </w:r>
          </w:p>
        </w:tc>
        <w:tc>
          <w:tcPr>
            <w:tcW w:w="3775" w:type="dxa"/>
            <w:vAlign w:val="top"/>
          </w:tcPr>
          <w:p w14:paraId="661D115C" w14:textId="42EFFD82" w:rsidR="00A10CE0" w:rsidRDefault="00A10CE0" w:rsidP="00A10CE0">
            <w:pPr>
              <w:pStyle w:val="Tabletext"/>
            </w:pPr>
            <w:r w:rsidRPr="0012151E">
              <w:t>Non-bank</w:t>
            </w:r>
          </w:p>
        </w:tc>
      </w:tr>
      <w:tr w:rsidR="00A10CE0" w14:paraId="36664E4B"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3C82E76A" w14:textId="2BCFFEB7" w:rsidR="00A10CE0" w:rsidRDefault="00A10CE0" w:rsidP="00A10CE0">
            <w:pPr>
              <w:pStyle w:val="Tabletext"/>
            </w:pPr>
            <w:r w:rsidRPr="0012151E">
              <w:t>MEIF - Maven West Midlands</w:t>
            </w:r>
          </w:p>
        </w:tc>
        <w:tc>
          <w:tcPr>
            <w:tcW w:w="3775" w:type="dxa"/>
            <w:vAlign w:val="top"/>
          </w:tcPr>
          <w:p w14:paraId="04F4978A" w14:textId="67496DEA" w:rsidR="00A10CE0" w:rsidRDefault="00A10CE0" w:rsidP="00A10CE0">
            <w:pPr>
              <w:pStyle w:val="Tabletext"/>
            </w:pPr>
            <w:r w:rsidRPr="0012151E">
              <w:t>Non-bank</w:t>
            </w:r>
          </w:p>
        </w:tc>
      </w:tr>
      <w:tr w:rsidR="00A10CE0" w14:paraId="14743A81" w14:textId="77777777" w:rsidTr="00E02439">
        <w:tblPrEx>
          <w:tblCellMar>
            <w:left w:w="108" w:type="dxa"/>
            <w:right w:w="108" w:type="dxa"/>
          </w:tblCellMar>
        </w:tblPrEx>
        <w:tc>
          <w:tcPr>
            <w:tcW w:w="6379" w:type="dxa"/>
            <w:vAlign w:val="top"/>
          </w:tcPr>
          <w:p w14:paraId="0DD65FD4" w14:textId="26B70C5B" w:rsidR="00A10CE0" w:rsidRDefault="00A10CE0" w:rsidP="00A10CE0">
            <w:pPr>
              <w:pStyle w:val="Tabletext"/>
            </w:pPr>
            <w:r w:rsidRPr="0012151E">
              <w:t>MEIF - WM SBL LP</w:t>
            </w:r>
          </w:p>
        </w:tc>
        <w:tc>
          <w:tcPr>
            <w:tcW w:w="3775" w:type="dxa"/>
            <w:vAlign w:val="top"/>
          </w:tcPr>
          <w:p w14:paraId="7426ED8D" w14:textId="40AFE3C1" w:rsidR="00A10CE0" w:rsidRDefault="00A10CE0" w:rsidP="00A10CE0">
            <w:pPr>
              <w:pStyle w:val="Tabletext"/>
            </w:pPr>
            <w:r w:rsidRPr="0012151E">
              <w:t>Non-bank</w:t>
            </w:r>
          </w:p>
        </w:tc>
      </w:tr>
      <w:tr w:rsidR="00A10CE0" w14:paraId="513AD7EE"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49F51924" w14:textId="22114C99" w:rsidR="00A10CE0" w:rsidRDefault="00A10CE0" w:rsidP="00A10CE0">
            <w:pPr>
              <w:pStyle w:val="Tabletext"/>
            </w:pPr>
            <w:r w:rsidRPr="0012151E">
              <w:t>NE Growth (ERDF) General Partner Ltd</w:t>
            </w:r>
          </w:p>
        </w:tc>
        <w:tc>
          <w:tcPr>
            <w:tcW w:w="3775" w:type="dxa"/>
            <w:vAlign w:val="top"/>
          </w:tcPr>
          <w:p w14:paraId="5AD24F58" w14:textId="44EBC0B8" w:rsidR="00A10CE0" w:rsidRDefault="00A10CE0" w:rsidP="00A10CE0">
            <w:pPr>
              <w:pStyle w:val="Tabletext"/>
            </w:pPr>
            <w:r w:rsidRPr="0012151E">
              <w:t>Non-bank</w:t>
            </w:r>
          </w:p>
        </w:tc>
      </w:tr>
      <w:tr w:rsidR="00A10CE0" w14:paraId="4C5B0D0B" w14:textId="77777777" w:rsidTr="00E02439">
        <w:tblPrEx>
          <w:tblCellMar>
            <w:left w:w="108" w:type="dxa"/>
            <w:right w:w="108" w:type="dxa"/>
          </w:tblCellMar>
        </w:tblPrEx>
        <w:tc>
          <w:tcPr>
            <w:tcW w:w="6379" w:type="dxa"/>
            <w:vAlign w:val="top"/>
          </w:tcPr>
          <w:p w14:paraId="597AB40E" w14:textId="360DD4E0" w:rsidR="00A10CE0" w:rsidRDefault="00A10CE0" w:rsidP="00A10CE0">
            <w:pPr>
              <w:pStyle w:val="Tabletext"/>
            </w:pPr>
            <w:r w:rsidRPr="0012151E">
              <w:t>Newable Business Loans Ltd</w:t>
            </w:r>
          </w:p>
        </w:tc>
        <w:tc>
          <w:tcPr>
            <w:tcW w:w="3775" w:type="dxa"/>
            <w:vAlign w:val="top"/>
          </w:tcPr>
          <w:p w14:paraId="535A5AD2" w14:textId="67760F13" w:rsidR="00A10CE0" w:rsidRDefault="00A10CE0" w:rsidP="00A10CE0">
            <w:pPr>
              <w:pStyle w:val="Tabletext"/>
            </w:pPr>
            <w:r w:rsidRPr="0012151E">
              <w:t>Non-bank</w:t>
            </w:r>
          </w:p>
        </w:tc>
      </w:tr>
      <w:tr w:rsidR="00A10CE0" w14:paraId="6ADA605F"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5C104845" w14:textId="2B96E127" w:rsidR="00A10CE0" w:rsidRDefault="00A10CE0" w:rsidP="00A10CE0">
            <w:pPr>
              <w:pStyle w:val="Tabletext"/>
            </w:pPr>
            <w:r w:rsidRPr="0012151E">
              <w:t>North East (ERDF) Small Loan Fund Limited</w:t>
            </w:r>
          </w:p>
        </w:tc>
        <w:tc>
          <w:tcPr>
            <w:tcW w:w="3775" w:type="dxa"/>
            <w:vAlign w:val="top"/>
          </w:tcPr>
          <w:p w14:paraId="77B160C5" w14:textId="2D6330E2" w:rsidR="00A10CE0" w:rsidRDefault="00A10CE0" w:rsidP="00A10CE0">
            <w:pPr>
              <w:pStyle w:val="Tabletext"/>
            </w:pPr>
            <w:r w:rsidRPr="0012151E">
              <w:t>Non-bank</w:t>
            </w:r>
          </w:p>
        </w:tc>
      </w:tr>
      <w:tr w:rsidR="00A10CE0" w14:paraId="2A24DB9D" w14:textId="77777777" w:rsidTr="00E02439">
        <w:tblPrEx>
          <w:tblCellMar>
            <w:left w:w="108" w:type="dxa"/>
            <w:right w:w="108" w:type="dxa"/>
          </w:tblCellMar>
        </w:tblPrEx>
        <w:tc>
          <w:tcPr>
            <w:tcW w:w="6379" w:type="dxa"/>
            <w:vAlign w:val="top"/>
          </w:tcPr>
          <w:p w14:paraId="56B011A0" w14:textId="63EF0B17" w:rsidR="00A10CE0" w:rsidRDefault="00A10CE0" w:rsidP="00A10CE0">
            <w:pPr>
              <w:pStyle w:val="Tabletext"/>
            </w:pPr>
            <w:r w:rsidRPr="0012151E">
              <w:t>North West Loans NPIF GP Limited</w:t>
            </w:r>
          </w:p>
        </w:tc>
        <w:tc>
          <w:tcPr>
            <w:tcW w:w="3775" w:type="dxa"/>
            <w:vAlign w:val="top"/>
          </w:tcPr>
          <w:p w14:paraId="3BA0FD5E" w14:textId="4C9B72DE" w:rsidR="00A10CE0" w:rsidRDefault="00A10CE0" w:rsidP="00A10CE0">
            <w:pPr>
              <w:pStyle w:val="Tabletext"/>
            </w:pPr>
            <w:r w:rsidRPr="0012151E">
              <w:t>Non-bank</w:t>
            </w:r>
          </w:p>
        </w:tc>
      </w:tr>
      <w:tr w:rsidR="00A10CE0" w14:paraId="1A6117A4"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6309CF0E" w14:textId="11859F8A" w:rsidR="00A10CE0" w:rsidRDefault="00A10CE0" w:rsidP="00A10CE0">
            <w:pPr>
              <w:pStyle w:val="Tabletext"/>
            </w:pPr>
            <w:r w:rsidRPr="0012151E">
              <w:t>Novuna</w:t>
            </w:r>
          </w:p>
        </w:tc>
        <w:tc>
          <w:tcPr>
            <w:tcW w:w="3775" w:type="dxa"/>
            <w:vAlign w:val="top"/>
          </w:tcPr>
          <w:p w14:paraId="0A592EB2" w14:textId="4E535D48" w:rsidR="00A10CE0" w:rsidRDefault="00A10CE0" w:rsidP="00A10CE0">
            <w:pPr>
              <w:pStyle w:val="Tabletext"/>
            </w:pPr>
            <w:r w:rsidRPr="0012151E">
              <w:t>Non-bank</w:t>
            </w:r>
          </w:p>
        </w:tc>
      </w:tr>
      <w:tr w:rsidR="00A10CE0" w14:paraId="65010E5B" w14:textId="77777777" w:rsidTr="00E02439">
        <w:tblPrEx>
          <w:tblCellMar>
            <w:left w:w="108" w:type="dxa"/>
            <w:right w:w="108" w:type="dxa"/>
          </w:tblCellMar>
        </w:tblPrEx>
        <w:tc>
          <w:tcPr>
            <w:tcW w:w="6379" w:type="dxa"/>
            <w:vAlign w:val="top"/>
          </w:tcPr>
          <w:p w14:paraId="19D4B22B" w14:textId="705FFD1B" w:rsidR="00A10CE0" w:rsidRDefault="00A10CE0" w:rsidP="00A10CE0">
            <w:pPr>
              <w:pStyle w:val="Tabletext"/>
            </w:pPr>
            <w:r w:rsidRPr="0012151E">
              <w:t>NPIF - NW MF LP</w:t>
            </w:r>
          </w:p>
        </w:tc>
        <w:tc>
          <w:tcPr>
            <w:tcW w:w="3775" w:type="dxa"/>
            <w:vAlign w:val="top"/>
          </w:tcPr>
          <w:p w14:paraId="0FC3C8F5" w14:textId="6345B211" w:rsidR="00A10CE0" w:rsidRDefault="00A10CE0" w:rsidP="00A10CE0">
            <w:pPr>
              <w:pStyle w:val="Tabletext"/>
            </w:pPr>
            <w:r w:rsidRPr="0012151E">
              <w:t>Non-bank</w:t>
            </w:r>
          </w:p>
        </w:tc>
      </w:tr>
      <w:tr w:rsidR="00A10CE0" w14:paraId="6F9E74FF"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7490B177" w14:textId="2840C286" w:rsidR="00A10CE0" w:rsidRDefault="00A10CE0" w:rsidP="00A10CE0">
            <w:pPr>
              <w:pStyle w:val="Tabletext"/>
            </w:pPr>
            <w:r w:rsidRPr="0012151E">
              <w:t>NPIF - YHTV MF LP</w:t>
            </w:r>
          </w:p>
        </w:tc>
        <w:tc>
          <w:tcPr>
            <w:tcW w:w="3775" w:type="dxa"/>
            <w:vAlign w:val="top"/>
          </w:tcPr>
          <w:p w14:paraId="6DF51E76" w14:textId="013B7126" w:rsidR="00A10CE0" w:rsidRDefault="00A10CE0" w:rsidP="00A10CE0">
            <w:pPr>
              <w:pStyle w:val="Tabletext"/>
            </w:pPr>
            <w:r w:rsidRPr="0012151E">
              <w:t>Non-bank</w:t>
            </w:r>
          </w:p>
        </w:tc>
      </w:tr>
      <w:tr w:rsidR="00A10CE0" w14:paraId="094567EF" w14:textId="77777777" w:rsidTr="00E02439">
        <w:tblPrEx>
          <w:tblCellMar>
            <w:left w:w="108" w:type="dxa"/>
            <w:right w:w="108" w:type="dxa"/>
          </w:tblCellMar>
        </w:tblPrEx>
        <w:tc>
          <w:tcPr>
            <w:tcW w:w="6379" w:type="dxa"/>
            <w:vAlign w:val="top"/>
          </w:tcPr>
          <w:p w14:paraId="2CFB5CA4" w14:textId="49F13A59" w:rsidR="00A10CE0" w:rsidRDefault="00A10CE0" w:rsidP="00A10CE0">
            <w:pPr>
              <w:pStyle w:val="Tabletext"/>
            </w:pPr>
            <w:r w:rsidRPr="0012151E">
              <w:t>Nucleus Cashflow Finance Ltd</w:t>
            </w:r>
          </w:p>
        </w:tc>
        <w:tc>
          <w:tcPr>
            <w:tcW w:w="3775" w:type="dxa"/>
            <w:vAlign w:val="top"/>
          </w:tcPr>
          <w:p w14:paraId="421DB8C0" w14:textId="497985B3" w:rsidR="00A10CE0" w:rsidRDefault="00A10CE0" w:rsidP="00A10CE0">
            <w:pPr>
              <w:pStyle w:val="Tabletext"/>
            </w:pPr>
            <w:r w:rsidRPr="0012151E">
              <w:t>Non-bank</w:t>
            </w:r>
          </w:p>
        </w:tc>
      </w:tr>
      <w:tr w:rsidR="00A10CE0" w14:paraId="3E1E0F2C"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46B0E88E" w14:textId="31CD8E38" w:rsidR="00A10CE0" w:rsidRDefault="00A10CE0" w:rsidP="00A10CE0">
            <w:pPr>
              <w:pStyle w:val="Tabletext"/>
            </w:pPr>
            <w:r w:rsidRPr="0012151E">
              <w:t>RM Funds</w:t>
            </w:r>
          </w:p>
        </w:tc>
        <w:tc>
          <w:tcPr>
            <w:tcW w:w="3775" w:type="dxa"/>
            <w:vAlign w:val="top"/>
          </w:tcPr>
          <w:p w14:paraId="0BD67A4A" w14:textId="2CA31E0F" w:rsidR="00A10CE0" w:rsidRDefault="00A10CE0" w:rsidP="00A10CE0">
            <w:pPr>
              <w:pStyle w:val="Tabletext"/>
            </w:pPr>
            <w:r w:rsidRPr="0012151E">
              <w:t>Non-bank</w:t>
            </w:r>
          </w:p>
        </w:tc>
      </w:tr>
      <w:tr w:rsidR="00A10CE0" w14:paraId="7E4885B5" w14:textId="77777777" w:rsidTr="00E02439">
        <w:tblPrEx>
          <w:tblCellMar>
            <w:left w:w="108" w:type="dxa"/>
            <w:right w:w="108" w:type="dxa"/>
          </w:tblCellMar>
        </w:tblPrEx>
        <w:tc>
          <w:tcPr>
            <w:tcW w:w="6379" w:type="dxa"/>
            <w:vAlign w:val="top"/>
          </w:tcPr>
          <w:p w14:paraId="2238DDDB" w14:textId="068A4CA2" w:rsidR="00A10CE0" w:rsidRDefault="00A10CE0" w:rsidP="00A10CE0">
            <w:pPr>
              <w:pStyle w:val="Tabletext"/>
            </w:pPr>
            <w:r w:rsidRPr="0012151E">
              <w:t>Scania Finance Great Britain Limited</w:t>
            </w:r>
          </w:p>
        </w:tc>
        <w:tc>
          <w:tcPr>
            <w:tcW w:w="3775" w:type="dxa"/>
            <w:vAlign w:val="top"/>
          </w:tcPr>
          <w:p w14:paraId="7AA3F059" w14:textId="06B2EE73" w:rsidR="00A10CE0" w:rsidRDefault="00A10CE0" w:rsidP="00A10CE0">
            <w:pPr>
              <w:pStyle w:val="Tabletext"/>
            </w:pPr>
            <w:r w:rsidRPr="0012151E">
              <w:t>Non-bank</w:t>
            </w:r>
          </w:p>
        </w:tc>
      </w:tr>
      <w:tr w:rsidR="00A10CE0" w14:paraId="215951EB"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3F3E68DD" w14:textId="0060E716" w:rsidR="00A10CE0" w:rsidRDefault="00A10CE0" w:rsidP="00A10CE0">
            <w:pPr>
              <w:pStyle w:val="Tabletext"/>
            </w:pPr>
            <w:r w:rsidRPr="0012151E">
              <w:t>Shire Leasing plc</w:t>
            </w:r>
          </w:p>
        </w:tc>
        <w:tc>
          <w:tcPr>
            <w:tcW w:w="3775" w:type="dxa"/>
            <w:vAlign w:val="top"/>
          </w:tcPr>
          <w:p w14:paraId="5849C6B7" w14:textId="41D4D7A8" w:rsidR="00A10CE0" w:rsidRDefault="00A10CE0" w:rsidP="00A10CE0">
            <w:pPr>
              <w:pStyle w:val="Tabletext"/>
            </w:pPr>
            <w:r w:rsidRPr="0012151E">
              <w:t>Non-bank</w:t>
            </w:r>
          </w:p>
        </w:tc>
      </w:tr>
      <w:tr w:rsidR="00A10CE0" w14:paraId="3C21114C" w14:textId="77777777" w:rsidTr="00E02439">
        <w:tblPrEx>
          <w:tblCellMar>
            <w:left w:w="108" w:type="dxa"/>
            <w:right w:w="108" w:type="dxa"/>
          </w:tblCellMar>
        </w:tblPrEx>
        <w:tc>
          <w:tcPr>
            <w:tcW w:w="6379" w:type="dxa"/>
            <w:vAlign w:val="top"/>
          </w:tcPr>
          <w:p w14:paraId="7AA86C60" w14:textId="2D457D03" w:rsidR="00A10CE0" w:rsidRDefault="00A10CE0" w:rsidP="00A10CE0">
            <w:pPr>
              <w:pStyle w:val="Tabletext"/>
            </w:pPr>
            <w:r w:rsidRPr="0012151E">
              <w:t>Simply Asset Finance Operations</w:t>
            </w:r>
          </w:p>
        </w:tc>
        <w:tc>
          <w:tcPr>
            <w:tcW w:w="3775" w:type="dxa"/>
            <w:vAlign w:val="top"/>
          </w:tcPr>
          <w:p w14:paraId="2A528E12" w14:textId="4CE148FA" w:rsidR="00A10CE0" w:rsidRDefault="00A10CE0" w:rsidP="00A10CE0">
            <w:pPr>
              <w:pStyle w:val="Tabletext"/>
            </w:pPr>
            <w:r w:rsidRPr="0012151E">
              <w:t>Non-bank</w:t>
            </w:r>
          </w:p>
        </w:tc>
      </w:tr>
      <w:tr w:rsidR="00A10CE0" w14:paraId="57AA4143"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5BA15265" w14:textId="1538AA39" w:rsidR="00A10CE0" w:rsidRDefault="00A10CE0" w:rsidP="00A10CE0">
            <w:pPr>
              <w:pStyle w:val="Tabletext"/>
            </w:pPr>
            <w:r w:rsidRPr="0012151E">
              <w:t>Skipton Business Finance Ltd</w:t>
            </w:r>
          </w:p>
        </w:tc>
        <w:tc>
          <w:tcPr>
            <w:tcW w:w="3775" w:type="dxa"/>
            <w:vAlign w:val="top"/>
          </w:tcPr>
          <w:p w14:paraId="56E2D8F6" w14:textId="7F4F65C5" w:rsidR="00A10CE0" w:rsidRDefault="00A10CE0" w:rsidP="00A10CE0">
            <w:pPr>
              <w:pStyle w:val="Tabletext"/>
            </w:pPr>
            <w:r w:rsidRPr="0012151E">
              <w:t>Non-bank</w:t>
            </w:r>
          </w:p>
        </w:tc>
      </w:tr>
      <w:tr w:rsidR="00A10CE0" w14:paraId="00E81082" w14:textId="77777777" w:rsidTr="00E02439">
        <w:tblPrEx>
          <w:tblCellMar>
            <w:left w:w="108" w:type="dxa"/>
            <w:right w:w="108" w:type="dxa"/>
          </w:tblCellMar>
        </w:tblPrEx>
        <w:tc>
          <w:tcPr>
            <w:tcW w:w="6379" w:type="dxa"/>
            <w:vAlign w:val="top"/>
          </w:tcPr>
          <w:p w14:paraId="399696C2" w14:textId="11DC948A" w:rsidR="00A10CE0" w:rsidRDefault="00A10CE0" w:rsidP="00A10CE0">
            <w:pPr>
              <w:pStyle w:val="Tabletext"/>
            </w:pPr>
            <w:r w:rsidRPr="0012151E">
              <w:t>Social Investment Business Foundation</w:t>
            </w:r>
          </w:p>
        </w:tc>
        <w:tc>
          <w:tcPr>
            <w:tcW w:w="3775" w:type="dxa"/>
            <w:vAlign w:val="top"/>
          </w:tcPr>
          <w:p w14:paraId="61226E23" w14:textId="3F15A0A9" w:rsidR="00A10CE0" w:rsidRDefault="00A10CE0" w:rsidP="00A10CE0">
            <w:pPr>
              <w:pStyle w:val="Tabletext"/>
            </w:pPr>
            <w:r w:rsidRPr="0012151E">
              <w:t>Non-bank</w:t>
            </w:r>
          </w:p>
        </w:tc>
      </w:tr>
      <w:tr w:rsidR="00A10CE0" w14:paraId="1C379F29"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77E247A0" w14:textId="0EEFDC33" w:rsidR="00A10CE0" w:rsidRDefault="00A10CE0" w:rsidP="00A10CE0">
            <w:pPr>
              <w:pStyle w:val="Tabletext"/>
            </w:pPr>
            <w:r w:rsidRPr="0012151E">
              <w:t>SWIG Finance</w:t>
            </w:r>
          </w:p>
        </w:tc>
        <w:tc>
          <w:tcPr>
            <w:tcW w:w="3775" w:type="dxa"/>
            <w:vAlign w:val="top"/>
          </w:tcPr>
          <w:p w14:paraId="3EE2C1F5" w14:textId="6B1483F8" w:rsidR="00A10CE0" w:rsidRDefault="00A10CE0" w:rsidP="00A10CE0">
            <w:pPr>
              <w:pStyle w:val="Tabletext"/>
            </w:pPr>
            <w:r w:rsidRPr="0012151E">
              <w:t>Non-bank</w:t>
            </w:r>
          </w:p>
        </w:tc>
      </w:tr>
      <w:tr w:rsidR="00A10CE0" w14:paraId="45AEF914" w14:textId="77777777" w:rsidTr="00E02439">
        <w:tblPrEx>
          <w:tblCellMar>
            <w:left w:w="108" w:type="dxa"/>
            <w:right w:w="108" w:type="dxa"/>
          </w:tblCellMar>
        </w:tblPrEx>
        <w:tc>
          <w:tcPr>
            <w:tcW w:w="6379" w:type="dxa"/>
            <w:vAlign w:val="top"/>
          </w:tcPr>
          <w:p w14:paraId="1CE1A27E" w14:textId="6C63AD63" w:rsidR="00A10CE0" w:rsidRDefault="00A10CE0" w:rsidP="00A10CE0">
            <w:pPr>
              <w:pStyle w:val="Tabletext"/>
            </w:pPr>
            <w:r w:rsidRPr="0012151E">
              <w:t>ThinCats Ltd</w:t>
            </w:r>
          </w:p>
        </w:tc>
        <w:tc>
          <w:tcPr>
            <w:tcW w:w="3775" w:type="dxa"/>
            <w:vAlign w:val="top"/>
          </w:tcPr>
          <w:p w14:paraId="172370E7" w14:textId="1A19D8F0" w:rsidR="00A10CE0" w:rsidRDefault="00A10CE0" w:rsidP="00A10CE0">
            <w:pPr>
              <w:pStyle w:val="Tabletext"/>
            </w:pPr>
            <w:r w:rsidRPr="0012151E">
              <w:t>Non-bank</w:t>
            </w:r>
          </w:p>
        </w:tc>
      </w:tr>
      <w:tr w:rsidR="00A10CE0" w14:paraId="5FD76410"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64963FB7" w14:textId="6EA38731" w:rsidR="00A10CE0" w:rsidRDefault="00A10CE0" w:rsidP="00A10CE0">
            <w:pPr>
              <w:pStyle w:val="Tabletext"/>
            </w:pPr>
            <w:r w:rsidRPr="0012151E">
              <w:t>Time Finance plc</w:t>
            </w:r>
          </w:p>
        </w:tc>
        <w:tc>
          <w:tcPr>
            <w:tcW w:w="3775" w:type="dxa"/>
            <w:vAlign w:val="top"/>
          </w:tcPr>
          <w:p w14:paraId="73174C4F" w14:textId="7B9191B7" w:rsidR="00A10CE0" w:rsidRDefault="00A10CE0" w:rsidP="00A10CE0">
            <w:pPr>
              <w:pStyle w:val="Tabletext"/>
            </w:pPr>
            <w:r w:rsidRPr="0012151E">
              <w:t>Non-bank</w:t>
            </w:r>
          </w:p>
        </w:tc>
      </w:tr>
      <w:tr w:rsidR="00A10CE0" w14:paraId="70CC53DA" w14:textId="77777777" w:rsidTr="00E02439">
        <w:tblPrEx>
          <w:tblCellMar>
            <w:left w:w="108" w:type="dxa"/>
            <w:right w:w="108" w:type="dxa"/>
          </w:tblCellMar>
        </w:tblPrEx>
        <w:tc>
          <w:tcPr>
            <w:tcW w:w="6379" w:type="dxa"/>
            <w:vAlign w:val="top"/>
          </w:tcPr>
          <w:p w14:paraId="6526B345" w14:textId="1EA84B7B" w:rsidR="00A10CE0" w:rsidRDefault="00A10CE0" w:rsidP="00A10CE0">
            <w:pPr>
              <w:pStyle w:val="Tabletext"/>
            </w:pPr>
            <w:r w:rsidRPr="0012151E">
              <w:t>Tower Leasing Ltd</w:t>
            </w:r>
          </w:p>
        </w:tc>
        <w:tc>
          <w:tcPr>
            <w:tcW w:w="3775" w:type="dxa"/>
            <w:vAlign w:val="top"/>
          </w:tcPr>
          <w:p w14:paraId="18B848C4" w14:textId="28222840" w:rsidR="00A10CE0" w:rsidRDefault="00A10CE0" w:rsidP="00A10CE0">
            <w:pPr>
              <w:pStyle w:val="Tabletext"/>
            </w:pPr>
            <w:r w:rsidRPr="0012151E">
              <w:t>Non-bank</w:t>
            </w:r>
          </w:p>
        </w:tc>
      </w:tr>
      <w:tr w:rsidR="00A10CE0" w14:paraId="719B54DE" w14:textId="77777777" w:rsidTr="00E02439">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6379" w:type="dxa"/>
            <w:vAlign w:val="top"/>
          </w:tcPr>
          <w:p w14:paraId="69B9CB6D" w14:textId="095F92B0" w:rsidR="00A10CE0" w:rsidRDefault="00A10CE0" w:rsidP="00A10CE0">
            <w:pPr>
              <w:pStyle w:val="Tabletext"/>
            </w:pPr>
            <w:r w:rsidRPr="0012151E">
              <w:t>TVC Loans NPIF GP Limited</w:t>
            </w:r>
          </w:p>
        </w:tc>
        <w:tc>
          <w:tcPr>
            <w:tcW w:w="3775" w:type="dxa"/>
            <w:vAlign w:val="top"/>
          </w:tcPr>
          <w:p w14:paraId="17BE10E8" w14:textId="03028DEC" w:rsidR="00A10CE0" w:rsidRDefault="00A10CE0" w:rsidP="00A10CE0">
            <w:pPr>
              <w:pStyle w:val="Tabletext"/>
            </w:pPr>
            <w:r w:rsidRPr="0012151E">
              <w:t>Non-bank</w:t>
            </w:r>
          </w:p>
        </w:tc>
      </w:tr>
      <w:tr w:rsidR="00A10CE0" w14:paraId="5C58E5D1" w14:textId="77777777" w:rsidTr="00E02439">
        <w:tblPrEx>
          <w:tblCellMar>
            <w:left w:w="108" w:type="dxa"/>
            <w:right w:w="108" w:type="dxa"/>
          </w:tblCellMar>
        </w:tblPrEx>
        <w:tc>
          <w:tcPr>
            <w:tcW w:w="6379" w:type="dxa"/>
            <w:vAlign w:val="top"/>
          </w:tcPr>
          <w:p w14:paraId="6F13B884" w14:textId="222CD736" w:rsidR="00A10CE0" w:rsidRDefault="00A10CE0" w:rsidP="00A10CE0">
            <w:pPr>
              <w:pStyle w:val="Tabletext"/>
            </w:pPr>
            <w:r w:rsidRPr="0012151E">
              <w:t>UK Steel Enterprise Ltd</w:t>
            </w:r>
          </w:p>
        </w:tc>
        <w:tc>
          <w:tcPr>
            <w:tcW w:w="3775" w:type="dxa"/>
            <w:vAlign w:val="top"/>
          </w:tcPr>
          <w:p w14:paraId="629A8122" w14:textId="03DBB6A3" w:rsidR="00A10CE0" w:rsidRDefault="00A10CE0" w:rsidP="00A10CE0">
            <w:pPr>
              <w:pStyle w:val="Tabletext"/>
            </w:pPr>
            <w:r w:rsidRPr="0012151E">
              <w:t>Non-bank</w:t>
            </w:r>
          </w:p>
        </w:tc>
      </w:tr>
    </w:tbl>
    <w:p w14:paraId="04D36F30" w14:textId="6B303B1C" w:rsidR="00701AD2" w:rsidRDefault="00701AD2">
      <w:pPr>
        <w:spacing w:after="160" w:line="259" w:lineRule="auto"/>
        <w:rPr>
          <w:highlight w:val="yellow"/>
        </w:rPr>
        <w:sectPr w:rsidR="00701AD2" w:rsidSect="00A21374">
          <w:footerReference w:type="default" r:id="rId48"/>
          <w:headerReference w:type="first" r:id="rId49"/>
          <w:footerReference w:type="first" r:id="rId50"/>
          <w:pgSz w:w="11906" w:h="16838" w:code="9"/>
          <w:pgMar w:top="1701" w:right="845" w:bottom="1531" w:left="907" w:header="624" w:footer="454" w:gutter="0"/>
          <w:cols w:space="720"/>
          <w:titlePg/>
          <w:docGrid w:linePitch="360"/>
        </w:sectPr>
      </w:pPr>
    </w:p>
    <w:bookmarkEnd w:id="160"/>
    <w:bookmarkEnd w:id="161"/>
    <w:p w14:paraId="360D0E20" w14:textId="6A1ACBE5" w:rsidR="004A33D0" w:rsidRPr="00CB0F0C" w:rsidRDefault="004A33D0" w:rsidP="005C267D">
      <w:pPr>
        <w:rPr>
          <w:rStyle w:val="Bold"/>
          <w:b w:val="0"/>
          <w:bCs/>
          <w:szCs w:val="24"/>
        </w:rPr>
      </w:pPr>
      <w:r w:rsidRPr="00CB0F0C">
        <w:rPr>
          <w:rStyle w:val="Bold"/>
          <w:b w:val="0"/>
          <w:bCs/>
          <w:szCs w:val="24"/>
        </w:rPr>
        <w:t>Authors: Sam Behrens, Jack Booth, James Kearney, Patrice Muller</w:t>
      </w:r>
    </w:p>
    <w:p w14:paraId="75AAD9FA" w14:textId="1DCBFF47" w:rsidR="009E00AB" w:rsidRPr="009567D9" w:rsidRDefault="009E00AB" w:rsidP="005C267D">
      <w:pPr>
        <w:rPr>
          <w:szCs w:val="24"/>
        </w:rPr>
      </w:pPr>
      <w:r w:rsidRPr="009567D9">
        <w:rPr>
          <w:rStyle w:val="Bold"/>
          <w:szCs w:val="24"/>
        </w:rPr>
        <w:t>British Business Bank plc</w:t>
      </w:r>
      <w:r w:rsidRPr="009567D9">
        <w:rPr>
          <w:szCs w:val="24"/>
        </w:rPr>
        <w:br/>
        <w:t>Steel City House</w:t>
      </w:r>
      <w:r w:rsidRPr="009567D9">
        <w:rPr>
          <w:szCs w:val="24"/>
        </w:rPr>
        <w:br/>
        <w:t>West Street</w:t>
      </w:r>
      <w:r w:rsidRPr="009567D9">
        <w:rPr>
          <w:szCs w:val="24"/>
        </w:rPr>
        <w:br/>
        <w:t>Sheffield S1 2GQ</w:t>
      </w:r>
    </w:p>
    <w:p w14:paraId="367941E9" w14:textId="23AAF4BF" w:rsidR="009E00AB" w:rsidRPr="009567D9" w:rsidRDefault="009E00AB" w:rsidP="005C267D">
      <w:pPr>
        <w:rPr>
          <w:szCs w:val="24"/>
        </w:rPr>
      </w:pPr>
      <w:r w:rsidRPr="009567D9">
        <w:rPr>
          <w:szCs w:val="24"/>
        </w:rPr>
        <w:t>t.</w:t>
      </w:r>
      <w:r w:rsidR="009567D9">
        <w:t xml:space="preserve"> </w:t>
      </w:r>
      <w:r w:rsidRPr="009567D9">
        <w:rPr>
          <w:szCs w:val="24"/>
        </w:rPr>
        <w:t>+44 (0)114 206 2131</w:t>
      </w:r>
    </w:p>
    <w:p w14:paraId="64E2454F" w14:textId="38A15DF1" w:rsidR="009E00AB" w:rsidRPr="009567D9" w:rsidRDefault="009E00AB" w:rsidP="005C267D">
      <w:pPr>
        <w:rPr>
          <w:szCs w:val="24"/>
        </w:rPr>
      </w:pPr>
      <w:r w:rsidRPr="009567D9">
        <w:rPr>
          <w:szCs w:val="24"/>
        </w:rPr>
        <w:t>e.</w:t>
      </w:r>
      <w:r w:rsidR="009567D9">
        <w:rPr>
          <w:szCs w:val="24"/>
        </w:rPr>
        <w:t xml:space="preserve"> </w:t>
      </w:r>
      <w:r w:rsidRPr="009567D9">
        <w:rPr>
          <w:szCs w:val="24"/>
        </w:rPr>
        <w:t>info@british-business-bank.co.uk</w:t>
      </w:r>
    </w:p>
    <w:p w14:paraId="5789D458" w14:textId="1D62B740" w:rsidR="009E00AB" w:rsidRPr="009567D9" w:rsidRDefault="00885E1E" w:rsidP="005C267D">
      <w:pPr>
        <w:rPr>
          <w:rStyle w:val="Bold"/>
          <w:szCs w:val="24"/>
        </w:rPr>
      </w:pPr>
      <w:hyperlink r:id="rId51" w:history="1">
        <w:r w:rsidR="009E00AB" w:rsidRPr="009567D9">
          <w:rPr>
            <w:rStyle w:val="Hyperlink"/>
            <w:szCs w:val="24"/>
          </w:rPr>
          <w:t>british-business-bank.co.uk</w:t>
        </w:r>
      </w:hyperlink>
    </w:p>
    <w:p w14:paraId="1D199AB5" w14:textId="0213BCF8" w:rsidR="00240A4C" w:rsidRPr="009567D9" w:rsidRDefault="009E00AB" w:rsidP="005C267D">
      <w:pPr>
        <w:rPr>
          <w:highlight w:val="yellow"/>
        </w:rPr>
      </w:pPr>
      <w:r>
        <w:t xml:space="preserve">Publication date: </w:t>
      </w:r>
      <w:r w:rsidR="6A4CEF45" w:rsidRPr="00CB0F0C">
        <w:t>2024</w:t>
      </w:r>
    </w:p>
    <w:p w14:paraId="3DF08D82" w14:textId="5F38A193" w:rsidR="009E00AB" w:rsidRPr="00F648A2" w:rsidRDefault="009E00AB" w:rsidP="006A1A04">
      <w:pPr>
        <w:pStyle w:val="Companyinformation"/>
        <w:rPr>
          <w:sz w:val="20"/>
          <w:szCs w:val="20"/>
        </w:rPr>
      </w:pPr>
      <w:r w:rsidRPr="00F648A2">
        <w:rPr>
          <w:sz w:val="20"/>
          <w:szCs w:val="20"/>
        </w:rPr>
        <w:t>British Business Bank plc is a public limited company registered in England and Wales, registration number 08616013, registered office at Steel City House, West Street, Sheffield S1 2GQ. It is a development bank wholly owned by HM Government. British Business Bank plc and its subsidiaries are not banking institutions and do not operate as such. They are not authorised or regulated by the Prudential Regulation Authority</w:t>
      </w:r>
      <w:r w:rsidR="006A1A04" w:rsidRPr="00F648A2">
        <w:rPr>
          <w:sz w:val="20"/>
          <w:szCs w:val="20"/>
        </w:rPr>
        <w:t xml:space="preserve"> (PRA) or the Financial </w:t>
      </w:r>
      <w:r w:rsidR="006A1A04" w:rsidRPr="00F648A2">
        <w:rPr>
          <w:sz w:val="20"/>
          <w:szCs w:val="20"/>
        </w:rPr>
        <w:br/>
        <w:t xml:space="preserve">Conduct Authority (FRA). A complete legal structure chart for the group can be found at </w:t>
      </w:r>
      <w:r w:rsidR="006A1A04" w:rsidRPr="00F648A2">
        <w:rPr>
          <w:sz w:val="20"/>
          <w:szCs w:val="20"/>
        </w:rPr>
        <w:br/>
        <w:t>www.british-business-bank.co.uk</w:t>
      </w:r>
    </w:p>
    <w:sectPr w:rsidR="009E00AB" w:rsidRPr="00F648A2" w:rsidSect="00A21374">
      <w:headerReference w:type="first" r:id="rId52"/>
      <w:footerReference w:type="first" r:id="rId53"/>
      <w:pgSz w:w="11906" w:h="16838" w:code="9"/>
      <w:pgMar w:top="8505" w:right="845" w:bottom="624" w:left="907" w:header="624"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CB39E" w14:textId="77777777" w:rsidR="00A21374" w:rsidRDefault="00A21374" w:rsidP="00016B1D">
      <w:pPr>
        <w:spacing w:after="0" w:line="240" w:lineRule="auto"/>
      </w:pPr>
      <w:r>
        <w:separator/>
      </w:r>
    </w:p>
  </w:endnote>
  <w:endnote w:type="continuationSeparator" w:id="0">
    <w:p w14:paraId="0221C0C5" w14:textId="77777777" w:rsidR="00A21374" w:rsidRDefault="00A21374" w:rsidP="00016B1D">
      <w:pPr>
        <w:spacing w:after="0" w:line="240" w:lineRule="auto"/>
      </w:pPr>
      <w:r>
        <w:continuationSeparator/>
      </w:r>
    </w:p>
  </w:endnote>
  <w:endnote w:type="continuationNotice" w:id="1">
    <w:p w14:paraId="1659FE51" w14:textId="77777777" w:rsidR="00A21374" w:rsidRDefault="00A213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Dutch Roman 11pt">
    <w:altName w:val="Calibri"/>
    <w:charset w:val="00"/>
    <w:family w:val="auto"/>
    <w:pitch w:val="default"/>
  </w:font>
  <w:font w:name="Quattrocento Sans">
    <w:charset w:val="00"/>
    <w:family w:val="swiss"/>
    <w:pitch w:val="variable"/>
    <w:sig w:usb0="800000BF" w:usb1="4000005B"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75AB" w14:textId="77777777" w:rsidR="000C49E7" w:rsidRDefault="000C49E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4978" w:type="pct"/>
      <w:tblLook w:val="04A0" w:firstRow="1" w:lastRow="0" w:firstColumn="1" w:lastColumn="0" w:noHBand="0" w:noVBand="1"/>
    </w:tblPr>
    <w:tblGrid>
      <w:gridCol w:w="5243"/>
      <w:gridCol w:w="3302"/>
      <w:gridCol w:w="1729"/>
    </w:tblGrid>
    <w:tr w:rsidR="00845A56" w14:paraId="047F7234" w14:textId="77777777" w:rsidTr="0039386C">
      <w:tc>
        <w:tcPr>
          <w:cnfStyle w:val="001000000000" w:firstRow="0" w:lastRow="0" w:firstColumn="1" w:lastColumn="0" w:oddVBand="0" w:evenVBand="0" w:oddHBand="0" w:evenHBand="0" w:firstRowFirstColumn="0" w:firstRowLastColumn="0" w:lastRowFirstColumn="0" w:lastRowLastColumn="0"/>
          <w:tcW w:w="5159" w:type="dxa"/>
          <w:vAlign w:val="bottom"/>
        </w:tcPr>
        <w:p w14:paraId="45D5B212" w14:textId="77777777" w:rsidR="00845A56" w:rsidRDefault="00845A56" w:rsidP="00176EA1">
          <w:pPr>
            <w:pStyle w:val="Footer"/>
          </w:pPr>
          <w:r>
            <w:t>British Business Bank</w:t>
          </w:r>
        </w:p>
      </w:tc>
      <w:tc>
        <w:tcPr>
          <w:tcW w:w="3249" w:type="dxa"/>
          <w:vAlign w:val="bottom"/>
        </w:tcPr>
        <w:p w14:paraId="321D25D2" w14:textId="021733BE" w:rsidR="00845A56" w:rsidRDefault="00885E1E" w:rsidP="00E12E06">
          <w:pPr>
            <w:pStyle w:val="Footer"/>
            <w:jc w:val="right"/>
            <w:cnfStyle w:val="000000000000" w:firstRow="0" w:lastRow="0" w:firstColumn="0" w:lastColumn="0" w:oddVBand="0" w:evenVBand="0" w:oddHBand="0" w:evenHBand="0" w:firstRowFirstColumn="0" w:firstRowLastColumn="0" w:lastRowFirstColumn="0" w:lastRowLastColumn="0"/>
          </w:pPr>
          <w:hyperlink r:id="rId1" w:history="1">
            <w:r w:rsidR="00845A56" w:rsidRPr="000869B5">
              <w:rPr>
                <w:rStyle w:val="Hyperlink"/>
              </w:rPr>
              <w:t>british-business-bank.co.uk</w:t>
            </w:r>
          </w:hyperlink>
        </w:p>
      </w:tc>
      <w:tc>
        <w:tcPr>
          <w:tcW w:w="1701" w:type="dxa"/>
          <w:vAlign w:val="bottom"/>
        </w:tcPr>
        <w:p w14:paraId="2340B57E" w14:textId="77777777" w:rsidR="00845A56" w:rsidRDefault="00845A56" w:rsidP="00176EA1">
          <w:pPr>
            <w:pStyle w:val="Footer"/>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2</w:t>
          </w:r>
          <w:r>
            <w:rPr>
              <w:noProof/>
            </w:rPr>
            <w:fldChar w:fldCharType="end"/>
          </w:r>
        </w:p>
      </w:tc>
    </w:tr>
  </w:tbl>
  <w:p w14:paraId="284CD6AF" w14:textId="77777777" w:rsidR="00845A56" w:rsidRPr="00176EA1" w:rsidRDefault="00845A56" w:rsidP="00176EA1">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5011" w:type="pct"/>
      <w:tblLook w:val="04A0" w:firstRow="1" w:lastRow="0" w:firstColumn="1" w:lastColumn="0" w:noHBand="0" w:noVBand="1"/>
    </w:tblPr>
    <w:tblGrid>
      <w:gridCol w:w="5246"/>
      <w:gridCol w:w="4904"/>
      <w:gridCol w:w="3486"/>
    </w:tblGrid>
    <w:tr w:rsidR="00E66156" w14:paraId="67C78D0A" w14:textId="77777777" w:rsidTr="00E66156">
      <w:tc>
        <w:tcPr>
          <w:cnfStyle w:val="001000000000" w:firstRow="0" w:lastRow="0" w:firstColumn="1" w:lastColumn="0" w:oddVBand="0" w:evenVBand="0" w:oddHBand="0" w:evenHBand="0" w:firstRowFirstColumn="0" w:firstRowLastColumn="0" w:lastRowFirstColumn="0" w:lastRowLastColumn="0"/>
          <w:tcW w:w="5245" w:type="dxa"/>
        </w:tcPr>
        <w:p w14:paraId="3F1776D5" w14:textId="77777777" w:rsidR="00E66156" w:rsidRDefault="00E66156" w:rsidP="00E66156">
          <w:pPr>
            <w:pStyle w:val="Footer"/>
            <w:tabs>
              <w:tab w:val="clear" w:pos="4513"/>
              <w:tab w:val="clear" w:pos="9026"/>
            </w:tabs>
            <w:ind w:right="2353"/>
          </w:pPr>
          <w:r>
            <w:t>British Business Bank</w:t>
          </w:r>
        </w:p>
      </w:tc>
      <w:tc>
        <w:tcPr>
          <w:tcW w:w="4904" w:type="dxa"/>
          <w:vAlign w:val="bottom"/>
        </w:tcPr>
        <w:p w14:paraId="023698CF" w14:textId="66F3ED40" w:rsidR="00E66156" w:rsidRDefault="00885E1E" w:rsidP="00907334">
          <w:pPr>
            <w:pStyle w:val="Footer"/>
            <w:tabs>
              <w:tab w:val="clear" w:pos="4513"/>
              <w:tab w:val="clear" w:pos="9026"/>
            </w:tabs>
            <w:cnfStyle w:val="000000000000" w:firstRow="0" w:lastRow="0" w:firstColumn="0" w:lastColumn="0" w:oddVBand="0" w:evenVBand="0" w:oddHBand="0" w:evenHBand="0" w:firstRowFirstColumn="0" w:firstRowLastColumn="0" w:lastRowFirstColumn="0" w:lastRowLastColumn="0"/>
          </w:pPr>
          <w:hyperlink r:id="rId1" w:history="1">
            <w:r w:rsidR="00E66156" w:rsidRPr="000869B5">
              <w:rPr>
                <w:rStyle w:val="Hyperlink"/>
              </w:rPr>
              <w:t>british-business-bank.co.uk</w:t>
            </w:r>
          </w:hyperlink>
        </w:p>
      </w:tc>
      <w:tc>
        <w:tcPr>
          <w:tcW w:w="3486" w:type="dxa"/>
          <w:vAlign w:val="bottom"/>
        </w:tcPr>
        <w:p w14:paraId="0390DEFF" w14:textId="77777777" w:rsidR="00E66156" w:rsidRDefault="00E66156" w:rsidP="004C2C90">
          <w:pPr>
            <w:pStyle w:val="Footer"/>
            <w:tabs>
              <w:tab w:val="clear" w:pos="4513"/>
              <w:tab w:val="clear" w:pos="9026"/>
            </w:tabs>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3</w:t>
          </w:r>
          <w:r>
            <w:rPr>
              <w:noProof/>
            </w:rPr>
            <w:fldChar w:fldCharType="end"/>
          </w:r>
        </w:p>
      </w:tc>
    </w:tr>
  </w:tbl>
  <w:p w14:paraId="6D7AB680" w14:textId="77777777" w:rsidR="00E66156" w:rsidRPr="00176EA1" w:rsidRDefault="00E66156" w:rsidP="00176EA1">
    <w:pPr>
      <w:pStyle w:val="Footer"/>
      <w:tabs>
        <w:tab w:val="clear" w:pos="4513"/>
        <w:tab w:val="clear" w:pos="9026"/>
      </w:tabs>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4978" w:type="pct"/>
      <w:tblLook w:val="04A0" w:firstRow="1" w:lastRow="0" w:firstColumn="1" w:lastColumn="0" w:noHBand="0" w:noVBand="1"/>
    </w:tblPr>
    <w:tblGrid>
      <w:gridCol w:w="5243"/>
      <w:gridCol w:w="3302"/>
      <w:gridCol w:w="1729"/>
    </w:tblGrid>
    <w:tr w:rsidR="009567D9" w14:paraId="4B24E82B" w14:textId="77777777" w:rsidTr="0039386C">
      <w:tc>
        <w:tcPr>
          <w:cnfStyle w:val="001000000000" w:firstRow="0" w:lastRow="0" w:firstColumn="1" w:lastColumn="0" w:oddVBand="0" w:evenVBand="0" w:oddHBand="0" w:evenHBand="0" w:firstRowFirstColumn="0" w:firstRowLastColumn="0" w:lastRowFirstColumn="0" w:lastRowLastColumn="0"/>
          <w:tcW w:w="5159" w:type="dxa"/>
          <w:vAlign w:val="bottom"/>
        </w:tcPr>
        <w:p w14:paraId="0BE78ECB" w14:textId="77777777" w:rsidR="009567D9" w:rsidRDefault="009567D9" w:rsidP="00176EA1">
          <w:pPr>
            <w:pStyle w:val="Footer"/>
          </w:pPr>
          <w:r>
            <w:t>British Business Bank</w:t>
          </w:r>
        </w:p>
      </w:tc>
      <w:tc>
        <w:tcPr>
          <w:tcW w:w="3249" w:type="dxa"/>
          <w:vAlign w:val="bottom"/>
        </w:tcPr>
        <w:p w14:paraId="4D5DAB42" w14:textId="1729E5CD" w:rsidR="009567D9" w:rsidRDefault="00885E1E" w:rsidP="00E12E06">
          <w:pPr>
            <w:pStyle w:val="Footer"/>
            <w:jc w:val="right"/>
            <w:cnfStyle w:val="000000000000" w:firstRow="0" w:lastRow="0" w:firstColumn="0" w:lastColumn="0" w:oddVBand="0" w:evenVBand="0" w:oddHBand="0" w:evenHBand="0" w:firstRowFirstColumn="0" w:firstRowLastColumn="0" w:lastRowFirstColumn="0" w:lastRowLastColumn="0"/>
          </w:pPr>
          <w:hyperlink r:id="rId1" w:history="1">
            <w:r w:rsidR="009567D9" w:rsidRPr="000869B5">
              <w:rPr>
                <w:rStyle w:val="Hyperlink"/>
              </w:rPr>
              <w:t>british-business-bank.co.uk</w:t>
            </w:r>
          </w:hyperlink>
        </w:p>
      </w:tc>
      <w:tc>
        <w:tcPr>
          <w:tcW w:w="1701" w:type="dxa"/>
          <w:vAlign w:val="bottom"/>
        </w:tcPr>
        <w:p w14:paraId="1D7FCE95" w14:textId="77777777" w:rsidR="009567D9" w:rsidRDefault="009567D9" w:rsidP="00176EA1">
          <w:pPr>
            <w:pStyle w:val="Footer"/>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2</w:t>
          </w:r>
          <w:r>
            <w:rPr>
              <w:noProof/>
            </w:rPr>
            <w:fldChar w:fldCharType="end"/>
          </w:r>
        </w:p>
      </w:tc>
    </w:tr>
  </w:tbl>
  <w:p w14:paraId="61EBA2BE" w14:textId="77777777" w:rsidR="009567D9" w:rsidRPr="00176EA1" w:rsidRDefault="009567D9" w:rsidP="00176EA1">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5011" w:type="pct"/>
      <w:tblLook w:val="04A0" w:firstRow="1" w:lastRow="0" w:firstColumn="1" w:lastColumn="0" w:noHBand="0" w:noVBand="1"/>
    </w:tblPr>
    <w:tblGrid>
      <w:gridCol w:w="4962"/>
      <w:gridCol w:w="3260"/>
      <w:gridCol w:w="1954"/>
    </w:tblGrid>
    <w:tr w:rsidR="009567D9" w14:paraId="3633DEDC" w14:textId="77777777" w:rsidTr="002E6CFD">
      <w:tc>
        <w:tcPr>
          <w:cnfStyle w:val="001000000000" w:firstRow="0" w:lastRow="0" w:firstColumn="1" w:lastColumn="0" w:oddVBand="0" w:evenVBand="0" w:oddHBand="0" w:evenHBand="0" w:firstRowFirstColumn="0" w:firstRowLastColumn="0" w:lastRowFirstColumn="0" w:lastRowLastColumn="0"/>
          <w:tcW w:w="4962" w:type="dxa"/>
        </w:tcPr>
        <w:p w14:paraId="03F73680" w14:textId="77777777" w:rsidR="009567D9" w:rsidRDefault="009567D9" w:rsidP="00E66156">
          <w:pPr>
            <w:pStyle w:val="Footer"/>
            <w:tabs>
              <w:tab w:val="clear" w:pos="4513"/>
              <w:tab w:val="clear" w:pos="9026"/>
            </w:tabs>
            <w:ind w:right="2353"/>
          </w:pPr>
          <w:r>
            <w:t>British Business Bank</w:t>
          </w:r>
        </w:p>
      </w:tc>
      <w:tc>
        <w:tcPr>
          <w:tcW w:w="3260" w:type="dxa"/>
          <w:vAlign w:val="bottom"/>
        </w:tcPr>
        <w:p w14:paraId="3DF2732A" w14:textId="64C64856" w:rsidR="009567D9" w:rsidRDefault="00885E1E" w:rsidP="002E6CFD">
          <w:pPr>
            <w:pStyle w:val="Footer"/>
            <w:tabs>
              <w:tab w:val="clear" w:pos="4513"/>
              <w:tab w:val="clear" w:pos="9026"/>
            </w:tabs>
            <w:jc w:val="right"/>
            <w:cnfStyle w:val="000000000000" w:firstRow="0" w:lastRow="0" w:firstColumn="0" w:lastColumn="0" w:oddVBand="0" w:evenVBand="0" w:oddHBand="0" w:evenHBand="0" w:firstRowFirstColumn="0" w:firstRowLastColumn="0" w:lastRowFirstColumn="0" w:lastRowLastColumn="0"/>
          </w:pPr>
          <w:hyperlink r:id="rId1" w:history="1">
            <w:r w:rsidR="009567D9" w:rsidRPr="000869B5">
              <w:rPr>
                <w:rStyle w:val="Hyperlink"/>
              </w:rPr>
              <w:t>british-business-bank.co.uk</w:t>
            </w:r>
          </w:hyperlink>
        </w:p>
      </w:tc>
      <w:tc>
        <w:tcPr>
          <w:tcW w:w="1954" w:type="dxa"/>
          <w:vAlign w:val="bottom"/>
        </w:tcPr>
        <w:p w14:paraId="1938E19C" w14:textId="77777777" w:rsidR="009567D9" w:rsidRDefault="009567D9" w:rsidP="004C2C90">
          <w:pPr>
            <w:pStyle w:val="Footer"/>
            <w:tabs>
              <w:tab w:val="clear" w:pos="4513"/>
              <w:tab w:val="clear" w:pos="9026"/>
            </w:tabs>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3</w:t>
          </w:r>
          <w:r>
            <w:rPr>
              <w:noProof/>
            </w:rPr>
            <w:fldChar w:fldCharType="end"/>
          </w:r>
        </w:p>
      </w:tc>
    </w:tr>
  </w:tbl>
  <w:p w14:paraId="7EF978CE" w14:textId="77777777" w:rsidR="009567D9" w:rsidRPr="00176EA1" w:rsidRDefault="009567D9" w:rsidP="00176EA1">
    <w:pPr>
      <w:pStyle w:val="Footer"/>
      <w:tabs>
        <w:tab w:val="clear" w:pos="4513"/>
        <w:tab w:val="clear" w:pos="9026"/>
      </w:tabs>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72C6" w14:textId="77777777" w:rsidR="009567D9" w:rsidRPr="009567D9" w:rsidRDefault="009567D9" w:rsidP="009567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7772" w:type="pct"/>
      <w:tblLook w:val="04A0" w:firstRow="1" w:lastRow="0" w:firstColumn="1" w:lastColumn="0" w:noHBand="0" w:noVBand="1"/>
    </w:tblPr>
    <w:tblGrid>
      <w:gridCol w:w="8188"/>
      <w:gridCol w:w="5154"/>
      <w:gridCol w:w="2698"/>
    </w:tblGrid>
    <w:tr w:rsidR="00C45679" w14:paraId="3AB3E503" w14:textId="77777777" w:rsidTr="00C45679">
      <w:trPr>
        <w:trHeight w:val="219"/>
      </w:trPr>
      <w:tc>
        <w:tcPr>
          <w:cnfStyle w:val="001000000000" w:firstRow="0" w:lastRow="0" w:firstColumn="1" w:lastColumn="0" w:oddVBand="0" w:evenVBand="0" w:oddHBand="0" w:evenHBand="0" w:firstRowFirstColumn="0" w:firstRowLastColumn="0" w:lastRowFirstColumn="0" w:lastRowLastColumn="0"/>
          <w:tcW w:w="5267" w:type="dxa"/>
          <w:vAlign w:val="bottom"/>
        </w:tcPr>
        <w:p w14:paraId="13CF86A9" w14:textId="14D8DDD6" w:rsidR="00C45679" w:rsidRDefault="00C45679" w:rsidP="00C45679">
          <w:pPr>
            <w:pStyle w:val="Footer"/>
          </w:pPr>
          <w:r>
            <w:t>British Business Bank</w:t>
          </w:r>
        </w:p>
      </w:tc>
      <w:tc>
        <w:tcPr>
          <w:tcW w:w="3316" w:type="dxa"/>
          <w:vAlign w:val="bottom"/>
        </w:tcPr>
        <w:p w14:paraId="1B6DB21A" w14:textId="1F81E858" w:rsidR="00C45679" w:rsidRDefault="00885E1E" w:rsidP="00C45679">
          <w:pPr>
            <w:pStyle w:val="Footer"/>
            <w:cnfStyle w:val="000000000000" w:firstRow="0" w:lastRow="0" w:firstColumn="0" w:lastColumn="0" w:oddVBand="0" w:evenVBand="0" w:oddHBand="0" w:evenHBand="0" w:firstRowFirstColumn="0" w:firstRowLastColumn="0" w:lastRowFirstColumn="0" w:lastRowLastColumn="0"/>
          </w:pPr>
          <w:hyperlink r:id="rId1" w:history="1">
            <w:r w:rsidR="00C45679" w:rsidRPr="000869B5">
              <w:rPr>
                <w:rStyle w:val="Hyperlink"/>
              </w:rPr>
              <w:t>british-business-bank.co.uk</w:t>
            </w:r>
          </w:hyperlink>
        </w:p>
      </w:tc>
      <w:tc>
        <w:tcPr>
          <w:tcW w:w="1736" w:type="dxa"/>
          <w:vAlign w:val="bottom"/>
        </w:tcPr>
        <w:p w14:paraId="5A564578" w14:textId="004A93CE" w:rsidR="00C45679" w:rsidRDefault="00C45679" w:rsidP="00C45679">
          <w:pPr>
            <w:pStyle w:val="Footer"/>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3</w:t>
          </w:r>
          <w:r>
            <w:rPr>
              <w:noProof/>
            </w:rPr>
            <w:fldChar w:fldCharType="end"/>
          </w:r>
        </w:p>
      </w:tc>
    </w:tr>
  </w:tbl>
  <w:p w14:paraId="136CA646" w14:textId="77777777" w:rsidR="00BC44D7" w:rsidRPr="00176EA1" w:rsidRDefault="00BC44D7" w:rsidP="00176EA1">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830E" w14:textId="77777777" w:rsidR="000C49E7" w:rsidRDefault="000C49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7772" w:type="pct"/>
      <w:tblLook w:val="04A0" w:firstRow="1" w:lastRow="0" w:firstColumn="1" w:lastColumn="0" w:noHBand="0" w:noVBand="1"/>
    </w:tblPr>
    <w:tblGrid>
      <w:gridCol w:w="5268"/>
      <w:gridCol w:w="3316"/>
      <w:gridCol w:w="1736"/>
    </w:tblGrid>
    <w:tr w:rsidR="00E27136" w14:paraId="10E8A9C5" w14:textId="77777777" w:rsidTr="00C45679">
      <w:trPr>
        <w:trHeight w:val="219"/>
      </w:trPr>
      <w:tc>
        <w:tcPr>
          <w:cnfStyle w:val="001000000000" w:firstRow="0" w:lastRow="0" w:firstColumn="1" w:lastColumn="0" w:oddVBand="0" w:evenVBand="0" w:oddHBand="0" w:evenHBand="0" w:firstRowFirstColumn="0" w:firstRowLastColumn="0" w:lastRowFirstColumn="0" w:lastRowLastColumn="0"/>
          <w:tcW w:w="5267" w:type="dxa"/>
          <w:vAlign w:val="bottom"/>
        </w:tcPr>
        <w:p w14:paraId="0C1FBAB5" w14:textId="77777777" w:rsidR="00E27136" w:rsidRDefault="00E27136" w:rsidP="00C45679">
          <w:pPr>
            <w:pStyle w:val="Footer"/>
          </w:pPr>
          <w:r>
            <w:t>British Business Bank</w:t>
          </w:r>
        </w:p>
      </w:tc>
      <w:tc>
        <w:tcPr>
          <w:tcW w:w="3316" w:type="dxa"/>
          <w:vAlign w:val="bottom"/>
        </w:tcPr>
        <w:p w14:paraId="384A73EB" w14:textId="2D5FCCE4" w:rsidR="00E27136" w:rsidRDefault="00885E1E" w:rsidP="00C45679">
          <w:pPr>
            <w:pStyle w:val="Footer"/>
            <w:cnfStyle w:val="000000000000" w:firstRow="0" w:lastRow="0" w:firstColumn="0" w:lastColumn="0" w:oddVBand="0" w:evenVBand="0" w:oddHBand="0" w:evenHBand="0" w:firstRowFirstColumn="0" w:firstRowLastColumn="0" w:lastRowFirstColumn="0" w:lastRowLastColumn="0"/>
          </w:pPr>
          <w:hyperlink r:id="rId1" w:history="1">
            <w:r w:rsidR="00E27136" w:rsidRPr="000869B5">
              <w:rPr>
                <w:rStyle w:val="Hyperlink"/>
              </w:rPr>
              <w:t>british-business-bank.co.uk</w:t>
            </w:r>
          </w:hyperlink>
        </w:p>
      </w:tc>
      <w:tc>
        <w:tcPr>
          <w:tcW w:w="1736" w:type="dxa"/>
          <w:vAlign w:val="bottom"/>
        </w:tcPr>
        <w:p w14:paraId="1B4DC0C3" w14:textId="77777777" w:rsidR="00E27136" w:rsidRDefault="00E27136" w:rsidP="00C45679">
          <w:pPr>
            <w:pStyle w:val="Footer"/>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3</w:t>
          </w:r>
          <w:r>
            <w:rPr>
              <w:noProof/>
            </w:rPr>
            <w:fldChar w:fldCharType="end"/>
          </w:r>
        </w:p>
      </w:tc>
    </w:tr>
  </w:tbl>
  <w:p w14:paraId="48C5B57F" w14:textId="77777777" w:rsidR="00E27136" w:rsidRPr="00176EA1" w:rsidRDefault="00E27136" w:rsidP="00176EA1">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7802" w:type="pct"/>
      <w:tblLook w:val="04A0" w:firstRow="1" w:lastRow="0" w:firstColumn="1" w:lastColumn="0" w:noHBand="0" w:noVBand="1"/>
    </w:tblPr>
    <w:tblGrid>
      <w:gridCol w:w="4851"/>
      <w:gridCol w:w="4407"/>
      <w:gridCol w:w="1101"/>
    </w:tblGrid>
    <w:tr w:rsidR="00877B1E" w14:paraId="03B6D35E" w14:textId="77777777" w:rsidTr="00C45679">
      <w:trPr>
        <w:trHeight w:val="289"/>
      </w:trPr>
      <w:tc>
        <w:tcPr>
          <w:cnfStyle w:val="001000000000" w:firstRow="0" w:lastRow="0" w:firstColumn="1" w:lastColumn="0" w:oddVBand="0" w:evenVBand="0" w:oddHBand="0" w:evenHBand="0" w:firstRowFirstColumn="0" w:firstRowLastColumn="0" w:lastRowFirstColumn="0" w:lastRowLastColumn="0"/>
          <w:tcW w:w="4851" w:type="dxa"/>
          <w:vAlign w:val="bottom"/>
        </w:tcPr>
        <w:p w14:paraId="61356E67" w14:textId="423EA446" w:rsidR="00877B1E" w:rsidRDefault="00877B1E" w:rsidP="00EA723C">
          <w:pPr>
            <w:pStyle w:val="Footer"/>
            <w:tabs>
              <w:tab w:val="clear" w:pos="4513"/>
              <w:tab w:val="clear" w:pos="9026"/>
            </w:tabs>
          </w:pPr>
          <w:r>
            <w:t>British Business Bank</w:t>
          </w:r>
        </w:p>
      </w:tc>
      <w:tc>
        <w:tcPr>
          <w:tcW w:w="4407" w:type="dxa"/>
          <w:vAlign w:val="bottom"/>
        </w:tcPr>
        <w:p w14:paraId="15AA6A21" w14:textId="02D71B1C" w:rsidR="00877B1E" w:rsidRDefault="00885E1E" w:rsidP="00907334">
          <w:pPr>
            <w:pStyle w:val="Footer"/>
            <w:tabs>
              <w:tab w:val="clear" w:pos="4513"/>
              <w:tab w:val="clear" w:pos="9026"/>
            </w:tabs>
            <w:cnfStyle w:val="000000000000" w:firstRow="0" w:lastRow="0" w:firstColumn="0" w:lastColumn="0" w:oddVBand="0" w:evenVBand="0" w:oddHBand="0" w:evenHBand="0" w:firstRowFirstColumn="0" w:firstRowLastColumn="0" w:lastRowFirstColumn="0" w:lastRowLastColumn="0"/>
          </w:pPr>
          <w:hyperlink r:id="rId1" w:history="1">
            <w:r w:rsidR="00877B1E" w:rsidRPr="000869B5">
              <w:rPr>
                <w:rStyle w:val="Hyperlink"/>
              </w:rPr>
              <w:t>british-business-bank.co.uk</w:t>
            </w:r>
          </w:hyperlink>
        </w:p>
      </w:tc>
      <w:tc>
        <w:tcPr>
          <w:tcW w:w="1101" w:type="dxa"/>
          <w:vAlign w:val="bottom"/>
        </w:tcPr>
        <w:p w14:paraId="01E3300B" w14:textId="725A2E80" w:rsidR="00877B1E" w:rsidRDefault="00877B1E" w:rsidP="004C2C90">
          <w:pPr>
            <w:pStyle w:val="Footer"/>
            <w:tabs>
              <w:tab w:val="clear" w:pos="4513"/>
              <w:tab w:val="clear" w:pos="9026"/>
            </w:tabs>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3</w:t>
          </w:r>
          <w:r>
            <w:rPr>
              <w:noProof/>
            </w:rPr>
            <w:fldChar w:fldCharType="end"/>
          </w:r>
        </w:p>
      </w:tc>
    </w:tr>
  </w:tbl>
  <w:p w14:paraId="49A83633" w14:textId="77777777" w:rsidR="00BC44D7" w:rsidRPr="00176EA1" w:rsidRDefault="00BC44D7" w:rsidP="00176EA1">
    <w:pPr>
      <w:pStyle w:val="Footer"/>
      <w:tabs>
        <w:tab w:val="clear" w:pos="4513"/>
        <w:tab w:val="clear" w:pos="9026"/>
      </w:tabs>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4978" w:type="pct"/>
      <w:tblLook w:val="04A0" w:firstRow="1" w:lastRow="0" w:firstColumn="1" w:lastColumn="0" w:noHBand="0" w:noVBand="1"/>
    </w:tblPr>
    <w:tblGrid>
      <w:gridCol w:w="5243"/>
      <w:gridCol w:w="3302"/>
      <w:gridCol w:w="1729"/>
    </w:tblGrid>
    <w:tr w:rsidR="004C2C90" w14:paraId="6677DCBB" w14:textId="77777777" w:rsidTr="0039386C">
      <w:tc>
        <w:tcPr>
          <w:cnfStyle w:val="001000000000" w:firstRow="0" w:lastRow="0" w:firstColumn="1" w:lastColumn="0" w:oddVBand="0" w:evenVBand="0" w:oddHBand="0" w:evenHBand="0" w:firstRowFirstColumn="0" w:firstRowLastColumn="0" w:lastRowFirstColumn="0" w:lastRowLastColumn="0"/>
          <w:tcW w:w="5159" w:type="dxa"/>
          <w:vAlign w:val="bottom"/>
        </w:tcPr>
        <w:p w14:paraId="62DAB4AF" w14:textId="77777777" w:rsidR="004C2C90" w:rsidRDefault="004C2C90" w:rsidP="00176EA1">
          <w:pPr>
            <w:pStyle w:val="Footer"/>
          </w:pPr>
          <w:r>
            <w:t>British Business Bank</w:t>
          </w:r>
        </w:p>
      </w:tc>
      <w:tc>
        <w:tcPr>
          <w:tcW w:w="3249" w:type="dxa"/>
          <w:vAlign w:val="bottom"/>
        </w:tcPr>
        <w:p w14:paraId="7B528F03" w14:textId="326CE3CC" w:rsidR="004C2C90" w:rsidRDefault="00885E1E" w:rsidP="00176EA1">
          <w:pPr>
            <w:pStyle w:val="Footer"/>
            <w:cnfStyle w:val="000000000000" w:firstRow="0" w:lastRow="0" w:firstColumn="0" w:lastColumn="0" w:oddVBand="0" w:evenVBand="0" w:oddHBand="0" w:evenHBand="0" w:firstRowFirstColumn="0" w:firstRowLastColumn="0" w:lastRowFirstColumn="0" w:lastRowLastColumn="0"/>
          </w:pPr>
          <w:hyperlink r:id="rId1" w:history="1">
            <w:r w:rsidR="004C2C90" w:rsidRPr="000869B5">
              <w:rPr>
                <w:rStyle w:val="Hyperlink"/>
              </w:rPr>
              <w:t>british-business-bank.co.uk</w:t>
            </w:r>
          </w:hyperlink>
        </w:p>
      </w:tc>
      <w:tc>
        <w:tcPr>
          <w:tcW w:w="1701" w:type="dxa"/>
          <w:vAlign w:val="bottom"/>
        </w:tcPr>
        <w:p w14:paraId="29456672" w14:textId="77777777" w:rsidR="004C2C90" w:rsidRDefault="004C2C90" w:rsidP="00176EA1">
          <w:pPr>
            <w:pStyle w:val="Footer"/>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2</w:t>
          </w:r>
          <w:r>
            <w:rPr>
              <w:noProof/>
            </w:rPr>
            <w:fldChar w:fldCharType="end"/>
          </w:r>
        </w:p>
      </w:tc>
    </w:tr>
  </w:tbl>
  <w:p w14:paraId="1F5BF06A" w14:textId="77777777" w:rsidR="004C2C90" w:rsidRPr="00176EA1" w:rsidRDefault="004C2C90" w:rsidP="00176EA1">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5033" w:type="pct"/>
      <w:tblLook w:val="04A0" w:firstRow="1" w:lastRow="0" w:firstColumn="1" w:lastColumn="0" w:noHBand="0" w:noVBand="1"/>
    </w:tblPr>
    <w:tblGrid>
      <w:gridCol w:w="5217"/>
      <w:gridCol w:w="3285"/>
      <w:gridCol w:w="1719"/>
    </w:tblGrid>
    <w:tr w:rsidR="00BA5617" w14:paraId="647ABC2D" w14:textId="77777777" w:rsidTr="00BA5617">
      <w:trPr>
        <w:trHeight w:val="383"/>
      </w:trPr>
      <w:tc>
        <w:tcPr>
          <w:cnfStyle w:val="001000000000" w:firstRow="0" w:lastRow="0" w:firstColumn="1" w:lastColumn="0" w:oddVBand="0" w:evenVBand="0" w:oddHBand="0" w:evenHBand="0" w:firstRowFirstColumn="0" w:firstRowLastColumn="0" w:lastRowFirstColumn="0" w:lastRowLastColumn="0"/>
          <w:tcW w:w="3411" w:type="dxa"/>
        </w:tcPr>
        <w:p w14:paraId="64D5F141" w14:textId="77777777" w:rsidR="00BA5617" w:rsidRDefault="00BA5617" w:rsidP="00877B1E">
          <w:pPr>
            <w:pStyle w:val="Footer"/>
            <w:tabs>
              <w:tab w:val="clear" w:pos="4513"/>
              <w:tab w:val="clear" w:pos="9026"/>
            </w:tabs>
          </w:pPr>
          <w:r>
            <w:t>British Business Bank</w:t>
          </w:r>
        </w:p>
      </w:tc>
      <w:tc>
        <w:tcPr>
          <w:tcW w:w="2148" w:type="dxa"/>
          <w:vAlign w:val="bottom"/>
        </w:tcPr>
        <w:p w14:paraId="7E9538E7" w14:textId="4483CF39" w:rsidR="00BA5617" w:rsidRDefault="00885E1E" w:rsidP="00907334">
          <w:pPr>
            <w:pStyle w:val="Footer"/>
            <w:tabs>
              <w:tab w:val="clear" w:pos="4513"/>
              <w:tab w:val="clear" w:pos="9026"/>
            </w:tabs>
            <w:cnfStyle w:val="000000000000" w:firstRow="0" w:lastRow="0" w:firstColumn="0" w:lastColumn="0" w:oddVBand="0" w:evenVBand="0" w:oddHBand="0" w:evenHBand="0" w:firstRowFirstColumn="0" w:firstRowLastColumn="0" w:lastRowFirstColumn="0" w:lastRowLastColumn="0"/>
          </w:pPr>
          <w:hyperlink r:id="rId1" w:history="1">
            <w:r w:rsidR="00BA5617" w:rsidRPr="000869B5">
              <w:rPr>
                <w:rStyle w:val="Hyperlink"/>
              </w:rPr>
              <w:t>british-business-bank.co.uk</w:t>
            </w:r>
          </w:hyperlink>
        </w:p>
      </w:tc>
      <w:tc>
        <w:tcPr>
          <w:tcW w:w="1124" w:type="dxa"/>
          <w:vAlign w:val="bottom"/>
        </w:tcPr>
        <w:p w14:paraId="3DB50482" w14:textId="77777777" w:rsidR="00BA5617" w:rsidRDefault="00BA5617" w:rsidP="004C2C90">
          <w:pPr>
            <w:pStyle w:val="Footer"/>
            <w:tabs>
              <w:tab w:val="clear" w:pos="4513"/>
              <w:tab w:val="clear" w:pos="9026"/>
            </w:tabs>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3</w:t>
          </w:r>
          <w:r>
            <w:rPr>
              <w:noProof/>
            </w:rPr>
            <w:fldChar w:fldCharType="end"/>
          </w:r>
        </w:p>
      </w:tc>
    </w:tr>
  </w:tbl>
  <w:p w14:paraId="5391F917" w14:textId="77777777" w:rsidR="00BA5617" w:rsidRPr="00176EA1" w:rsidRDefault="00BA5617" w:rsidP="00176EA1">
    <w:pPr>
      <w:pStyle w:val="Footer"/>
      <w:tabs>
        <w:tab w:val="clear" w:pos="4513"/>
        <w:tab w:val="clear" w:pos="9026"/>
      </w:tabs>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4978" w:type="pct"/>
      <w:tblLook w:val="04A0" w:firstRow="1" w:lastRow="0" w:firstColumn="1" w:lastColumn="0" w:noHBand="0" w:noVBand="1"/>
    </w:tblPr>
    <w:tblGrid>
      <w:gridCol w:w="5243"/>
      <w:gridCol w:w="3302"/>
      <w:gridCol w:w="1729"/>
    </w:tblGrid>
    <w:tr w:rsidR="00E66156" w14:paraId="4AA082D1" w14:textId="77777777" w:rsidTr="0039386C">
      <w:tc>
        <w:tcPr>
          <w:cnfStyle w:val="001000000000" w:firstRow="0" w:lastRow="0" w:firstColumn="1" w:lastColumn="0" w:oddVBand="0" w:evenVBand="0" w:oddHBand="0" w:evenHBand="0" w:firstRowFirstColumn="0" w:firstRowLastColumn="0" w:lastRowFirstColumn="0" w:lastRowLastColumn="0"/>
          <w:tcW w:w="5159" w:type="dxa"/>
          <w:vAlign w:val="bottom"/>
        </w:tcPr>
        <w:p w14:paraId="29CC2F1A" w14:textId="77777777" w:rsidR="00E66156" w:rsidRDefault="00E66156" w:rsidP="00176EA1">
          <w:pPr>
            <w:pStyle w:val="Footer"/>
          </w:pPr>
          <w:r>
            <w:t>British Business Bank</w:t>
          </w:r>
        </w:p>
      </w:tc>
      <w:tc>
        <w:tcPr>
          <w:tcW w:w="3249" w:type="dxa"/>
          <w:vAlign w:val="bottom"/>
        </w:tcPr>
        <w:p w14:paraId="1937B464" w14:textId="09247BDF" w:rsidR="00E66156" w:rsidRDefault="00885E1E" w:rsidP="00176EA1">
          <w:pPr>
            <w:pStyle w:val="Footer"/>
            <w:cnfStyle w:val="000000000000" w:firstRow="0" w:lastRow="0" w:firstColumn="0" w:lastColumn="0" w:oddVBand="0" w:evenVBand="0" w:oddHBand="0" w:evenHBand="0" w:firstRowFirstColumn="0" w:firstRowLastColumn="0" w:lastRowFirstColumn="0" w:lastRowLastColumn="0"/>
          </w:pPr>
          <w:hyperlink r:id="rId1" w:history="1">
            <w:r w:rsidR="00E66156" w:rsidRPr="000869B5">
              <w:rPr>
                <w:rStyle w:val="Hyperlink"/>
              </w:rPr>
              <w:t>british-business-bank.co.uk</w:t>
            </w:r>
          </w:hyperlink>
        </w:p>
      </w:tc>
      <w:tc>
        <w:tcPr>
          <w:tcW w:w="1701" w:type="dxa"/>
          <w:vAlign w:val="bottom"/>
        </w:tcPr>
        <w:p w14:paraId="09101FCC" w14:textId="77777777" w:rsidR="00E66156" w:rsidRDefault="00E66156" w:rsidP="00176EA1">
          <w:pPr>
            <w:pStyle w:val="Footer"/>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2</w:t>
          </w:r>
          <w:r>
            <w:rPr>
              <w:noProof/>
            </w:rPr>
            <w:fldChar w:fldCharType="end"/>
          </w:r>
        </w:p>
      </w:tc>
    </w:tr>
  </w:tbl>
  <w:p w14:paraId="0AC75E20" w14:textId="77777777" w:rsidR="00E66156" w:rsidRPr="00176EA1" w:rsidRDefault="00E66156" w:rsidP="00176EA1">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BBfootertable"/>
      <w:tblW w:w="4926" w:type="pct"/>
      <w:tblLook w:val="04A0" w:firstRow="1" w:lastRow="0" w:firstColumn="1" w:lastColumn="0" w:noHBand="0" w:noVBand="1"/>
    </w:tblPr>
    <w:tblGrid>
      <w:gridCol w:w="4939"/>
      <w:gridCol w:w="2999"/>
      <w:gridCol w:w="2066"/>
    </w:tblGrid>
    <w:tr w:rsidR="00E66156" w14:paraId="41B13733" w14:textId="77777777" w:rsidTr="00E66156">
      <w:tc>
        <w:tcPr>
          <w:cnfStyle w:val="001000000000" w:firstRow="0" w:lastRow="0" w:firstColumn="1" w:lastColumn="0" w:oddVBand="0" w:evenVBand="0" w:oddHBand="0" w:evenHBand="0" w:firstRowFirstColumn="0" w:firstRowLastColumn="0" w:lastRowFirstColumn="0" w:lastRowLastColumn="0"/>
          <w:tcW w:w="4939" w:type="dxa"/>
        </w:tcPr>
        <w:p w14:paraId="641E8AC8" w14:textId="77777777" w:rsidR="00E66156" w:rsidRDefault="00E66156" w:rsidP="00877B1E">
          <w:pPr>
            <w:pStyle w:val="Footer"/>
            <w:tabs>
              <w:tab w:val="clear" w:pos="4513"/>
              <w:tab w:val="clear" w:pos="9026"/>
            </w:tabs>
          </w:pPr>
          <w:r>
            <w:t>British Business Bank</w:t>
          </w:r>
        </w:p>
      </w:tc>
      <w:tc>
        <w:tcPr>
          <w:tcW w:w="2999" w:type="dxa"/>
          <w:vAlign w:val="bottom"/>
        </w:tcPr>
        <w:p w14:paraId="02BF12EC" w14:textId="349A0827" w:rsidR="00E66156" w:rsidRDefault="00885E1E" w:rsidP="00907334">
          <w:pPr>
            <w:pStyle w:val="Footer"/>
            <w:tabs>
              <w:tab w:val="clear" w:pos="4513"/>
              <w:tab w:val="clear" w:pos="9026"/>
            </w:tabs>
            <w:cnfStyle w:val="000000000000" w:firstRow="0" w:lastRow="0" w:firstColumn="0" w:lastColumn="0" w:oddVBand="0" w:evenVBand="0" w:oddHBand="0" w:evenHBand="0" w:firstRowFirstColumn="0" w:firstRowLastColumn="0" w:lastRowFirstColumn="0" w:lastRowLastColumn="0"/>
          </w:pPr>
          <w:hyperlink r:id="rId1" w:history="1">
            <w:r w:rsidR="00E66156" w:rsidRPr="000869B5">
              <w:rPr>
                <w:rStyle w:val="Hyperlink"/>
              </w:rPr>
              <w:t>british-business-bank.co.uk</w:t>
            </w:r>
          </w:hyperlink>
        </w:p>
      </w:tc>
      <w:tc>
        <w:tcPr>
          <w:tcW w:w="2066" w:type="dxa"/>
          <w:vAlign w:val="bottom"/>
        </w:tcPr>
        <w:p w14:paraId="7745894D" w14:textId="77777777" w:rsidR="00E66156" w:rsidRDefault="00E66156" w:rsidP="004C2C90">
          <w:pPr>
            <w:pStyle w:val="Footer"/>
            <w:tabs>
              <w:tab w:val="clear" w:pos="4513"/>
              <w:tab w:val="clear" w:pos="9026"/>
            </w:tabs>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t>3</w:t>
          </w:r>
          <w:r>
            <w:rPr>
              <w:noProof/>
            </w:rPr>
            <w:fldChar w:fldCharType="end"/>
          </w:r>
        </w:p>
      </w:tc>
    </w:tr>
  </w:tbl>
  <w:p w14:paraId="469F8368" w14:textId="77777777" w:rsidR="00E66156" w:rsidRPr="00176EA1" w:rsidRDefault="00E66156" w:rsidP="00176EA1">
    <w:pPr>
      <w:pStyle w:val="Footer"/>
      <w:tabs>
        <w:tab w:val="clear" w:pos="4513"/>
        <w:tab w:val="clear" w:pos="9026"/>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4F723" w14:textId="77777777" w:rsidR="00A21374" w:rsidRDefault="00A21374" w:rsidP="00016B1D">
      <w:pPr>
        <w:spacing w:after="0" w:line="240" w:lineRule="auto"/>
      </w:pPr>
      <w:r>
        <w:separator/>
      </w:r>
    </w:p>
  </w:footnote>
  <w:footnote w:type="continuationSeparator" w:id="0">
    <w:p w14:paraId="6BB71630" w14:textId="77777777" w:rsidR="00A21374" w:rsidRDefault="00A21374" w:rsidP="00016B1D">
      <w:pPr>
        <w:spacing w:after="0" w:line="240" w:lineRule="auto"/>
      </w:pPr>
      <w:r>
        <w:continuationSeparator/>
      </w:r>
    </w:p>
  </w:footnote>
  <w:footnote w:type="continuationNotice" w:id="1">
    <w:p w14:paraId="15332132" w14:textId="77777777" w:rsidR="00A21374" w:rsidRDefault="00A21374">
      <w:pPr>
        <w:spacing w:after="0" w:line="240" w:lineRule="auto"/>
      </w:pPr>
    </w:p>
  </w:footnote>
  <w:footnote w:id="2">
    <w:p w14:paraId="0A5199A6" w14:textId="197F1E43" w:rsidR="009B1A8C" w:rsidRPr="005C267D" w:rsidRDefault="009B1A8C">
      <w:pPr>
        <w:pStyle w:val="FootnoteText"/>
        <w:rPr>
          <w:lang w:val="en-US"/>
        </w:rPr>
      </w:pPr>
      <w:r>
        <w:rPr>
          <w:rStyle w:val="FootnoteReference"/>
        </w:rPr>
        <w:footnoteRef/>
      </w:r>
      <w:r>
        <w:t xml:space="preserve"> Still, borrowers and non-borrowers </w:t>
      </w:r>
      <w:r w:rsidR="00261DB6">
        <w:t xml:space="preserve">differ </w:t>
      </w:r>
      <w:r>
        <w:t xml:space="preserve">even after this screening process, </w:t>
      </w:r>
      <w:r w:rsidR="00FB4D24">
        <w:t xml:space="preserve">for example 62% of borrowers experienced a major interruption to their business as a result of changes in market demand between March 2020 and March 2021 compared to 51% of non-borrowers. </w:t>
      </w:r>
      <w:r w:rsidR="0089121A">
        <w:t xml:space="preserve">Therefore, the econometric analysis aims to minimise the risk that any differences in outcomes between both groups are due to factors other than participation in </w:t>
      </w:r>
      <w:r w:rsidR="0054069C">
        <w:t>RLS 1.0</w:t>
      </w:r>
      <w:r w:rsidR="0089121A">
        <w:t xml:space="preserve">. The approach is described in more detail in </w:t>
      </w:r>
      <w:r w:rsidR="0089121A">
        <w:fldChar w:fldCharType="begin"/>
      </w:r>
      <w:r w:rsidR="0089121A">
        <w:instrText xml:space="preserve"> REF _Ref92924533 \h </w:instrText>
      </w:r>
      <w:r w:rsidR="0089121A">
        <w:fldChar w:fldCharType="separate"/>
      </w:r>
      <w:r w:rsidR="00F937A7">
        <w:t xml:space="preserve">Annex </w:t>
      </w:r>
      <w:r w:rsidR="0089121A">
        <w:fldChar w:fldCharType="end"/>
      </w:r>
      <w:r w:rsidR="000D198B">
        <w:t>4</w:t>
      </w:r>
      <w:r w:rsidR="0089121A">
        <w:t>.</w:t>
      </w:r>
      <w:r w:rsidR="009D7B16">
        <w:t xml:space="preserve"> </w:t>
      </w:r>
    </w:p>
  </w:footnote>
  <w:footnote w:id="3">
    <w:p w14:paraId="5FC33B34" w14:textId="23CDFFCB" w:rsidR="00790549" w:rsidRDefault="00790549">
      <w:pPr>
        <w:pStyle w:val="FootnoteText"/>
      </w:pPr>
      <w:r>
        <w:rPr>
          <w:rStyle w:val="FootnoteReference"/>
        </w:rPr>
        <w:footnoteRef/>
      </w:r>
      <w:r>
        <w:t xml:space="preserve"> British Business Bank. (2023). Year 2 Evaluation of the Bounce Back Loan Scheme, Coronavirus Business Interruption Loan Scheme, and Coronavirus Large Business Interruption Loan Scheme, Table 13. </w:t>
      </w:r>
    </w:p>
  </w:footnote>
  <w:footnote w:id="4">
    <w:p w14:paraId="1DA68C6A" w14:textId="74D79709" w:rsidR="00FF23A8" w:rsidRPr="005C267D" w:rsidRDefault="00FF23A8">
      <w:pPr>
        <w:pStyle w:val="FootnoteText"/>
        <w:rPr>
          <w:lang w:val="en-US"/>
        </w:rPr>
      </w:pPr>
      <w:r>
        <w:rPr>
          <w:rStyle w:val="FootnoteReference"/>
        </w:rPr>
        <w:footnoteRef/>
      </w:r>
      <w:r>
        <w:t xml:space="preserve"> </w:t>
      </w:r>
      <w:r w:rsidR="001525E9">
        <w:fldChar w:fldCharType="begin"/>
      </w:r>
      <w:r w:rsidR="001525E9">
        <w:instrText xml:space="preserve"> REF _Ref92818900 \h </w:instrText>
      </w:r>
      <w:r w:rsidR="001525E9">
        <w:fldChar w:fldCharType="separate"/>
      </w:r>
      <w:r w:rsidR="001525E9" w:rsidRPr="00BD4B16">
        <w:t xml:space="preserve">Table </w:t>
      </w:r>
      <w:r w:rsidR="001525E9">
        <w:rPr>
          <w:noProof/>
        </w:rPr>
        <w:t>28</w:t>
      </w:r>
      <w:r w:rsidR="001525E9">
        <w:fldChar w:fldCharType="end"/>
      </w:r>
      <w:r w:rsidR="001525E9">
        <w:t xml:space="preserve"> and </w:t>
      </w:r>
      <w:r w:rsidR="001525E9">
        <w:fldChar w:fldCharType="begin"/>
      </w:r>
      <w:r w:rsidR="001525E9">
        <w:instrText xml:space="preserve"> REF _Ref92818914 \h </w:instrText>
      </w:r>
      <w:r w:rsidR="001525E9">
        <w:fldChar w:fldCharType="separate"/>
      </w:r>
      <w:r w:rsidR="001525E9" w:rsidRPr="00BD4B16">
        <w:t xml:space="preserve">Table </w:t>
      </w:r>
      <w:r w:rsidR="001525E9">
        <w:rPr>
          <w:noProof/>
        </w:rPr>
        <w:t>29</w:t>
      </w:r>
      <w:r w:rsidR="001525E9">
        <w:fldChar w:fldCharType="end"/>
      </w:r>
      <w:r>
        <w:rPr>
          <w:lang w:val="en-US"/>
        </w:rPr>
        <w:t xml:space="preserve"> compare the incidence of various characteristics across the borrower and non-borrower samples both before and after this matching exercise,</w:t>
      </w:r>
      <w:r w:rsidR="00790549">
        <w:rPr>
          <w:lang w:val="en-US"/>
        </w:rPr>
        <w:t xml:space="preserve"> </w:t>
      </w:r>
      <w:r>
        <w:rPr>
          <w:lang w:val="en-US"/>
        </w:rPr>
        <w:t xml:space="preserve">and show that </w:t>
      </w:r>
      <w:r w:rsidR="008B4EC0">
        <w:rPr>
          <w:lang w:val="en-US"/>
        </w:rPr>
        <w:t>the matching</w:t>
      </w:r>
      <w:r w:rsidR="00790549">
        <w:rPr>
          <w:lang w:val="en-US"/>
        </w:rPr>
        <w:t xml:space="preserve"> substantially</w:t>
      </w:r>
      <w:r>
        <w:rPr>
          <w:lang w:val="en-US"/>
        </w:rPr>
        <w:t xml:space="preserve"> reduced differences across both samples. </w:t>
      </w:r>
      <w:r w:rsidR="00772164">
        <w:t>It should be noted that an important limitation of this method is that it does not match borrowers and non-borrowers based on unobserved characteristics (e.g.</w:t>
      </w:r>
      <w:r w:rsidR="00B65E6E">
        <w:t>,</w:t>
      </w:r>
      <w:r w:rsidR="00772164">
        <w:t xml:space="preserve"> attitudes to risk etc.).</w:t>
      </w:r>
    </w:p>
  </w:footnote>
  <w:footnote w:id="5">
    <w:p w14:paraId="449885FA" w14:textId="4B6D5A77" w:rsidR="00231F49" w:rsidRDefault="00231F49">
      <w:pPr>
        <w:pStyle w:val="FootnoteText"/>
      </w:pPr>
      <w:r>
        <w:rPr>
          <w:rStyle w:val="FootnoteReference"/>
        </w:rPr>
        <w:footnoteRef/>
      </w:r>
      <w:r>
        <w:t xml:space="preserve"> Office for National Statistics. (2022). </w:t>
      </w:r>
      <w:r w:rsidRPr="00231F49">
        <w:t>Business Insights and Conditions Survey Wave 63 ad-hoc tables: Research and Development</w:t>
      </w:r>
      <w:r>
        <w:t xml:space="preserve">. Available at: </w:t>
      </w:r>
      <w:hyperlink r:id="rId1" w:history="1">
        <w:r w:rsidRPr="00901A85">
          <w:rPr>
            <w:rStyle w:val="Hyperlink"/>
          </w:rPr>
          <w:t>https://www.ons.gov.uk/economy/economicoutputandproductivity/output/adhocs/15084businessinsightsandconditionssurveywave63adhoctablesresearchanddevelopment</w:t>
        </w:r>
      </w:hyperlink>
      <w:r>
        <w:t xml:space="preserve"> </w:t>
      </w:r>
    </w:p>
  </w:footnote>
  <w:footnote w:id="6">
    <w:p w14:paraId="13D441F1" w14:textId="5A4C4838" w:rsidR="004E1F3A" w:rsidRDefault="004E1F3A">
      <w:pPr>
        <w:pStyle w:val="FootnoteText"/>
      </w:pPr>
      <w:r>
        <w:rPr>
          <w:rStyle w:val="FootnoteReference"/>
        </w:rPr>
        <w:footnoteRef/>
      </w:r>
      <w:r>
        <w:t xml:space="preserve"> British Business Bank. (202</w:t>
      </w:r>
      <w:r w:rsidR="001C49FD">
        <w:t>2</w:t>
      </w:r>
      <w:r>
        <w:t>). Evaluation of the Bounce Back Loan Scheme, Coronavirus Business Interruption Loan Scheme, and Coronavirus Large Business Interruption Loan Scheme.</w:t>
      </w:r>
    </w:p>
  </w:footnote>
  <w:footnote w:id="7">
    <w:p w14:paraId="26ABA3BE" w14:textId="240F8A8F" w:rsidR="004E1F3A" w:rsidRDefault="004E1F3A">
      <w:pPr>
        <w:pStyle w:val="FootnoteText"/>
      </w:pPr>
      <w:r>
        <w:rPr>
          <w:rStyle w:val="FootnoteReference"/>
        </w:rPr>
        <w:footnoteRef/>
      </w:r>
      <w:r>
        <w:t xml:space="preserve"> CBILS was launched in March and CLBILS in April. </w:t>
      </w:r>
    </w:p>
  </w:footnote>
  <w:footnote w:id="8">
    <w:p w14:paraId="5BDF72AA" w14:textId="5D22EC50" w:rsidR="004E1F3A" w:rsidRDefault="004E1F3A">
      <w:pPr>
        <w:pStyle w:val="FootnoteText"/>
      </w:pPr>
      <w:r>
        <w:rPr>
          <w:rStyle w:val="FootnoteReference"/>
        </w:rPr>
        <w:footnoteRef/>
      </w:r>
      <w:r>
        <w:t xml:space="preserve"> This means that there is less than a 10% chance that the </w:t>
      </w:r>
      <w:r w:rsidR="00C74001">
        <w:t xml:space="preserve">observed </w:t>
      </w:r>
      <w:r>
        <w:t xml:space="preserve">difference in additionality between borrowers obtaining finance from banks vs. non-banks </w:t>
      </w:r>
      <w:r w:rsidR="00C74001">
        <w:t>could be caused by sample variability if there were actually no underlying difference in additionality between these groups</w:t>
      </w:r>
      <w:r>
        <w:t>.</w:t>
      </w:r>
    </w:p>
  </w:footnote>
  <w:footnote w:id="9">
    <w:p w14:paraId="691C53F5" w14:textId="77777777" w:rsidR="001C49FD" w:rsidRDefault="001C49FD" w:rsidP="001C49FD">
      <w:pPr>
        <w:pStyle w:val="FootnoteText"/>
      </w:pPr>
      <w:r>
        <w:rPr>
          <w:rStyle w:val="FootnoteReference"/>
        </w:rPr>
        <w:footnoteRef/>
      </w:r>
      <w:r>
        <w:t xml:space="preserve"> CBILS was launched in March and CLBILS in April. </w:t>
      </w:r>
    </w:p>
  </w:footnote>
  <w:footnote w:id="10">
    <w:p w14:paraId="7193C929" w14:textId="5489F834" w:rsidR="005230B0" w:rsidRDefault="005230B0">
      <w:pPr>
        <w:pStyle w:val="FootnoteText"/>
      </w:pPr>
      <w:r>
        <w:rPr>
          <w:rStyle w:val="FootnoteReference"/>
        </w:rPr>
        <w:footnoteRef/>
      </w:r>
      <w:r>
        <w:t xml:space="preserve"> British Business Bank. (2023). Year 2 Evaluation of the Bounce Back Loan Scheme, Coronavirus Business Interruption Loan Scheme, and Coronavirus Large Business Interruption Loan Scheme, Table 18. </w:t>
      </w:r>
    </w:p>
  </w:footnote>
  <w:footnote w:id="11">
    <w:p w14:paraId="6E7AC76B" w14:textId="776C550C" w:rsidR="001C49FD" w:rsidRDefault="001C49FD">
      <w:pPr>
        <w:pStyle w:val="FootnoteText"/>
      </w:pPr>
      <w:r>
        <w:rPr>
          <w:rStyle w:val="FootnoteReference"/>
        </w:rPr>
        <w:footnoteRef/>
      </w:r>
      <w:r>
        <w:t xml:space="preserve"> OBR (2022) </w:t>
      </w:r>
      <w:r w:rsidRPr="00F2065B">
        <w:t>Pandemic risk scenario: the emergence of a vaccine-escaping variant</w:t>
      </w:r>
      <w:r>
        <w:t xml:space="preserve">. [Online] Available at: </w:t>
      </w:r>
      <w:hyperlink r:id="rId2" w:history="1">
        <w:r w:rsidRPr="00981C8A">
          <w:rPr>
            <w:rStyle w:val="Hyperlink"/>
          </w:rPr>
          <w:t>https://obr.uk/box/pandemic-risk-scenario-the-emergence-of-a-vaccine-escaping-variant/</w:t>
        </w:r>
      </w:hyperlink>
      <w:r>
        <w:t xml:space="preserve"> </w:t>
      </w:r>
    </w:p>
  </w:footnote>
  <w:footnote w:id="12">
    <w:p w14:paraId="17D443B8" w14:textId="6B8BF254" w:rsidR="004B3CC9" w:rsidRDefault="004B3CC9" w:rsidP="003B2EF1">
      <w:pPr>
        <w:pStyle w:val="FootnoteText"/>
      </w:pPr>
      <w:r>
        <w:rPr>
          <w:rStyle w:val="FootnoteReference"/>
        </w:rPr>
        <w:footnoteRef/>
      </w:r>
      <w:r>
        <w:t xml:space="preserve"> This is based on the total value of lending reported in RLS 1.0 Management Information and total business lending estimates from BBB Small Business Finance Report 2021</w:t>
      </w:r>
    </w:p>
  </w:footnote>
  <w:footnote w:id="13">
    <w:p w14:paraId="25446A42" w14:textId="78081BD8" w:rsidR="00205284" w:rsidRDefault="00205284">
      <w:pPr>
        <w:pStyle w:val="FootnoteText"/>
      </w:pPr>
      <w:r>
        <w:rPr>
          <w:rStyle w:val="FootnoteReference"/>
        </w:rPr>
        <w:footnoteRef/>
      </w:r>
      <w:r>
        <w:t xml:space="preserve"> BBB analysis of ONS data, January 2021. </w:t>
      </w:r>
    </w:p>
  </w:footnote>
  <w:footnote w:id="14">
    <w:p w14:paraId="13F03AA3" w14:textId="77777777" w:rsidR="00CD4D85" w:rsidRDefault="00CD4D85" w:rsidP="003B2EF1">
      <w:pPr>
        <w:pStyle w:val="FootnoteText"/>
      </w:pPr>
      <w:r>
        <w:rPr>
          <w:rStyle w:val="FootnoteReference"/>
        </w:rPr>
        <w:footnoteRef/>
      </w:r>
      <w:r>
        <w:t xml:space="preserve"> A British Business Bank programme providing a portfolio guarantee to cover a portion of a designated lending portfolio’s net credit losses exceeding an agreed ‘first loss’ threshold.</w:t>
      </w:r>
    </w:p>
  </w:footnote>
  <w:footnote w:id="15">
    <w:p w14:paraId="02062E80" w14:textId="690BD8DD" w:rsidR="00CD4D85" w:rsidRDefault="00CD4D85">
      <w:pPr>
        <w:pStyle w:val="FootnoteText"/>
      </w:pPr>
      <w:r>
        <w:rPr>
          <w:rStyle w:val="FootnoteReference"/>
        </w:rPr>
        <w:footnoteRef/>
      </w:r>
      <w:r w:rsidR="02AC3778">
        <w:t xml:space="preserve"> The Undertaking in Difficulty test was an assessment of whether a business faced insolvency, and was defined by whether a business had: accumulated losses greater than half their capital; entered into (or fulfilled the criteria to be put into) collective insolvency proceedings; previously received rescue aid or restructuring aid; fallen below the required solvency ratios for the previous two years. See </w:t>
      </w:r>
      <w:hyperlink r:id="rId3" w:history="1">
        <w:r w:rsidR="02AC3778" w:rsidRPr="02AC3778">
          <w:rPr>
            <w:rStyle w:val="Hyperlink"/>
          </w:rPr>
          <w:t>https://www.british-business-bank.co.uk/press-release/british-business-bank-confirms-changes-to-undertaking-in-difficulty-guidance/</w:t>
        </w:r>
      </w:hyperlink>
      <w:r w:rsidR="02AC3778">
        <w:t xml:space="preserve"> </w:t>
      </w:r>
    </w:p>
  </w:footnote>
  <w:footnote w:id="16">
    <w:p w14:paraId="42328937" w14:textId="182E9EA7" w:rsidR="00CD4D85" w:rsidRDefault="00CD4D85">
      <w:pPr>
        <w:pStyle w:val="FootnoteText"/>
      </w:pPr>
      <w:r>
        <w:rPr>
          <w:rStyle w:val="FootnoteReference"/>
        </w:rPr>
        <w:footnoteRef/>
      </w:r>
      <w:r w:rsidR="02AC3778">
        <w:t xml:space="preserve"> The revised Undertaking in Difficulty test was applicable in Great Britain. However, due to the NI Protocol, for medium and large businesses in Northern Ireland where the proposed facility was £30,000 or above, the same Undertaking in Difficulty test from CBILS was used. For micro and small businesses in Northern Ireland, the Undertaking in Difficulty test was slightly different than for medium and large businesses, and assessed whether a business was: in collective insolvency proceedings; in receipt of outstanding rescue aid; or in receipt of restructuring aid whilst still subject to a restructuring plan.  </w:t>
      </w:r>
    </w:p>
  </w:footnote>
  <w:footnote w:id="17">
    <w:p w14:paraId="4107A178" w14:textId="5669106C" w:rsidR="02AC3778" w:rsidRDefault="02AC3778" w:rsidP="00F648A2">
      <w:pPr>
        <w:spacing w:after="0" w:line="240" w:lineRule="auto"/>
      </w:pPr>
      <w:r w:rsidRPr="00F648A2">
        <w:rPr>
          <w:sz w:val="20"/>
          <w:szCs w:val="18"/>
          <w:vertAlign w:val="superscript"/>
        </w:rPr>
        <w:footnoteRef/>
      </w:r>
      <w:r>
        <w:t xml:space="preserve"> </w:t>
      </w:r>
      <w:r w:rsidRPr="00F648A2">
        <w:rPr>
          <w:sz w:val="20"/>
          <w:szCs w:val="20"/>
        </w:rPr>
        <w:t>For example, if a scheme has a guarantee rate of 50% and also a portfolio cap of 20%, then the maximum a lender could theoretically claim against £100m of lending would be £10m (20% portfolio cap x 50% guarantee rate).</w:t>
      </w:r>
    </w:p>
  </w:footnote>
  <w:footnote w:id="18">
    <w:p w14:paraId="27C6DCF9" w14:textId="420A7A89" w:rsidR="00CD4D85" w:rsidRDefault="00CD4D85">
      <w:pPr>
        <w:pStyle w:val="FootnoteText"/>
      </w:pPr>
      <w:r>
        <w:rPr>
          <w:rStyle w:val="FootnoteReference"/>
        </w:rPr>
        <w:footnoteRef/>
      </w:r>
      <w:r w:rsidR="02AC3778">
        <w:t xml:space="preserve"> ENABLE Funding is a BBB programme which provides funding to lenders who successfully apply to participate in the scheme; accredited RLS lenders can then use that funding for lending under RLS.</w:t>
      </w:r>
    </w:p>
  </w:footnote>
  <w:footnote w:id="19">
    <w:p w14:paraId="412671B7" w14:textId="309AD030" w:rsidR="00A507A4" w:rsidRDefault="00A507A4">
      <w:pPr>
        <w:pStyle w:val="FootnoteText"/>
      </w:pPr>
      <w:r>
        <w:rPr>
          <w:rStyle w:val="FootnoteReference"/>
        </w:rPr>
        <w:footnoteRef/>
      </w:r>
      <w:r>
        <w:t xml:space="preserve"> For CBILS and BBLS, borrowers did not pay any interest for the first 12 months, so faced an effective rate of 0%. However, lenders still received the interest payments for the first 12 months, and these were paid by the government via the BIP.</w:t>
      </w:r>
    </w:p>
  </w:footnote>
  <w:footnote w:id="20">
    <w:p w14:paraId="1CAC43D6" w14:textId="77777777" w:rsidR="00CD4D85" w:rsidRDefault="00CD4D85" w:rsidP="003B2EF1">
      <w:pPr>
        <w:pStyle w:val="FootnoteText"/>
      </w:pPr>
      <w:r>
        <w:rPr>
          <w:rStyle w:val="FootnoteReference"/>
        </w:rPr>
        <w:footnoteRef/>
      </w:r>
      <w:r>
        <w:t xml:space="preserve"> For BBLS, DBT required Ministerial Direction and BBB needed a reservation notice due to the risks associated with the scheme. See BEIS (2020) Bounce Back Loan: Request for Ministerial Direction and Changes to Coronavirus Business Interruption Loan Scheme: Request for Ministerial Direction; and British Business Bank (2020) Reservation Notice for the Bounce Back Loan Scheme</w:t>
      </w:r>
    </w:p>
  </w:footnote>
  <w:footnote w:id="21">
    <w:p w14:paraId="518CF121" w14:textId="35E88752" w:rsidR="00CD4D85" w:rsidRDefault="00CD4D85">
      <w:pPr>
        <w:pStyle w:val="FootnoteText"/>
      </w:pPr>
      <w:r>
        <w:rPr>
          <w:rStyle w:val="FootnoteReference"/>
        </w:rPr>
        <w:footnoteRef/>
      </w:r>
      <w:r>
        <w:t xml:space="preserve"> The estimated default rate was subject to a high degree of uncertainty, and throughout RLS</w:t>
      </w:r>
      <w:r w:rsidR="00C236F3">
        <w:t xml:space="preserve"> 1.0</w:t>
      </w:r>
      <w:r>
        <w:t xml:space="preserve"> BBB have worked to refine these estimates.</w:t>
      </w:r>
    </w:p>
  </w:footnote>
  <w:footnote w:id="22">
    <w:p w14:paraId="2DCC8DF2" w14:textId="281111CD" w:rsidR="005256A9" w:rsidRDefault="005256A9">
      <w:pPr>
        <w:pStyle w:val="FootnoteText"/>
      </w:pPr>
      <w:r>
        <w:rPr>
          <w:rStyle w:val="FootnoteReference"/>
        </w:rPr>
        <w:footnoteRef/>
      </w:r>
      <w:r>
        <w:t xml:space="preserve"> BBB (2022) Small Business Finance Market 2021/22: Based on research undertaken by </w:t>
      </w:r>
      <w:r w:rsidRPr="005256A9">
        <w:t xml:space="preserve">BVA BDRC </w:t>
      </w:r>
      <w:r>
        <w:t xml:space="preserve">- </w:t>
      </w:r>
      <w:r w:rsidRPr="005256A9">
        <w:t>SME Finance Monitor</w:t>
      </w:r>
      <w:r>
        <w:t>.</w:t>
      </w:r>
    </w:p>
  </w:footnote>
  <w:footnote w:id="23">
    <w:p w14:paraId="410B5B0D" w14:textId="77777777" w:rsidR="00CD4D85" w:rsidRDefault="00CD4D85">
      <w:pPr>
        <w:pStyle w:val="FootnoteText"/>
      </w:pPr>
      <w:r>
        <w:rPr>
          <w:rStyle w:val="FootnoteReference"/>
        </w:rPr>
        <w:footnoteRef/>
      </w:r>
      <w:r>
        <w:t xml:space="preserve"> The AER on a facility is the actual interest rate on a loan, accounting for the compound effect. </w:t>
      </w:r>
    </w:p>
  </w:footnote>
  <w:footnote w:id="24">
    <w:p w14:paraId="2D444FF7" w14:textId="7956FDC9" w:rsidR="00CD238D" w:rsidRDefault="00CD238D">
      <w:pPr>
        <w:pStyle w:val="FootnoteText"/>
      </w:pPr>
      <w:r>
        <w:rPr>
          <w:rStyle w:val="FootnoteReference"/>
        </w:rPr>
        <w:footnoteRef/>
      </w:r>
      <w:r>
        <w:t xml:space="preserve"> An API is</w:t>
      </w:r>
      <w:r w:rsidRPr="002E562D">
        <w:t xml:space="preserve"> software </w:t>
      </w:r>
      <w:r>
        <w:t xml:space="preserve">which supports </w:t>
      </w:r>
      <w:r w:rsidRPr="002E562D">
        <w:t xml:space="preserve">two applications to </w:t>
      </w:r>
      <w:r>
        <w:t xml:space="preserve">interact. In this case, it would allow data to be shared directly from a lenders database to BBB, which would reduce administration costs associated with manually compiling data to be sent to BBB. </w:t>
      </w:r>
    </w:p>
  </w:footnote>
  <w:footnote w:id="25">
    <w:p w14:paraId="68E40ADA" w14:textId="508DBE05" w:rsidR="00114BD3" w:rsidRPr="005C267D" w:rsidRDefault="00114BD3">
      <w:pPr>
        <w:pStyle w:val="FootnoteText"/>
        <w:rPr>
          <w:lang w:val="en-US"/>
        </w:rPr>
      </w:pPr>
      <w:r>
        <w:rPr>
          <w:rStyle w:val="FootnoteReference"/>
        </w:rPr>
        <w:footnoteRef/>
      </w:r>
      <w:r>
        <w:t xml:space="preserve"> </w:t>
      </w:r>
      <w:r>
        <w:rPr>
          <w:lang w:val="en-US"/>
        </w:rPr>
        <w:t xml:space="preserve">Technical details </w:t>
      </w:r>
      <w:r w:rsidR="00383726">
        <w:rPr>
          <w:lang w:val="en-US"/>
        </w:rPr>
        <w:t>related to</w:t>
      </w:r>
      <w:r>
        <w:rPr>
          <w:lang w:val="en-US"/>
        </w:rPr>
        <w:t xml:space="preserve"> the primary data collection are provided in </w:t>
      </w:r>
      <w:r>
        <w:rPr>
          <w:lang w:val="en-US"/>
        </w:rPr>
        <w:fldChar w:fldCharType="begin"/>
      </w:r>
      <w:r>
        <w:rPr>
          <w:lang w:val="en-US"/>
        </w:rPr>
        <w:instrText xml:space="preserve"> REF _Ref92922539 \h </w:instrText>
      </w:r>
      <w:r>
        <w:rPr>
          <w:lang w:val="en-US"/>
        </w:rPr>
      </w:r>
      <w:r>
        <w:rPr>
          <w:lang w:val="en-US"/>
        </w:rPr>
        <w:fldChar w:fldCharType="separate"/>
      </w:r>
      <w:r w:rsidR="00F937A7">
        <w:t>Annex 2</w:t>
      </w:r>
      <w:r>
        <w:rPr>
          <w:lang w:val="en-US"/>
        </w:rPr>
        <w:fldChar w:fldCharType="end"/>
      </w:r>
      <w:r>
        <w:rPr>
          <w:lang w:val="en-US"/>
        </w:rPr>
        <w:t>.</w:t>
      </w:r>
    </w:p>
  </w:footnote>
  <w:footnote w:id="26">
    <w:p w14:paraId="329989AC" w14:textId="6C23BC3C" w:rsidR="008627B9" w:rsidRPr="002E562D" w:rsidRDefault="008627B9">
      <w:pPr>
        <w:pStyle w:val="FootnoteText"/>
        <w:rPr>
          <w:lang w:val="en-US"/>
        </w:rPr>
      </w:pPr>
      <w:r>
        <w:rPr>
          <w:rStyle w:val="FootnoteReference"/>
        </w:rPr>
        <w:footnoteRef/>
      </w:r>
      <w:r>
        <w:t xml:space="preserve"> </w:t>
      </w:r>
      <w:r>
        <w:rPr>
          <w:lang w:val="en-US"/>
        </w:rPr>
        <w:t xml:space="preserve">The UK Standard Industrial Classification (SIC) sections are grouped as follows to boost base sizes: Production: SIC Sectors beginning with A-E (e.g. A-Agriculture, B-mining etc). Construction: SIC Sectors beginning with G, H and I. Business Services: SIC Sectors beginning with J-N. Other services: SIC Sectors beginning with P-S. </w:t>
      </w:r>
    </w:p>
  </w:footnote>
  <w:footnote w:id="27">
    <w:p w14:paraId="045EE0C1" w14:textId="57C4492B" w:rsidR="0054497B" w:rsidRDefault="0054497B">
      <w:pPr>
        <w:pStyle w:val="FootnoteText"/>
      </w:pPr>
      <w:r>
        <w:rPr>
          <w:rStyle w:val="FootnoteReference"/>
        </w:rPr>
        <w:footnoteRef/>
      </w:r>
      <w:r>
        <w:t xml:space="preserve"> </w:t>
      </w:r>
      <w:r w:rsidR="00CB6E34">
        <w:t xml:space="preserve">Department for Business and Trade. (2021). </w:t>
      </w:r>
      <w:r w:rsidR="00CB6E34" w:rsidRPr="00CB6E34">
        <w:t>Business population estimates 2021</w:t>
      </w:r>
      <w:r w:rsidR="00CB6E34">
        <w:t xml:space="preserve">. Available at:  </w:t>
      </w:r>
      <w:hyperlink r:id="rId4" w:history="1">
        <w:r w:rsidR="00CB6E34" w:rsidRPr="00CB6E34">
          <w:rPr>
            <w:rStyle w:val="Hyperlink"/>
          </w:rPr>
          <w:t>https://www.gov.uk/government/collections/business-population-estimates</w:t>
        </w:r>
      </w:hyperlink>
      <w:r w:rsidR="00CB6E34">
        <w:t xml:space="preserve"> </w:t>
      </w:r>
    </w:p>
  </w:footnote>
  <w:footnote w:id="28">
    <w:p w14:paraId="5961D4F4" w14:textId="4AF20251" w:rsidR="00CB6E34" w:rsidRDefault="00CB6E34">
      <w:pPr>
        <w:pStyle w:val="FootnoteText"/>
      </w:pPr>
      <w:r>
        <w:rPr>
          <w:rStyle w:val="FootnoteReference"/>
        </w:rPr>
        <w:footnoteRef/>
      </w:r>
      <w:r>
        <w:t xml:space="preserve"> To ensure a direct comparison between the borrower and non-borrower samples and the wider business population, only registered businesses with between 1 and 249 employees are included in the analysis of the Business Population Estimates.</w:t>
      </w:r>
    </w:p>
  </w:footnote>
  <w:footnote w:id="29">
    <w:p w14:paraId="6CB597C1" w14:textId="511770BB" w:rsidR="00FE5FD7" w:rsidRPr="005C267D" w:rsidRDefault="00FE5FD7">
      <w:pPr>
        <w:pStyle w:val="FootnoteText"/>
        <w:rPr>
          <w:lang w:val="en-US"/>
        </w:rPr>
      </w:pPr>
      <w:r>
        <w:rPr>
          <w:rStyle w:val="FootnoteReference"/>
        </w:rPr>
        <w:footnoteRef/>
      </w:r>
      <w:r>
        <w:t xml:space="preserve"> </w:t>
      </w:r>
      <w:r>
        <w:rPr>
          <w:lang w:val="en-US"/>
        </w:rPr>
        <w:t>Specifically,</w:t>
      </w:r>
      <w:r w:rsidR="00A01376">
        <w:rPr>
          <w:lang w:val="en-US"/>
        </w:rPr>
        <w:t xml:space="preserve"> whether borrowers</w:t>
      </w:r>
      <w:r>
        <w:rPr>
          <w:lang w:val="en-US"/>
        </w:rPr>
        <w:t xml:space="preserve"> expect that they would probably or definitely have applied</w:t>
      </w:r>
      <w:r w:rsidR="00105C9F">
        <w:rPr>
          <w:lang w:val="en-US"/>
        </w:rPr>
        <w:t xml:space="preserve"> for other sources of external finance</w:t>
      </w:r>
      <w:r>
        <w:rPr>
          <w:lang w:val="en-US"/>
        </w:rPr>
        <w:t xml:space="preserve">. </w:t>
      </w:r>
      <w:r w:rsidR="00BF742D">
        <w:t>The study also consider</w:t>
      </w:r>
      <w:r w:rsidR="003B05A8">
        <w:t>s</w:t>
      </w:r>
      <w:r w:rsidR="00BF742D">
        <w:t xml:space="preserve"> whether businesses applied for other external finance in addition to funding via </w:t>
      </w:r>
      <w:r w:rsidR="002449D8">
        <w:t>RLS 1.0</w:t>
      </w:r>
      <w:r w:rsidR="00BF742D">
        <w:t xml:space="preserve"> (prior to applying for funding via </w:t>
      </w:r>
      <w:r w:rsidR="002449D8">
        <w:t>RLS 1.0</w:t>
      </w:r>
      <w:r w:rsidR="00BF742D">
        <w:t xml:space="preserve"> but after </w:t>
      </w:r>
      <w:r w:rsidR="002449D8">
        <w:t>6 April 2021</w:t>
      </w:r>
      <w:r w:rsidR="00BF742D">
        <w:t xml:space="preserve">), but, for the purpose of concision, the text </w:t>
      </w:r>
      <w:r w:rsidR="002449D8">
        <w:t>refers only</w:t>
      </w:r>
      <w:r w:rsidR="00BF742D">
        <w:t xml:space="preserve"> to other funding in the conditional, and to </w:t>
      </w:r>
      <w:r w:rsidR="00006E87">
        <w:t>businesses</w:t>
      </w:r>
      <w:r w:rsidR="00BF742D">
        <w:t xml:space="preserve">’ expectations rather than realised outcomes. </w:t>
      </w:r>
    </w:p>
  </w:footnote>
  <w:footnote w:id="30">
    <w:p w14:paraId="4D7113EF" w14:textId="2C614C73" w:rsidR="00FE5FD7" w:rsidRPr="005C267D" w:rsidRDefault="00FE5FD7">
      <w:pPr>
        <w:pStyle w:val="FootnoteText"/>
        <w:rPr>
          <w:lang w:val="en-US"/>
        </w:rPr>
      </w:pPr>
      <w:r>
        <w:rPr>
          <w:rStyle w:val="FootnoteReference"/>
        </w:rPr>
        <w:footnoteRef/>
      </w:r>
      <w:r>
        <w:t xml:space="preserve"> </w:t>
      </w:r>
      <w:r>
        <w:rPr>
          <w:lang w:val="en-US"/>
        </w:rPr>
        <w:t xml:space="preserve">Specifically, whether </w:t>
      </w:r>
      <w:r w:rsidR="00A01376">
        <w:rPr>
          <w:lang w:val="en-US"/>
        </w:rPr>
        <w:t xml:space="preserve">borrowers </w:t>
      </w:r>
      <w:r>
        <w:rPr>
          <w:lang w:val="en-US"/>
        </w:rPr>
        <w:t>expect that they would probably or definitely have been successful</w:t>
      </w:r>
      <w:r w:rsidR="002449D8">
        <w:rPr>
          <w:lang w:val="en-US"/>
        </w:rPr>
        <w:t xml:space="preserve"> in their application</w:t>
      </w:r>
      <w:r>
        <w:rPr>
          <w:lang w:val="en-US"/>
        </w:rPr>
        <w:t xml:space="preserve">. </w:t>
      </w:r>
      <w:r w:rsidR="00BF742D">
        <w:t xml:space="preserve">It should be noted that, in order to limit the survey length, </w:t>
      </w:r>
      <w:r w:rsidR="0084658D">
        <w:t xml:space="preserve">when respondents said that they had/would have applied to </w:t>
      </w:r>
      <w:r w:rsidR="002449D8">
        <w:t>multiple types</w:t>
      </w:r>
      <w:r w:rsidR="0084658D">
        <w:t xml:space="preserve"> of external finance, they </w:t>
      </w:r>
      <w:r w:rsidR="00BF742D">
        <w:t>were only asked about their success/</w:t>
      </w:r>
      <w:r w:rsidR="0084658D">
        <w:t xml:space="preserve">the </w:t>
      </w:r>
      <w:r w:rsidR="00BF742D">
        <w:t xml:space="preserve">likely success of their application to one </w:t>
      </w:r>
      <w:r w:rsidR="002449D8">
        <w:t>of those types of external finance</w:t>
      </w:r>
      <w:r w:rsidR="00BF742D">
        <w:t>.</w:t>
      </w:r>
    </w:p>
  </w:footnote>
  <w:footnote w:id="31">
    <w:p w14:paraId="38E8DA9A" w14:textId="1344DCFB" w:rsidR="00FE5FD7" w:rsidRPr="005C267D" w:rsidRDefault="00FE5FD7">
      <w:pPr>
        <w:pStyle w:val="FootnoteText"/>
        <w:rPr>
          <w:lang w:val="en-US"/>
        </w:rPr>
      </w:pPr>
      <w:r>
        <w:rPr>
          <w:rStyle w:val="FootnoteReference"/>
        </w:rPr>
        <w:footnoteRef/>
      </w:r>
      <w:r>
        <w:t xml:space="preserve"> </w:t>
      </w:r>
      <w:r>
        <w:rPr>
          <w:lang w:val="en-US"/>
        </w:rPr>
        <w:t xml:space="preserve">Specifically, whether </w:t>
      </w:r>
      <w:r w:rsidR="00447F99">
        <w:rPr>
          <w:lang w:val="en-US"/>
        </w:rPr>
        <w:t xml:space="preserve">or not </w:t>
      </w:r>
      <w:r w:rsidR="00A01376">
        <w:rPr>
          <w:lang w:val="en-US"/>
        </w:rPr>
        <w:t xml:space="preserve">borrowers </w:t>
      </w:r>
      <w:r>
        <w:rPr>
          <w:lang w:val="en-US"/>
        </w:rPr>
        <w:t xml:space="preserve">expect that these </w:t>
      </w:r>
      <w:r w:rsidR="00105C9F">
        <w:rPr>
          <w:lang w:val="en-US"/>
        </w:rPr>
        <w:t xml:space="preserve">other </w:t>
      </w:r>
      <w:r>
        <w:rPr>
          <w:lang w:val="en-US"/>
        </w:rPr>
        <w:t xml:space="preserve">sources of external finance </w:t>
      </w:r>
      <w:r w:rsidR="008057CD">
        <w:rPr>
          <w:lang w:val="en-US"/>
        </w:rPr>
        <w:t xml:space="preserve">would </w:t>
      </w:r>
      <w:r>
        <w:rPr>
          <w:lang w:val="en-US"/>
        </w:rPr>
        <w:t xml:space="preserve">probably or definitely have covered their cash flow needs. </w:t>
      </w:r>
    </w:p>
  </w:footnote>
  <w:footnote w:id="32">
    <w:p w14:paraId="3DEF6C9D" w14:textId="4E552043" w:rsidR="007B1F86" w:rsidRPr="005C267D" w:rsidRDefault="007B1F86">
      <w:pPr>
        <w:pStyle w:val="FootnoteText"/>
        <w:rPr>
          <w:lang w:val="en-US"/>
        </w:rPr>
      </w:pPr>
      <w:r>
        <w:rPr>
          <w:rStyle w:val="FootnoteReference"/>
        </w:rPr>
        <w:footnoteRef/>
      </w:r>
      <w:r>
        <w:t xml:space="preserve"> </w:t>
      </w:r>
      <w:r>
        <w:rPr>
          <w:lang w:val="en-US"/>
        </w:rPr>
        <w:t xml:space="preserve">Specifically, </w:t>
      </w:r>
      <w:r w:rsidR="00447F99">
        <w:rPr>
          <w:lang w:val="en-US"/>
        </w:rPr>
        <w:t>whether the finance obtained under RLS 1.0 had a lower interest rate, better terms and conditions or a more suitable repayment period and as a result a larger amount of funding was obtained.</w:t>
      </w:r>
    </w:p>
  </w:footnote>
  <w:footnote w:id="33">
    <w:p w14:paraId="742C829A" w14:textId="3C15751D" w:rsidR="00AD290C" w:rsidRDefault="00AD290C">
      <w:pPr>
        <w:pStyle w:val="FootnoteText"/>
      </w:pPr>
      <w:r>
        <w:rPr>
          <w:rStyle w:val="FootnoteReference"/>
        </w:rPr>
        <w:footnoteRef/>
      </w:r>
      <w:r>
        <w:t xml:space="preserve"> The 95% confidence interval was estimated to be 77%-88%. </w:t>
      </w:r>
    </w:p>
  </w:footnote>
  <w:footnote w:id="34">
    <w:p w14:paraId="489E5622" w14:textId="77777777" w:rsidR="001C49FD" w:rsidRDefault="001C49FD" w:rsidP="001C49FD">
      <w:pPr>
        <w:pStyle w:val="FootnoteText"/>
      </w:pPr>
      <w:r>
        <w:rPr>
          <w:rStyle w:val="FootnoteReference"/>
        </w:rPr>
        <w:footnoteRef/>
      </w:r>
      <w:r>
        <w:t xml:space="preserve"> British Business Bank. (2023). Year 2 Evaluation of the Bounce Back Loan Scheme, Coronavirus Business Interruption Loan Scheme, and Coronavirus Large Business Interruption Loan Scheme.</w:t>
      </w:r>
    </w:p>
  </w:footnote>
  <w:footnote w:id="35">
    <w:p w14:paraId="7D5B3C2D" w14:textId="77777777" w:rsidR="001C49FD" w:rsidRDefault="001C49FD" w:rsidP="001C49FD">
      <w:pPr>
        <w:pStyle w:val="FootnoteText"/>
      </w:pPr>
      <w:r>
        <w:rPr>
          <w:rStyle w:val="FootnoteReference"/>
        </w:rPr>
        <w:footnoteRef/>
      </w:r>
      <w:r>
        <w:t xml:space="preserve"> CBILS was launched in March and CLBILS in April. </w:t>
      </w:r>
    </w:p>
  </w:footnote>
  <w:footnote w:id="36">
    <w:p w14:paraId="47503F30" w14:textId="57868535" w:rsidR="00C236F3" w:rsidRPr="00F648A2" w:rsidRDefault="00C236F3">
      <w:pPr>
        <w:pStyle w:val="FootnoteText"/>
        <w:rPr>
          <w:lang w:val="en-US"/>
        </w:rPr>
      </w:pPr>
      <w:r>
        <w:rPr>
          <w:rStyle w:val="FootnoteReference"/>
        </w:rPr>
        <w:footnoteRef/>
      </w:r>
      <w:r>
        <w:t xml:space="preserve"> </w:t>
      </w:r>
      <w:r>
        <w:rPr>
          <w:lang w:val="en-US"/>
        </w:rPr>
        <w:t xml:space="preserve">This includes both </w:t>
      </w:r>
      <w:r w:rsidR="004D5A82">
        <w:rPr>
          <w:lang w:val="en-US"/>
        </w:rPr>
        <w:t>main</w:t>
      </w:r>
      <w:r>
        <w:rPr>
          <w:lang w:val="en-US"/>
        </w:rPr>
        <w:t xml:space="preserve"> and </w:t>
      </w:r>
      <w:r w:rsidR="00092081">
        <w:rPr>
          <w:lang w:val="en-US"/>
        </w:rPr>
        <w:t>other</w:t>
      </w:r>
      <w:r>
        <w:rPr>
          <w:lang w:val="en-US"/>
        </w:rPr>
        <w:t xml:space="preserve"> bank</w:t>
      </w:r>
      <w:r w:rsidR="00041F85">
        <w:rPr>
          <w:lang w:val="en-US"/>
        </w:rPr>
        <w:t>s</w:t>
      </w:r>
      <w:r w:rsidR="00705D92">
        <w:rPr>
          <w:lang w:val="en-US"/>
        </w:rPr>
        <w:t>.</w:t>
      </w:r>
    </w:p>
  </w:footnote>
  <w:footnote w:id="37">
    <w:p w14:paraId="740B30EB" w14:textId="1B500094" w:rsidR="007238DA" w:rsidRDefault="007238DA">
      <w:pPr>
        <w:pStyle w:val="FootnoteText"/>
      </w:pPr>
      <w:r>
        <w:rPr>
          <w:rStyle w:val="FootnoteReference"/>
        </w:rPr>
        <w:footnoteRef/>
      </w:r>
      <w:r>
        <w:t xml:space="preserve"> This finding is statistically significant at the 10% level. </w:t>
      </w:r>
    </w:p>
  </w:footnote>
  <w:footnote w:id="38">
    <w:p w14:paraId="1F2B073D" w14:textId="344E277C" w:rsidR="004A39B0" w:rsidRDefault="004A39B0">
      <w:pPr>
        <w:pStyle w:val="FootnoteText"/>
      </w:pPr>
      <w:r>
        <w:rPr>
          <w:rStyle w:val="FootnoteReference"/>
        </w:rPr>
        <w:footnoteRef/>
      </w:r>
      <w:r>
        <w:t xml:space="preserve"> Some borrowers received their finance shortly after the closure of the scheme.</w:t>
      </w:r>
    </w:p>
  </w:footnote>
  <w:footnote w:id="39">
    <w:p w14:paraId="704A876D" w14:textId="77777777" w:rsidR="001C49FD" w:rsidRDefault="001C49FD" w:rsidP="001C49FD">
      <w:pPr>
        <w:pStyle w:val="FootnoteText"/>
      </w:pPr>
      <w:r>
        <w:rPr>
          <w:rStyle w:val="FootnoteReference"/>
        </w:rPr>
        <w:footnoteRef/>
      </w:r>
      <w:r>
        <w:t xml:space="preserve"> OBR (2022) </w:t>
      </w:r>
      <w:r w:rsidRPr="00F2065B">
        <w:t>Pandemic risk scenario: the emergence of a vaccine-escaping variant</w:t>
      </w:r>
      <w:r>
        <w:t xml:space="preserve">. [Online] Available at: </w:t>
      </w:r>
      <w:hyperlink r:id="rId5" w:history="1">
        <w:r w:rsidRPr="00981C8A">
          <w:rPr>
            <w:rStyle w:val="Hyperlink"/>
          </w:rPr>
          <w:t>https://obr.uk/box/pandemic-risk-scenario-the-emergence-of-a-vaccine-escaping-variant/</w:t>
        </w:r>
      </w:hyperlink>
      <w:r>
        <w:t xml:space="preserve"> </w:t>
      </w:r>
    </w:p>
  </w:footnote>
  <w:footnote w:id="40">
    <w:p w14:paraId="16CC3D87" w14:textId="4866E953" w:rsidR="00B5364F" w:rsidRPr="00373904" w:rsidRDefault="00B5364F">
      <w:pPr>
        <w:pStyle w:val="FootnoteText"/>
        <w:rPr>
          <w:lang w:val="en-US"/>
        </w:rPr>
      </w:pPr>
      <w:r>
        <w:rPr>
          <w:rStyle w:val="FootnoteReference"/>
        </w:rPr>
        <w:footnoteRef/>
      </w:r>
      <w:r>
        <w:t xml:space="preserve"> It should be noted that it may be challenging for businesses to estimate the extent to which the production of similar output (e.g.</w:t>
      </w:r>
      <w:r w:rsidR="001D0E5A">
        <w:t>,</w:t>
      </w:r>
      <w:r>
        <w:t xml:space="preserve"> by competitors) would continue if it were to cease trading. </w:t>
      </w:r>
      <w:r w:rsidR="00FE69F7">
        <w:t>Likewise, it</w:t>
      </w:r>
      <w:r w:rsidRPr="00AA3170">
        <w:t xml:space="preserve"> may be difficult for businesses to fully consider the extent to and ease with which their customers would switch to alternative providers, especially under monopolistic competition. Therefore, there is a risk that businesses may under-or over-estimate the extent to which other businesses would take up their sales if they were to cease trading. Also, while businesses should, in theory, take their expectations regarding their competitors’ survival into account when answering this question, there is a risk that businesses implicitly assume survival of competitors when in fact their mortality may be correlated with that of their competitors. This could lead to an overestimation of displacement.</w:t>
      </w:r>
    </w:p>
  </w:footnote>
  <w:footnote w:id="41">
    <w:p w14:paraId="1358EFF0" w14:textId="0E7E3FA0" w:rsidR="004A39B0" w:rsidRDefault="004A39B0">
      <w:pPr>
        <w:pStyle w:val="FootnoteText"/>
      </w:pPr>
      <w:r>
        <w:rPr>
          <w:rStyle w:val="FootnoteReference"/>
        </w:rPr>
        <w:footnoteRef/>
      </w:r>
      <w:r>
        <w:t xml:space="preserve"> Evaluation of the Bounce Back Loan Scheme, Coronavirus Business Interruption Loan Scheme, and Coronavirus Large Business Interruption Loan Scheme. Process evaluation and early impact assessment June 2022. </w:t>
      </w:r>
    </w:p>
  </w:footnote>
  <w:footnote w:id="42">
    <w:p w14:paraId="3111D6F7" w14:textId="77777777" w:rsidR="001C49FD" w:rsidRDefault="001C49FD" w:rsidP="001C49FD">
      <w:pPr>
        <w:pStyle w:val="FootnoteText"/>
      </w:pPr>
      <w:r>
        <w:rPr>
          <w:rStyle w:val="FootnoteReference"/>
        </w:rPr>
        <w:footnoteRef/>
      </w:r>
      <w:r>
        <w:t xml:space="preserve"> British Business Bank. (2023). Year 2 Evaluation of the Bounce Back Loan Scheme, Coronavirus Business Interruption Loan Scheme, and Coronavirus Large Business Interruption Loan Scheme, Table 18. </w:t>
      </w:r>
    </w:p>
  </w:footnote>
  <w:footnote w:id="43">
    <w:p w14:paraId="31A2F619" w14:textId="3CB667B6" w:rsidR="00497489" w:rsidRPr="00F42784" w:rsidRDefault="00497489" w:rsidP="00497489">
      <w:pPr>
        <w:pStyle w:val="FootnoteText"/>
        <w:rPr>
          <w:lang w:val="en-US"/>
        </w:rPr>
      </w:pPr>
      <w:r>
        <w:rPr>
          <w:rStyle w:val="FootnoteReference"/>
        </w:rPr>
        <w:footnoteRef/>
      </w:r>
      <w:r>
        <w:t xml:space="preserve"> As mentioned above, the </w:t>
      </w:r>
      <w:r w:rsidR="008F512D">
        <w:t xml:space="preserve">aggregate </w:t>
      </w:r>
      <w:r>
        <w:t>displacement estimate</w:t>
      </w:r>
      <w:r w:rsidR="008F512D">
        <w:t xml:space="preserve"> is obt</w:t>
      </w:r>
      <w:r>
        <w:t xml:space="preserve">ained by taking the product of displacement factors at the </w:t>
      </w:r>
      <w:r w:rsidR="002B2605">
        <w:t>business</w:t>
      </w:r>
      <w:r w:rsidRPr="00352F40">
        <w:t>-</w:t>
      </w:r>
      <w:r>
        <w:t>level, before averaging</w:t>
      </w:r>
      <w:r w:rsidR="00B942D0">
        <w:t>. As a result</w:t>
      </w:r>
      <w:r>
        <w:t>, the estimates in</w:t>
      </w:r>
      <w:r w:rsidR="008F512D">
        <w:t xml:space="preserve"> the </w:t>
      </w:r>
      <w:r w:rsidR="001525E9">
        <w:t xml:space="preserve">second </w:t>
      </w:r>
      <w:r w:rsidR="008F512D">
        <w:t>column of</w:t>
      </w:r>
      <w:r>
        <w:t xml:space="preserve"> </w:t>
      </w:r>
      <w:r w:rsidR="001525E9">
        <w:fldChar w:fldCharType="begin"/>
      </w:r>
      <w:r w:rsidR="001525E9">
        <w:instrText xml:space="preserve"> REF _Ref91004661 \h </w:instrText>
      </w:r>
      <w:r w:rsidR="001525E9">
        <w:fldChar w:fldCharType="separate"/>
      </w:r>
      <w:r w:rsidR="001525E9">
        <w:t xml:space="preserve">Table </w:t>
      </w:r>
      <w:r w:rsidR="001525E9">
        <w:rPr>
          <w:noProof/>
        </w:rPr>
        <w:t>9</w:t>
      </w:r>
      <w:r w:rsidR="001525E9">
        <w:fldChar w:fldCharType="end"/>
      </w:r>
      <w:r>
        <w:t xml:space="preserve"> cannot be derived from </w:t>
      </w:r>
      <w:r w:rsidR="008F512D">
        <w:t xml:space="preserve">the </w:t>
      </w:r>
      <w:r w:rsidR="00E72CDE">
        <w:t>subsequent</w:t>
      </w:r>
      <w:r w:rsidR="001525E9">
        <w:t xml:space="preserve"> </w:t>
      </w:r>
      <w:r w:rsidR="00B942D0">
        <w:t>three column</w:t>
      </w:r>
      <w:r w:rsidR="001525E9">
        <w:t>s</w:t>
      </w:r>
      <w:r>
        <w:t>.</w:t>
      </w:r>
    </w:p>
  </w:footnote>
  <w:footnote w:id="44">
    <w:p w14:paraId="40EF7590" w14:textId="77777777" w:rsidR="001C49FD" w:rsidRDefault="001C49FD" w:rsidP="001C49FD">
      <w:pPr>
        <w:pStyle w:val="FootnoteText"/>
      </w:pPr>
      <w:r>
        <w:rPr>
          <w:rStyle w:val="FootnoteReference"/>
        </w:rPr>
        <w:footnoteRef/>
      </w:r>
      <w:r>
        <w:t xml:space="preserve"> CBILS was launched in March and CLBILS in April. </w:t>
      </w:r>
    </w:p>
  </w:footnote>
  <w:footnote w:id="45">
    <w:p w14:paraId="7B106CEE" w14:textId="485DF307" w:rsidR="00C74001" w:rsidRPr="00C74001" w:rsidRDefault="00C74001">
      <w:pPr>
        <w:pStyle w:val="FootnoteText"/>
      </w:pPr>
      <w:r>
        <w:rPr>
          <w:rStyle w:val="FootnoteReference"/>
        </w:rPr>
        <w:footnoteRef/>
      </w:r>
      <w:r>
        <w:t xml:space="preserve"> Evaluation of the Bounce Back Loan Scheme, Coronavirus Business Interruption Loan Scheme, and Coronavirus Large Business Interruption Loan Scheme. Process evaluation and early impact assessment June 2022. </w:t>
      </w:r>
    </w:p>
  </w:footnote>
  <w:footnote w:id="46">
    <w:p w14:paraId="4B8169CD" w14:textId="5A876EE9" w:rsidR="00C74001" w:rsidRPr="002E562D" w:rsidRDefault="00C74001">
      <w:pPr>
        <w:pStyle w:val="FootnoteText"/>
        <w:rPr>
          <w:lang w:val="en-US"/>
        </w:rPr>
      </w:pPr>
      <w:r>
        <w:rPr>
          <w:rStyle w:val="FootnoteReference"/>
        </w:rPr>
        <w:footnoteRef/>
      </w:r>
      <w:r>
        <w:t xml:space="preserve"> </w:t>
      </w:r>
      <w:r>
        <w:rPr>
          <w:lang w:val="en-US"/>
        </w:rPr>
        <w:t xml:space="preserve">Ibid. </w:t>
      </w:r>
    </w:p>
  </w:footnote>
  <w:footnote w:id="47">
    <w:p w14:paraId="6938330A" w14:textId="6DB3E019" w:rsidR="00C74001" w:rsidRPr="00C74001" w:rsidRDefault="00C74001">
      <w:pPr>
        <w:pStyle w:val="FootnoteText"/>
      </w:pPr>
      <w:r>
        <w:rPr>
          <w:rStyle w:val="FootnoteReference"/>
        </w:rPr>
        <w:footnoteRef/>
      </w:r>
      <w:r>
        <w:t xml:space="preserve"> Evaluation of the Bounce Back Loan Scheme, Coronavirus Business Interruption Loan Scheme, and Coronavirus Large Business Interruption Loan Scheme. Process evaluation and early impact assessment June 2022. </w:t>
      </w:r>
    </w:p>
  </w:footnote>
  <w:footnote w:id="48">
    <w:p w14:paraId="5A2F40D6" w14:textId="77E4113E" w:rsidR="00C74001" w:rsidRPr="002E562D" w:rsidRDefault="00C74001">
      <w:pPr>
        <w:pStyle w:val="FootnoteText"/>
        <w:rPr>
          <w:lang w:val="en-US"/>
        </w:rPr>
      </w:pPr>
      <w:r>
        <w:rPr>
          <w:rStyle w:val="FootnoteReference"/>
        </w:rPr>
        <w:footnoteRef/>
      </w:r>
      <w:r>
        <w:t xml:space="preserve"> </w:t>
      </w:r>
      <w:r>
        <w:rPr>
          <w:lang w:val="en-US"/>
        </w:rPr>
        <w:t>Ibid.</w:t>
      </w:r>
    </w:p>
  </w:footnote>
  <w:footnote w:id="49">
    <w:p w14:paraId="15181C51" w14:textId="6336F55E" w:rsidR="00B30A83" w:rsidRPr="00E547ED" w:rsidRDefault="00B30A83">
      <w:pPr>
        <w:pStyle w:val="FootnoteText"/>
        <w:rPr>
          <w:lang w:val="en-US"/>
        </w:rPr>
      </w:pPr>
      <w:r>
        <w:rPr>
          <w:rStyle w:val="FootnoteReference"/>
        </w:rPr>
        <w:footnoteRef/>
      </w:r>
      <w:r>
        <w:t xml:space="preserve"> </w:t>
      </w:r>
      <w:r w:rsidRPr="00B30A83">
        <w:t>The use of self-reported data carries limitations – for instance, businesses may not recall precisely how their financial situation was during the reference period, and may remember it as having been worse or better than it was in practice.</w:t>
      </w:r>
    </w:p>
  </w:footnote>
  <w:footnote w:id="50">
    <w:p w14:paraId="71B04717" w14:textId="2842A8D5" w:rsidR="00396858" w:rsidRPr="00BB5E2E" w:rsidRDefault="00396858" w:rsidP="00396858">
      <w:pPr>
        <w:pStyle w:val="FootnoteText"/>
        <w:rPr>
          <w:lang w:val="en-US"/>
        </w:rPr>
      </w:pPr>
      <w:r>
        <w:rPr>
          <w:rStyle w:val="FootnoteReference"/>
        </w:rPr>
        <w:footnoteRef/>
      </w:r>
      <w:r>
        <w:t xml:space="preserve"> </w:t>
      </w:r>
      <w:r w:rsidR="00786271">
        <w:t>Two counterfactual death rates are estimated</w:t>
      </w:r>
      <w:r w:rsidR="004F18A2">
        <w:t xml:space="preserve"> – a lower bound and an upper bound</w:t>
      </w:r>
      <w:r w:rsidR="00786271">
        <w:t>. For the lower bound, s</w:t>
      </w:r>
      <w:r>
        <w:t xml:space="preserve">urvey respondents classified as businesses that would have closed in the absence of </w:t>
      </w:r>
      <w:r w:rsidR="00EF0601">
        <w:t>RLS 1.0</w:t>
      </w:r>
      <w:r w:rsidR="005C57F6">
        <w:rPr>
          <w:rFonts w:cstheme="minorHAnsi"/>
          <w:szCs w:val="24"/>
        </w:rPr>
        <w:t xml:space="preserve"> </w:t>
      </w:r>
      <w:r>
        <w:t xml:space="preserve">include </w:t>
      </w:r>
      <w:r w:rsidR="004F18A2">
        <w:t xml:space="preserve">only </w:t>
      </w:r>
      <w:r>
        <w:t>those which answered that they would definitely have closed</w:t>
      </w:r>
      <w:r w:rsidR="00786271">
        <w:t>.</w:t>
      </w:r>
      <w:r>
        <w:t xml:space="preserve"> </w:t>
      </w:r>
      <w:r w:rsidR="007E74EB">
        <w:t xml:space="preserve">The upper bound of the counterfactual death rate also includes businesses </w:t>
      </w:r>
      <w:r>
        <w:t xml:space="preserve">which said it is very likely or fairly likely that they would have closed. </w:t>
      </w:r>
      <w:r w:rsidR="00163BD7" w:rsidRPr="00163BD7">
        <w:t xml:space="preserve">The base used in calculating the counterfactual death rates </w:t>
      </w:r>
      <w:r w:rsidR="00D056A6">
        <w:t>is made up of</w:t>
      </w:r>
      <w:r w:rsidR="00163BD7" w:rsidRPr="00163BD7">
        <w:t xml:space="preserve"> all respondents that were asked the relevant survey question </w:t>
      </w:r>
      <w:r w:rsidR="00EF0601">
        <w:t>ex</w:t>
      </w:r>
      <w:r w:rsidR="00163BD7" w:rsidRPr="00163BD7">
        <w:t>cluding those which answered that they did not know or preferred not to say.</w:t>
      </w:r>
    </w:p>
  </w:footnote>
  <w:footnote w:id="51">
    <w:p w14:paraId="47335990" w14:textId="15123EDF" w:rsidR="00383726" w:rsidRDefault="00383726">
      <w:pPr>
        <w:pStyle w:val="FootnoteText"/>
      </w:pPr>
      <w:r>
        <w:rPr>
          <w:rStyle w:val="FootnoteReference"/>
        </w:rPr>
        <w:footnoteRef/>
      </w:r>
      <w:r>
        <w:t xml:space="preserve"> </w:t>
      </w:r>
      <w:r w:rsidR="00974496">
        <w:t xml:space="preserve">British Business Bank. (2023). Year 2 Evaluation of the Bounce Back Loan Scheme, Coronavirus Business Interruption Loan Scheme, and Coronavirus Large Business Interruption Loan Scheme, Table 13. </w:t>
      </w:r>
    </w:p>
  </w:footnote>
  <w:footnote w:id="52">
    <w:p w14:paraId="0BF5B03E" w14:textId="6E6683F4" w:rsidR="00E34F48" w:rsidRDefault="00E34F48">
      <w:pPr>
        <w:pStyle w:val="FootnoteText"/>
      </w:pPr>
      <w:r>
        <w:rPr>
          <w:rStyle w:val="FootnoteReference"/>
        </w:rPr>
        <w:footnoteRef/>
      </w:r>
      <w:r>
        <w:t xml:space="preserve"> See </w:t>
      </w:r>
      <w:r w:rsidR="001525E9">
        <w:fldChar w:fldCharType="begin"/>
      </w:r>
      <w:r w:rsidR="001525E9">
        <w:instrText xml:space="preserve"> REF _Ref151468516 \h </w:instrText>
      </w:r>
      <w:r w:rsidR="001525E9">
        <w:fldChar w:fldCharType="separate"/>
      </w:r>
      <w:r w:rsidR="001525E9" w:rsidRPr="009829B9">
        <w:t xml:space="preserve">Figure </w:t>
      </w:r>
      <w:r w:rsidR="001525E9">
        <w:rPr>
          <w:noProof/>
        </w:rPr>
        <w:t>9</w:t>
      </w:r>
      <w:r w:rsidR="001525E9">
        <w:fldChar w:fldCharType="end"/>
      </w:r>
      <w:r>
        <w:t xml:space="preserve"> for details on the obstacles faced by borrowers and non-borrowers.</w:t>
      </w:r>
    </w:p>
  </w:footnote>
  <w:footnote w:id="53">
    <w:p w14:paraId="43704D47" w14:textId="4A666BD9" w:rsidR="00164F58" w:rsidRPr="00630B6C" w:rsidRDefault="00164F58" w:rsidP="00164F58">
      <w:pPr>
        <w:pStyle w:val="FootnoteText"/>
        <w:rPr>
          <w:lang w:val="en-US"/>
        </w:rPr>
      </w:pPr>
      <w:r>
        <w:rPr>
          <w:rStyle w:val="FootnoteReference"/>
        </w:rPr>
        <w:footnoteRef/>
      </w:r>
      <w:r>
        <w:t xml:space="preserve"> </w:t>
      </w:r>
      <w:r w:rsidR="001525E9">
        <w:fldChar w:fldCharType="begin"/>
      </w:r>
      <w:r w:rsidR="001525E9">
        <w:instrText xml:space="preserve"> REF _Ref92818900 \h </w:instrText>
      </w:r>
      <w:r w:rsidR="001525E9">
        <w:fldChar w:fldCharType="separate"/>
      </w:r>
      <w:r w:rsidR="001525E9" w:rsidRPr="00BD4B16">
        <w:t xml:space="preserve">Table </w:t>
      </w:r>
      <w:r w:rsidR="001525E9">
        <w:rPr>
          <w:noProof/>
        </w:rPr>
        <w:t>28</w:t>
      </w:r>
      <w:r w:rsidR="001525E9">
        <w:fldChar w:fldCharType="end"/>
      </w:r>
      <w:r w:rsidR="001525E9">
        <w:t xml:space="preserve"> and </w:t>
      </w:r>
      <w:r w:rsidR="001525E9">
        <w:fldChar w:fldCharType="begin"/>
      </w:r>
      <w:r w:rsidR="001525E9">
        <w:instrText xml:space="preserve"> REF _Ref92818914 \h </w:instrText>
      </w:r>
      <w:r w:rsidR="001525E9">
        <w:fldChar w:fldCharType="separate"/>
      </w:r>
      <w:r w:rsidR="001525E9" w:rsidRPr="00BD4B16">
        <w:t xml:space="preserve">Table </w:t>
      </w:r>
      <w:r w:rsidR="001525E9">
        <w:rPr>
          <w:noProof/>
        </w:rPr>
        <w:t>29</w:t>
      </w:r>
      <w:r w:rsidR="001525E9">
        <w:fldChar w:fldCharType="end"/>
      </w:r>
      <w:r>
        <w:rPr>
          <w:lang w:val="en-US"/>
        </w:rPr>
        <w:t xml:space="preserve"> compare the incidence of various characteristics across the borrower and non-borrower samples both before and after </w:t>
      </w:r>
      <w:r w:rsidR="00CB4DDE">
        <w:rPr>
          <w:lang w:val="en-US"/>
        </w:rPr>
        <w:t xml:space="preserve">the </w:t>
      </w:r>
      <w:r>
        <w:rPr>
          <w:lang w:val="en-US"/>
        </w:rPr>
        <w:t xml:space="preserve">PSM, and </w:t>
      </w:r>
      <w:r w:rsidR="00CB4DDE">
        <w:rPr>
          <w:lang w:val="en-US"/>
        </w:rPr>
        <w:t>demonstrate</w:t>
      </w:r>
      <w:r>
        <w:rPr>
          <w:lang w:val="en-US"/>
        </w:rPr>
        <w:t xml:space="preserve"> that the matching reduced differences across both samples. </w:t>
      </w:r>
    </w:p>
  </w:footnote>
  <w:footnote w:id="54">
    <w:p w14:paraId="3CB68514" w14:textId="1BB63AA1" w:rsidR="00C74001" w:rsidRPr="002E562D" w:rsidRDefault="00C74001">
      <w:pPr>
        <w:pStyle w:val="FootnoteText"/>
        <w:rPr>
          <w:lang w:val="en-US"/>
        </w:rPr>
      </w:pPr>
      <w:r>
        <w:rPr>
          <w:rStyle w:val="FootnoteReference"/>
        </w:rPr>
        <w:footnoteRef/>
      </w:r>
      <w:r>
        <w:t xml:space="preserve"> This means that there is less than a 5% chance that the observed difference in turnover between borrowers and non-borrowers could occur if there were no underlying difference in turnover associated with using or not using the scheme.</w:t>
      </w:r>
    </w:p>
  </w:footnote>
  <w:footnote w:id="55">
    <w:p w14:paraId="47DDF42C" w14:textId="61A76927" w:rsidR="00B157EA" w:rsidRPr="00871AD2" w:rsidRDefault="00B157EA" w:rsidP="00B157EA">
      <w:pPr>
        <w:pStyle w:val="FootnoteText"/>
        <w:rPr>
          <w:lang w:val="en-US"/>
        </w:rPr>
      </w:pPr>
      <w:r>
        <w:rPr>
          <w:rStyle w:val="FootnoteReference"/>
        </w:rPr>
        <w:footnoteRef/>
      </w:r>
      <w:r>
        <w:t xml:space="preserve"> ONS. (202</w:t>
      </w:r>
      <w:r w:rsidR="00D25B51">
        <w:t>3</w:t>
      </w:r>
      <w:r>
        <w:t xml:space="preserve">). </w:t>
      </w:r>
      <w:r>
        <w:rPr>
          <w:i/>
          <w:iCs/>
        </w:rPr>
        <w:t xml:space="preserve">Labour Market Overview, </w:t>
      </w:r>
      <w:r w:rsidR="00D25B51">
        <w:t>November</w:t>
      </w:r>
      <w:r>
        <w:t xml:space="preserve"> 202</w:t>
      </w:r>
      <w:r w:rsidR="00D25B51">
        <w:t>3</w:t>
      </w:r>
      <w:r>
        <w:t xml:space="preserve">. </w:t>
      </w:r>
    </w:p>
  </w:footnote>
  <w:footnote w:id="56">
    <w:p w14:paraId="62EC0B0C" w14:textId="77777777" w:rsidR="00942201" w:rsidRDefault="00942201" w:rsidP="00942201">
      <w:pPr>
        <w:pStyle w:val="FootnoteText"/>
      </w:pPr>
      <w:r>
        <w:rPr>
          <w:rStyle w:val="FootnoteReference"/>
        </w:rPr>
        <w:footnoteRef/>
      </w:r>
      <w:r>
        <w:t xml:space="preserve"> Office for National Statistics. (2022). </w:t>
      </w:r>
      <w:r w:rsidRPr="00231F49">
        <w:t>Business Insights and Conditions Survey Wave 63 ad-hoc tables: Research and Development</w:t>
      </w:r>
      <w:r>
        <w:t xml:space="preserve">. Available at: </w:t>
      </w:r>
      <w:hyperlink r:id="rId6" w:history="1">
        <w:r w:rsidRPr="00901A85">
          <w:rPr>
            <w:rStyle w:val="Hyperlink"/>
          </w:rPr>
          <w:t>https://www.ons.gov.uk/economy/economicoutputandproductivity/output/adhocs/15084businessinsightsandconditionssurveywave63adhoctablesresearchanddevelopment</w:t>
        </w:r>
      </w:hyperlink>
      <w:r>
        <w:t xml:space="preserve"> </w:t>
      </w:r>
    </w:p>
  </w:footnote>
  <w:footnote w:id="57">
    <w:p w14:paraId="71024833" w14:textId="3B4BB858" w:rsidR="00CD238D" w:rsidRDefault="00CD238D" w:rsidP="003B2EF1">
      <w:pPr>
        <w:pStyle w:val="FootnoteText"/>
      </w:pPr>
      <w:r>
        <w:rPr>
          <w:rStyle w:val="FootnoteReference"/>
        </w:rPr>
        <w:footnoteRef/>
      </w:r>
      <w:r>
        <w:t xml:space="preserve"> This is based on the total value of lending reported in RLS 1.0 Management Information and total business lending estimates from BBB Small Business Finance Report 2021</w:t>
      </w:r>
    </w:p>
  </w:footnote>
  <w:footnote w:id="58">
    <w:p w14:paraId="24E494FE" w14:textId="77777777" w:rsidR="006C43DA" w:rsidRDefault="006C43DA" w:rsidP="00D73D6A">
      <w:pPr>
        <w:pStyle w:val="FootnoteText"/>
      </w:pPr>
      <w:r>
        <w:rPr>
          <w:rStyle w:val="FootnoteReference"/>
        </w:rPr>
        <w:footnoteRef/>
      </w:r>
      <w:r>
        <w:t xml:space="preserve"> Although the fee payable to HMT is zero for businesses, there is a fee payable by lenders (the Scheme Lender Fee). </w:t>
      </w:r>
    </w:p>
  </w:footnote>
  <w:footnote w:id="59">
    <w:p w14:paraId="0CE2ACAF" w14:textId="77777777" w:rsidR="00CD3E16" w:rsidRDefault="00CD3E16" w:rsidP="00CD3E16">
      <w:pPr>
        <w:pStyle w:val="FootnoteText"/>
      </w:pPr>
      <w:r>
        <w:rPr>
          <w:rStyle w:val="FootnoteReference"/>
        </w:rPr>
        <w:footnoteRef/>
      </w:r>
      <w:r>
        <w:t xml:space="preserve"> This is sample where the number was in valid format, but which turned out to be wrong numbers, fax numbers or disconnected.</w:t>
      </w:r>
    </w:p>
  </w:footnote>
  <w:footnote w:id="60">
    <w:p w14:paraId="6F077E67" w14:textId="77777777" w:rsidR="00CD3E16" w:rsidRDefault="00CD3E16" w:rsidP="00CD3E16">
      <w:pPr>
        <w:pStyle w:val="FootnoteText"/>
      </w:pPr>
      <w:r>
        <w:rPr>
          <w:rStyle w:val="FootnoteReference"/>
        </w:rPr>
        <w:footnoteRef/>
      </w:r>
      <w:r>
        <w:t xml:space="preserve"> This includes sample where there was communication difficulty making it not possible to carry out the survey (including language difficulty) and numbers called multiple times over fieldwork without ever being picked up.</w:t>
      </w:r>
    </w:p>
  </w:footnote>
  <w:footnote w:id="61">
    <w:p w14:paraId="0D89248A" w14:textId="77777777" w:rsidR="00CD3E16" w:rsidRDefault="00CD3E16" w:rsidP="00CD3E16">
      <w:pPr>
        <w:pStyle w:val="FootnoteText"/>
      </w:pPr>
      <w:r>
        <w:rPr>
          <w:rStyle w:val="FootnoteReference"/>
        </w:rPr>
        <w:footnoteRef/>
      </w:r>
      <w:r>
        <w:t xml:space="preserve"> This includes sample that had a working telephone number but where the respondent was unreachable or unavailable for an interview during the fieldwork period, so eligibility could not be assessed. </w:t>
      </w:r>
    </w:p>
  </w:footnote>
  <w:footnote w:id="62">
    <w:p w14:paraId="614B83FE" w14:textId="034B3A15" w:rsidR="00CD3E16" w:rsidRDefault="00CD3E16" w:rsidP="00CD3E16">
      <w:pPr>
        <w:pStyle w:val="FootnoteText"/>
      </w:pPr>
      <w:r>
        <w:rPr>
          <w:rStyle w:val="FootnoteReference"/>
        </w:rPr>
        <w:footnoteRef/>
      </w:r>
      <w:r>
        <w:t xml:space="preserve"> This includes non-borrowers who did not face any financial challenges</w:t>
      </w:r>
      <w:r w:rsidR="00FE6071">
        <w:t>.</w:t>
      </w:r>
      <w:r>
        <w:t xml:space="preserve"> </w:t>
      </w:r>
    </w:p>
  </w:footnote>
  <w:footnote w:id="63">
    <w:p w14:paraId="29139A84" w14:textId="77777777" w:rsidR="00CD3E16" w:rsidRDefault="00CD3E16" w:rsidP="00CD3E16">
      <w:pPr>
        <w:pStyle w:val="FootnoteText"/>
      </w:pPr>
      <w:r w:rsidRPr="00483573">
        <w:rPr>
          <w:rStyle w:val="FootnoteReference"/>
        </w:rPr>
        <w:footnoteRef/>
      </w:r>
      <w:r w:rsidRPr="00483573">
        <w:t xml:space="preserve"> The cooperation rate has been calculated as: (completed interviews) / (completed interviews + </w:t>
      </w:r>
      <w:r w:rsidRPr="00495F1D">
        <w:t>refusals). This is the proportion who took part in the survey, among those who were reached and screened.</w:t>
      </w:r>
    </w:p>
  </w:footnote>
  <w:footnote w:id="64">
    <w:p w14:paraId="6F86275F" w14:textId="77777777" w:rsidR="00211A10" w:rsidRPr="00213BC9" w:rsidRDefault="00211A10" w:rsidP="00211A10">
      <w:pPr>
        <w:pStyle w:val="FootnoteText"/>
        <w:rPr>
          <w:lang w:val="en-US"/>
        </w:rPr>
      </w:pPr>
      <w:r>
        <w:rPr>
          <w:rStyle w:val="FootnoteReference"/>
        </w:rPr>
        <w:footnoteRef/>
      </w:r>
      <w:r>
        <w:t xml:space="preserve"> An introduction to PSM can be found in </w:t>
      </w:r>
      <w:r w:rsidRPr="00037FA9">
        <w:t xml:space="preserve">Caliendo, M., &amp; Kopeinig, S. (2008). Some practical guidance for the implementation of propensity score matching. </w:t>
      </w:r>
      <w:r w:rsidRPr="00AA3170">
        <w:rPr>
          <w:i/>
          <w:iCs/>
        </w:rPr>
        <w:t>Journal of economic surveys</w:t>
      </w:r>
      <w:r w:rsidRPr="00037FA9">
        <w:t>, 22(1), 31-72.</w:t>
      </w:r>
    </w:p>
  </w:footnote>
  <w:footnote w:id="65">
    <w:p w14:paraId="08A151B0" w14:textId="6A8B7649" w:rsidR="00211A10" w:rsidRPr="00B96ECE" w:rsidRDefault="00211A10" w:rsidP="00211A10">
      <w:pPr>
        <w:pStyle w:val="FootnoteText"/>
        <w:rPr>
          <w:lang w:val="en-US"/>
        </w:rPr>
      </w:pPr>
      <w:r>
        <w:rPr>
          <w:rStyle w:val="FootnoteReference"/>
        </w:rPr>
        <w:footnoteRef/>
      </w:r>
      <w:r>
        <w:t xml:space="preserve"> </w:t>
      </w:r>
      <w:r>
        <w:rPr>
          <w:lang w:val="en-US"/>
        </w:rPr>
        <w:t>An introduction to difference-in-difference</w:t>
      </w:r>
      <w:r w:rsidR="00CD57A5">
        <w:rPr>
          <w:lang w:val="en-US"/>
        </w:rPr>
        <w:t>s</w:t>
      </w:r>
      <w:r>
        <w:rPr>
          <w:lang w:val="en-US"/>
        </w:rPr>
        <w:t xml:space="preserve"> can be found in Fredriksson, A., &amp; Oliviera, G. (2019). Impact evaluation using Difference-in-Differences. </w:t>
      </w:r>
      <w:r>
        <w:rPr>
          <w:i/>
          <w:iCs/>
          <w:lang w:val="en-US"/>
        </w:rPr>
        <w:t>RAUSP Management Journal</w:t>
      </w:r>
      <w:r>
        <w:rPr>
          <w:lang w:val="en-US"/>
        </w:rPr>
        <w:t>, 55(4), 519-532.</w:t>
      </w:r>
    </w:p>
  </w:footnote>
  <w:footnote w:id="66">
    <w:p w14:paraId="31725F1F" w14:textId="354526BA" w:rsidR="008329D5" w:rsidRPr="00373904" w:rsidRDefault="008329D5">
      <w:pPr>
        <w:pStyle w:val="FootnoteText"/>
        <w:rPr>
          <w:lang w:val="en-US"/>
        </w:rPr>
      </w:pPr>
      <w:r>
        <w:rPr>
          <w:rStyle w:val="FootnoteReference"/>
        </w:rPr>
        <w:footnoteRef/>
      </w:r>
      <w:r>
        <w:t xml:space="preserve"> The combined effect of the calliper and the restriction on the propensity scores of the </w:t>
      </w:r>
      <w:r w:rsidR="00B4158C">
        <w:t>borrowers</w:t>
      </w:r>
      <w:r w:rsidR="005D5B56">
        <w:t xml:space="preserve"> is to exclude </w:t>
      </w:r>
      <w:r w:rsidR="00BD4B16">
        <w:t>21</w:t>
      </w:r>
      <w:r w:rsidR="005D5B56">
        <w:t xml:space="preserve"> </w:t>
      </w:r>
      <w:r w:rsidR="0000056C">
        <w:t>borrower</w:t>
      </w:r>
      <w:r w:rsidR="00BD4B16">
        <w:t>s</w:t>
      </w:r>
      <w:r w:rsidR="0000056C">
        <w:t xml:space="preserve"> </w:t>
      </w:r>
      <w:r w:rsidR="005D5B56">
        <w:t>from the main model.</w:t>
      </w:r>
    </w:p>
  </w:footnote>
  <w:footnote w:id="67">
    <w:p w14:paraId="2FC78F40" w14:textId="77777777" w:rsidR="00211A10" w:rsidRPr="00AA3170" w:rsidRDefault="00211A10" w:rsidP="00211A10">
      <w:pPr>
        <w:pStyle w:val="FootnoteText"/>
      </w:pPr>
      <w:r w:rsidRPr="00037FA9">
        <w:rPr>
          <w:rStyle w:val="FootnoteReference"/>
        </w:rPr>
        <w:footnoteRef/>
      </w:r>
      <w:r w:rsidRPr="00037FA9">
        <w:t xml:space="preserve"> </w:t>
      </w:r>
      <w:r>
        <w:t>I</w:t>
      </w:r>
      <w:r w:rsidRPr="00AA3170">
        <w:t xml:space="preserve">deally, the treated and </w:t>
      </w:r>
      <w:r>
        <w:t>control</w:t>
      </w:r>
      <w:r w:rsidRPr="00AA3170">
        <w:t xml:space="preserve"> samples would be similar to the extent that their </w:t>
      </w:r>
      <w:r>
        <w:t>turnover and employment before the pandemic</w:t>
      </w:r>
      <w:r w:rsidRPr="00AA3170">
        <w:t xml:space="preserve"> would be identical. However, given that it is not possible to observe all relevant characteristics and incorporate these into the </w:t>
      </w:r>
      <w:r>
        <w:t>PSM</w:t>
      </w:r>
      <w:r w:rsidRPr="00AA3170">
        <w:t xml:space="preserve"> process</w:t>
      </w:r>
      <w:r>
        <w:t xml:space="preserve"> and because the analysis is based on a (limited) sample</w:t>
      </w:r>
      <w:r w:rsidRPr="00AA3170">
        <w:t xml:space="preserve">, it is possible that differences in outcomes remain between both groups even after the matching. </w:t>
      </w:r>
    </w:p>
  </w:footnote>
  <w:footnote w:id="68">
    <w:p w14:paraId="15CF5A93" w14:textId="33F18601" w:rsidR="00211A10" w:rsidRPr="00AA3170" w:rsidRDefault="00211A10" w:rsidP="00211A10">
      <w:pPr>
        <w:pStyle w:val="FootnoteText"/>
      </w:pPr>
      <w:r w:rsidRPr="00037FA9">
        <w:rPr>
          <w:rStyle w:val="FootnoteReference"/>
        </w:rPr>
        <w:footnoteRef/>
      </w:r>
      <w:r w:rsidRPr="00037FA9">
        <w:t xml:space="preserve"> </w:t>
      </w:r>
      <w:r w:rsidRPr="00AA3170">
        <w:t xml:space="preserve">In this example, the difference between </w:t>
      </w:r>
      <w:r>
        <w:t>treatment</w:t>
      </w:r>
      <w:r w:rsidRPr="00AA3170">
        <w:t xml:space="preserve"> and </w:t>
      </w:r>
      <w:r>
        <w:t xml:space="preserve">control </w:t>
      </w:r>
      <w:r w:rsidR="002B2605">
        <w:t xml:space="preserve">businesses </w:t>
      </w:r>
      <w:r w:rsidRPr="00AA3170">
        <w:t xml:space="preserve">is negative (as treated </w:t>
      </w:r>
      <w:r w:rsidR="002B2605">
        <w:t xml:space="preserve">businesses </w:t>
      </w:r>
      <w:r w:rsidRPr="00AA3170">
        <w:t xml:space="preserve">have lower outcomes than non-treated </w:t>
      </w:r>
      <w:r w:rsidR="002B2605">
        <w:t>businesses</w:t>
      </w:r>
      <w:r w:rsidRPr="00AA3170">
        <w:t xml:space="preserve">), but, because the pre-treatment difference is more negative than the post-treatment difference, the impact of the intervention is positive: the margin of outperformance of non-treated </w:t>
      </w:r>
      <w:r w:rsidR="002B2605">
        <w:t xml:space="preserve">businesses </w:t>
      </w:r>
      <w:r w:rsidRPr="00AA3170">
        <w:t xml:space="preserve">was reduced by the intervention. </w:t>
      </w:r>
    </w:p>
  </w:footnote>
  <w:footnote w:id="69">
    <w:p w14:paraId="22F099E0" w14:textId="77777777" w:rsidR="00A77DD3" w:rsidRPr="00E64AEB" w:rsidRDefault="00A77DD3" w:rsidP="00211A10">
      <w:pPr>
        <w:pStyle w:val="FootnoteText"/>
        <w:rPr>
          <w:lang w:val="en-US"/>
        </w:rPr>
      </w:pPr>
      <w:r>
        <w:rPr>
          <w:rStyle w:val="FootnoteReference"/>
        </w:rPr>
        <w:footnoteRef/>
      </w:r>
      <w:r>
        <w:t xml:space="preserve"> </w:t>
      </w:r>
      <w:r w:rsidRPr="00F77AB8">
        <w:t>The possible values for this variable were Primary/Manufacturing</w:t>
      </w:r>
      <w:r>
        <w:t xml:space="preserve"> (SIC section </w:t>
      </w:r>
      <w:r w:rsidRPr="00F25A5F">
        <w:t>A, B, C, D and E</w:t>
      </w:r>
      <w:r>
        <w:t>)</w:t>
      </w:r>
      <w:r w:rsidRPr="00F77AB8">
        <w:t>, Construction</w:t>
      </w:r>
      <w:r>
        <w:t xml:space="preserve"> (SIC section F)</w:t>
      </w:r>
      <w:r w:rsidRPr="00F77AB8">
        <w:t>, Distribution</w:t>
      </w:r>
      <w:r>
        <w:t xml:space="preserve"> (SIC section G, H, and I)</w:t>
      </w:r>
      <w:r w:rsidRPr="00F77AB8">
        <w:t>, Business Services</w:t>
      </w:r>
      <w:r>
        <w:t xml:space="preserve"> (</w:t>
      </w:r>
      <w:r w:rsidRPr="00F25A5F">
        <w:t>J,</w:t>
      </w:r>
      <w:r>
        <w:t xml:space="preserve"> </w:t>
      </w:r>
      <w:r w:rsidRPr="00F25A5F">
        <w:t>K,</w:t>
      </w:r>
      <w:r>
        <w:t xml:space="preserve"> </w:t>
      </w:r>
      <w:r w:rsidRPr="00F25A5F">
        <w:t>L,</w:t>
      </w:r>
      <w:r>
        <w:t xml:space="preserve"> </w:t>
      </w:r>
      <w:r w:rsidRPr="00F25A5F">
        <w:t>M,</w:t>
      </w:r>
      <w:r>
        <w:t xml:space="preserve"> </w:t>
      </w:r>
      <w:r w:rsidRPr="00F25A5F">
        <w:t>N</w:t>
      </w:r>
      <w:r>
        <w:t xml:space="preserve">) and </w:t>
      </w:r>
      <w:r w:rsidRPr="00F77AB8">
        <w:t>Other Services</w:t>
      </w:r>
      <w:r>
        <w:t xml:space="preserve"> (</w:t>
      </w:r>
      <w:r w:rsidRPr="00B421FF">
        <w:t>P, Q, R, S</w:t>
      </w:r>
      <w:r>
        <w:t>)</w:t>
      </w:r>
      <w:r w:rsidRPr="00F77AB8">
        <w:t xml:space="preserve">. </w:t>
      </w:r>
    </w:p>
  </w:footnote>
  <w:footnote w:id="70">
    <w:p w14:paraId="79372AAB" w14:textId="5D15263B" w:rsidR="00A77DD3" w:rsidRPr="00E23F6D" w:rsidRDefault="00A77DD3" w:rsidP="00211A10">
      <w:pPr>
        <w:pStyle w:val="FootnoteText"/>
      </w:pPr>
      <w:r>
        <w:rPr>
          <w:rStyle w:val="FootnoteReference"/>
        </w:rPr>
        <w:footnoteRef/>
      </w:r>
      <w:r>
        <w:t xml:space="preserve"> To allow for the possibility that the relationship between the </w:t>
      </w:r>
      <w:r w:rsidR="008E3E38">
        <w:t>Loan variable</w:t>
      </w:r>
      <w:r>
        <w:t xml:space="preserve"> and size is not strictly increasing or decreasing, these variables were coded into bands for the Propensity Score Matching. For the number of staff, the bands were 1, 2-4, 5-9, 10-24, 25-49, and 50 or more. For turnover, the bands were less than £</w:t>
      </w:r>
      <w:r w:rsidR="008E3E38">
        <w:t>10</w:t>
      </w:r>
      <w:r>
        <w:t>0,000, at least £</w:t>
      </w:r>
      <w:r w:rsidR="008E3E38">
        <w:t>10</w:t>
      </w:r>
      <w:r>
        <w:t>0,000 but less than £</w:t>
      </w:r>
      <w:r w:rsidR="008E3E38">
        <w:t>250</w:t>
      </w:r>
      <w:r>
        <w:t>,000, at least £</w:t>
      </w:r>
      <w:r w:rsidR="008E3E38">
        <w:t>250</w:t>
      </w:r>
      <w:r>
        <w:t>,000 but less than £</w:t>
      </w:r>
      <w:r w:rsidR="008E3E38">
        <w:t>50</w:t>
      </w:r>
      <w:r>
        <w:t>0,000, at least £5</w:t>
      </w:r>
      <w:r w:rsidR="008E3E38">
        <w:t>0</w:t>
      </w:r>
      <w:r>
        <w:t xml:space="preserve">0,000 but less than £1 million, at least £1 million but less than £5 million and more than £5 million. </w:t>
      </w:r>
    </w:p>
  </w:footnote>
  <w:footnote w:id="71">
    <w:p w14:paraId="178C6A6B" w14:textId="29B20380" w:rsidR="008E3E38" w:rsidRDefault="008E3E38">
      <w:pPr>
        <w:pStyle w:val="FootnoteText"/>
      </w:pPr>
      <w:r>
        <w:rPr>
          <w:rStyle w:val="FootnoteReference"/>
        </w:rPr>
        <w:footnoteRef/>
      </w:r>
      <w:r>
        <w:t xml:space="preserve"> As with business size, these variables were also coded into bands for the Propensity Score Matching. For staff growth, the bands were less then or equal to -20%, greater than -20% but less than 0%, 0%, greater than 0% but less than 20%, at least 20% but less than 50% and at least 50%. For turnover growth, the bands were less than or equal to -50%, greater than -50% but less than -20%, at least -20% but less than 0%, 0%, greater than 0% but less than 20%, at least 20% but less than 50% and at least 50%.</w:t>
      </w:r>
    </w:p>
  </w:footnote>
  <w:footnote w:id="72">
    <w:p w14:paraId="7295EDFC" w14:textId="77777777" w:rsidR="00A77DD3" w:rsidRPr="00C91CBC" w:rsidRDefault="00A77DD3" w:rsidP="00211A10">
      <w:pPr>
        <w:pStyle w:val="FootnoteText"/>
        <w:rPr>
          <w:lang w:val="en-US"/>
        </w:rPr>
      </w:pPr>
      <w:r>
        <w:rPr>
          <w:rStyle w:val="FootnoteReference"/>
        </w:rPr>
        <w:footnoteRef/>
      </w:r>
      <w:r>
        <w:t xml:space="preserve"> </w:t>
      </w:r>
      <w:r>
        <w:rPr>
          <w:lang w:val="en-US"/>
        </w:rPr>
        <w:t xml:space="preserve">It was specified that this referred to all ownerships and legal statuses, the acquiring enterprise in the case of acquisition and the largest enterprise as measured by employment in the case of a merger. </w:t>
      </w:r>
    </w:p>
  </w:footnote>
  <w:footnote w:id="73">
    <w:p w14:paraId="7CD7CE6F" w14:textId="4B68EE1F" w:rsidR="00A77DD3" w:rsidRPr="00E64AEB" w:rsidRDefault="00A77DD3" w:rsidP="00211A10">
      <w:pPr>
        <w:pStyle w:val="FootnoteText"/>
        <w:rPr>
          <w:lang w:val="en-US"/>
        </w:rPr>
      </w:pPr>
      <w:r>
        <w:rPr>
          <w:rStyle w:val="FootnoteReference"/>
        </w:rPr>
        <w:footnoteRef/>
      </w:r>
      <w:r>
        <w:t xml:space="preserve"> </w:t>
      </w:r>
      <w:r w:rsidRPr="004346D1">
        <w:t xml:space="preserve">Responses were </w:t>
      </w:r>
      <w:r w:rsidR="00D245C7">
        <w:t xml:space="preserve">split into bands for the PSM </w:t>
      </w:r>
      <w:r w:rsidRPr="004346D1">
        <w:t xml:space="preserve">of </w:t>
      </w:r>
      <w:r w:rsidR="00D245C7">
        <w:t>9 years or less, 10 to 20 years and more than 20 years.</w:t>
      </w:r>
    </w:p>
  </w:footnote>
  <w:footnote w:id="74">
    <w:p w14:paraId="6B0839E4" w14:textId="46FFD9FD" w:rsidR="009A6D01" w:rsidRDefault="009A6D01" w:rsidP="009A6D01">
      <w:pPr>
        <w:pStyle w:val="FootnoteText"/>
      </w:pPr>
      <w:r>
        <w:rPr>
          <w:rStyle w:val="FootnoteReference"/>
        </w:rPr>
        <w:footnoteRef/>
      </w:r>
      <w:r>
        <w:t xml:space="preserve"> The “Other Support Schemes” dummy variable equals one if the business used any of the following support schemes: deferral of Self-Assessment payments, HMRC Time to Pay, the </w:t>
      </w:r>
      <w:r>
        <w:rPr>
          <w:bCs/>
          <w:color w:val="1D1D1B" w:themeColor="text1"/>
        </w:rPr>
        <w:t>S</w:t>
      </w:r>
      <w:r w:rsidRPr="00925DF4">
        <w:rPr>
          <w:bCs/>
          <w:color w:val="1D1D1B" w:themeColor="text1"/>
        </w:rPr>
        <w:t>elf-</w:t>
      </w:r>
      <w:r>
        <w:rPr>
          <w:bCs/>
          <w:color w:val="1D1D1B" w:themeColor="text1"/>
        </w:rPr>
        <w:t>E</w:t>
      </w:r>
      <w:r w:rsidRPr="00925DF4">
        <w:rPr>
          <w:bCs/>
          <w:color w:val="1D1D1B" w:themeColor="text1"/>
        </w:rPr>
        <w:t>mploy</w:t>
      </w:r>
      <w:r>
        <w:rPr>
          <w:bCs/>
          <w:color w:val="1D1D1B" w:themeColor="text1"/>
        </w:rPr>
        <w:t>ment</w:t>
      </w:r>
      <w:r w:rsidRPr="00925DF4">
        <w:rPr>
          <w:bCs/>
          <w:color w:val="1D1D1B" w:themeColor="text1"/>
        </w:rPr>
        <w:t xml:space="preserve"> Income Support Scheme</w:t>
      </w:r>
      <w:r>
        <w:rPr>
          <w:bCs/>
          <w:color w:val="1D1D1B" w:themeColor="text1"/>
        </w:rPr>
        <w:t xml:space="preserve">, the </w:t>
      </w:r>
      <w:r w:rsidRPr="009A6D01">
        <w:rPr>
          <w:bCs/>
          <w:color w:val="1D1D1B" w:themeColor="text1"/>
        </w:rPr>
        <w:t>12-month business rates holiday for hospitality, leisure, retail businesses</w:t>
      </w:r>
      <w:r>
        <w:rPr>
          <w:bCs/>
          <w:color w:val="1D1D1B" w:themeColor="text1"/>
        </w:rPr>
        <w:t>, cash</w:t>
      </w:r>
      <w:r w:rsidRPr="009A6D01">
        <w:rPr>
          <w:bCs/>
          <w:color w:val="1D1D1B" w:themeColor="text1"/>
        </w:rPr>
        <w:t xml:space="preserve"> grants related to the Covid-19 pandemic</w:t>
      </w:r>
      <w:r>
        <w:rPr>
          <w:bCs/>
          <w:color w:val="1D1D1B" w:themeColor="text1"/>
        </w:rPr>
        <w:t xml:space="preserve"> or c</w:t>
      </w:r>
      <w:r w:rsidRPr="009A6D01">
        <w:rPr>
          <w:bCs/>
          <w:color w:val="1D1D1B" w:themeColor="text1"/>
        </w:rPr>
        <w:t>ash grants unrelated to the Covid-19 pandemic</w:t>
      </w:r>
      <w:r>
        <w:rPr>
          <w:bCs/>
          <w:color w:val="1D1D1B" w:themeColor="text1"/>
        </w:rPr>
        <w:t>.</w:t>
      </w:r>
    </w:p>
  </w:footnote>
  <w:footnote w:id="75">
    <w:p w14:paraId="568CA727" w14:textId="21CA02CC" w:rsidR="00A9219A" w:rsidRPr="001B2423" w:rsidRDefault="00A9219A">
      <w:pPr>
        <w:pStyle w:val="FootnoteText"/>
        <w:rPr>
          <w:lang w:val="en-US"/>
        </w:rPr>
      </w:pPr>
      <w:r>
        <w:rPr>
          <w:rStyle w:val="FootnoteReference"/>
        </w:rPr>
        <w:footnoteRef/>
      </w:r>
      <w:r>
        <w:t xml:space="preserve"> </w:t>
      </w:r>
      <w:r>
        <w:rPr>
          <w:lang w:val="en-US"/>
        </w:rPr>
        <w:t>In order to reduce the likelihood of outliers and possible misreported values influencing the results,</w:t>
      </w:r>
      <w:r w:rsidR="0074315A">
        <w:rPr>
          <w:lang w:val="en-US"/>
        </w:rPr>
        <w:t xml:space="preserve"> some observations were excluded from the analysis.</w:t>
      </w:r>
      <w:r>
        <w:rPr>
          <w:lang w:val="en-US"/>
        </w:rPr>
        <w:t xml:space="preserve"> </w:t>
      </w:r>
      <w:r w:rsidR="0036069C">
        <w:rPr>
          <w:lang w:val="en-US"/>
        </w:rPr>
        <w:t xml:space="preserve">In the turnover model, businesses were excluded if their turnover was found to decrease by more than 90% or increase by more than 800% between 2020 and 2021, and if their turnover was found to decrease by more than 98% or increase by more than 2000% between 2021 and 2023 (such businesses accounted for approximately 2 percent of observations). In the employment model, businesses were excluded if their employment was found to decrease by more than 95% or increase by more than 2000% between 2020 </w:t>
      </w:r>
      <w:r w:rsidR="00783D56">
        <w:rPr>
          <w:lang w:val="en-US"/>
        </w:rPr>
        <w:t>and</w:t>
      </w:r>
      <w:r w:rsidR="0036069C">
        <w:rPr>
          <w:lang w:val="en-US"/>
        </w:rPr>
        <w:t xml:space="preserve"> 2021 or between 2021 and 2023.</w:t>
      </w:r>
    </w:p>
  </w:footnote>
  <w:footnote w:id="76">
    <w:p w14:paraId="24DC0343" w14:textId="7E834E4A" w:rsidR="00211A10" w:rsidRPr="00AA638C" w:rsidRDefault="00211A10" w:rsidP="00211A10">
      <w:pPr>
        <w:pStyle w:val="FootnoteText"/>
        <w:rPr>
          <w:lang w:val="en-US"/>
        </w:rPr>
      </w:pPr>
      <w:r>
        <w:rPr>
          <w:rStyle w:val="FootnoteReference"/>
        </w:rPr>
        <w:footnoteRef/>
      </w:r>
      <w:r>
        <w:t xml:space="preserve"> </w:t>
      </w:r>
      <w:r w:rsidR="00D12004">
        <w:rPr>
          <w:lang w:val="en-US"/>
        </w:rPr>
        <w:t>Number of employees</w:t>
      </w:r>
      <w:r>
        <w:rPr>
          <w:lang w:val="en-US"/>
        </w:rPr>
        <w:t xml:space="preserve"> were provided for the end of the relevant years. </w:t>
      </w:r>
    </w:p>
  </w:footnote>
  <w:footnote w:id="77">
    <w:p w14:paraId="62208812" w14:textId="77777777" w:rsidR="00D17EFB" w:rsidRPr="00BB2B2E" w:rsidRDefault="00D17EFB" w:rsidP="00D17EFB">
      <w:pPr>
        <w:pStyle w:val="FootnoteText"/>
      </w:pPr>
      <w:r>
        <w:rPr>
          <w:rStyle w:val="FootnoteReference"/>
        </w:rPr>
        <w:footnoteRef/>
      </w:r>
      <w:r>
        <w:t xml:space="preserve"> </w:t>
      </w:r>
      <w:hyperlink r:id="rId7" w:history="1">
        <w:r w:rsidRPr="007330EB">
          <w:rPr>
            <w:rStyle w:val="Hyperlink"/>
          </w:rPr>
          <w:t>https://www.gov.uk/government/collections/business-population-estimates</w:t>
        </w:r>
      </w:hyperlink>
    </w:p>
  </w:footnote>
  <w:footnote w:id="78">
    <w:p w14:paraId="2F0ADE45" w14:textId="2BFA0820" w:rsidR="00E02439" w:rsidRPr="0014144A" w:rsidRDefault="00E02439">
      <w:pPr>
        <w:pStyle w:val="FootnoteText"/>
        <w:rPr>
          <w:lang w:val="en-US"/>
        </w:rPr>
      </w:pPr>
      <w:r>
        <w:rPr>
          <w:rStyle w:val="FootnoteReference"/>
        </w:rPr>
        <w:footnoteRef/>
      </w:r>
      <w:r>
        <w:t xml:space="preserve"> </w:t>
      </w:r>
      <w:r>
        <w:rPr>
          <w:lang w:val="en-US"/>
        </w:rPr>
        <w:t xml:space="preserve">It should be noted that some lenders have multiple accreditations, but these are not duplicated here. The total number of accredited lenders under RLS 1.0 is 84, of which 82 provided finance.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D948" w14:textId="77777777" w:rsidR="000C49E7" w:rsidRDefault="000C4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6B2F" w14:textId="72A2CF28" w:rsidR="00D13154" w:rsidRPr="004C2C90" w:rsidRDefault="00D13154" w:rsidP="00E27136">
    <w:pPr>
      <w:pStyle w:val="Header"/>
      <w:tabs>
        <w:tab w:val="clear" w:pos="4513"/>
      </w:tabs>
      <w:spacing w:after="360"/>
      <w:rPr>
        <w:rFonts w:ascii="Arial" w:hAnsi="Arial"/>
      </w:rPr>
    </w:pPr>
    <w:r w:rsidRPr="004C2C90">
      <w:rPr>
        <w:rFonts w:ascii="Arial" w:hAnsi="Arial"/>
      </w:rPr>
      <w:fldChar w:fldCharType="begin"/>
    </w:r>
    <w:r w:rsidRPr="004C2C90">
      <w:rPr>
        <w:rFonts w:ascii="Arial" w:hAnsi="Arial"/>
      </w:rPr>
      <w:instrText xml:space="preserve"> STYLEREF  Subtitle  \* MERGEFORMAT </w:instrText>
    </w:r>
    <w:r w:rsidRPr="004C2C90">
      <w:rPr>
        <w:rFonts w:ascii="Arial" w:hAnsi="Arial"/>
      </w:rPr>
      <w:fldChar w:fldCharType="separate"/>
    </w:r>
    <w:r w:rsidR="00885E1E" w:rsidRPr="00885E1E">
      <w:rPr>
        <w:rFonts w:ascii="Arial" w:hAnsi="Arial"/>
        <w:noProof/>
        <w:lang w:val="en-US"/>
      </w:rPr>
      <w:t>RLS</w:t>
    </w:r>
    <w:r w:rsidR="00885E1E">
      <w:rPr>
        <w:rFonts w:ascii="Arial" w:hAnsi="Arial"/>
        <w:noProof/>
      </w:rPr>
      <w:t xml:space="preserve"> 1.0 Evaluation</w:t>
    </w:r>
    <w:r w:rsidRPr="004C2C90">
      <w:rPr>
        <w:rFonts w:ascii="Arial" w:hAnsi="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40DC" w14:textId="099C80CF" w:rsidR="00016B1D" w:rsidRDefault="00016B1D">
    <w:pPr>
      <w:pStyle w:val="Header"/>
    </w:pPr>
    <w:r>
      <w:rPr>
        <w:noProof/>
      </w:rPr>
      <w:drawing>
        <wp:anchor distT="0" distB="0" distL="114300" distR="114300" simplePos="0" relativeHeight="251658240" behindDoc="1" locked="1" layoutInCell="1" allowOverlap="1" wp14:anchorId="54063CDF" wp14:editId="5F8724C9">
          <wp:simplePos x="0" y="0"/>
          <wp:positionH relativeFrom="page">
            <wp:posOffset>0</wp:posOffset>
          </wp:positionH>
          <wp:positionV relativeFrom="page">
            <wp:posOffset>0</wp:posOffset>
          </wp:positionV>
          <wp:extent cx="7560000" cy="10692000"/>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D01C" w14:textId="67A19418" w:rsidR="003F296C" w:rsidRPr="00D13154" w:rsidRDefault="00D13154" w:rsidP="00D13154">
    <w:pPr>
      <w:pStyle w:val="Header"/>
      <w:tabs>
        <w:tab w:val="clear" w:pos="4513"/>
      </w:tabs>
      <w:rPr>
        <w:rFonts w:ascii="Arial" w:hAnsi="Arial"/>
      </w:rPr>
    </w:pPr>
    <w:r>
      <w:rPr>
        <w:rFonts w:ascii="Arial" w:hAnsi="Arial"/>
      </w:rPr>
      <w:fldChar w:fldCharType="begin"/>
    </w:r>
    <w:r>
      <w:rPr>
        <w:rFonts w:ascii="Arial" w:hAnsi="Arial"/>
      </w:rPr>
      <w:instrText xml:space="preserve"> STYLEREF  Subtitle  \* MERGEFORMAT </w:instrText>
    </w:r>
    <w:r>
      <w:rPr>
        <w:rFonts w:ascii="Arial" w:hAnsi="Arial"/>
      </w:rPr>
      <w:fldChar w:fldCharType="separate"/>
    </w:r>
    <w:r w:rsidR="00885E1E" w:rsidRPr="00885E1E">
      <w:rPr>
        <w:rFonts w:ascii="Arial" w:hAnsi="Arial"/>
        <w:bCs/>
        <w:noProof/>
        <w:lang w:val="en-US"/>
      </w:rPr>
      <w:t>RLS 1.0</w:t>
    </w:r>
    <w:r w:rsidR="00885E1E">
      <w:rPr>
        <w:rFonts w:ascii="Arial" w:hAnsi="Arial"/>
        <w:noProof/>
      </w:rPr>
      <w:t xml:space="preserve"> Evaluation</w:t>
    </w:r>
    <w:r>
      <w:rPr>
        <w:rFonts w:ascii="Arial" w:hAnsi="Aria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FDDE" w14:textId="215F677C" w:rsidR="004C2C90" w:rsidRPr="00E27136" w:rsidRDefault="004C2C90" w:rsidP="00E27136">
    <w:pPr>
      <w:pStyle w:val="Header"/>
      <w:tabs>
        <w:tab w:val="clear" w:pos="4513"/>
      </w:tabs>
      <w:spacing w:after="360"/>
      <w:rPr>
        <w:rFonts w:ascii="Arial" w:hAnsi="Arial"/>
        <w:noProof/>
        <w:lang w:val="en-US"/>
      </w:rPr>
    </w:pPr>
    <w:r w:rsidRPr="00E27136">
      <w:rPr>
        <w:rFonts w:ascii="Arial" w:hAnsi="Arial"/>
        <w:noProof/>
        <w:lang w:val="en-US"/>
      </w:rPr>
      <w:fldChar w:fldCharType="begin"/>
    </w:r>
    <w:r w:rsidRPr="00E27136">
      <w:rPr>
        <w:rFonts w:ascii="Arial" w:hAnsi="Arial"/>
        <w:noProof/>
        <w:lang w:val="en-US"/>
      </w:rPr>
      <w:instrText xml:space="preserve"> STYLEREF  Subtitle  \* MERGEFORMAT </w:instrText>
    </w:r>
    <w:r w:rsidRPr="00E27136">
      <w:rPr>
        <w:rFonts w:ascii="Arial" w:hAnsi="Arial"/>
        <w:noProof/>
        <w:lang w:val="en-US"/>
      </w:rPr>
      <w:fldChar w:fldCharType="separate"/>
    </w:r>
    <w:r w:rsidR="00DB2176">
      <w:rPr>
        <w:rFonts w:ascii="Arial" w:hAnsi="Arial"/>
        <w:noProof/>
        <w:lang w:val="en-US"/>
      </w:rPr>
      <w:t>RLS 1.0 Evaluation</w:t>
    </w:r>
    <w:r w:rsidRPr="00E27136">
      <w:rPr>
        <w:rFonts w:ascii="Arial" w:hAnsi="Arial"/>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AB20" w14:textId="217A2557" w:rsidR="00D17EFB" w:rsidRPr="004C2C90" w:rsidRDefault="00D17EFB" w:rsidP="00D17EFB">
    <w:pPr>
      <w:pStyle w:val="Header"/>
      <w:tabs>
        <w:tab w:val="clear" w:pos="4513"/>
      </w:tabs>
      <w:rPr>
        <w:rFonts w:ascii="Arial" w:hAnsi="Arial"/>
      </w:rPr>
    </w:pPr>
    <w:r w:rsidRPr="004C2C90">
      <w:rPr>
        <w:rFonts w:ascii="Arial" w:hAnsi="Arial"/>
      </w:rPr>
      <w:fldChar w:fldCharType="begin"/>
    </w:r>
    <w:r w:rsidRPr="004C2C90">
      <w:rPr>
        <w:rFonts w:ascii="Arial" w:hAnsi="Arial"/>
      </w:rPr>
      <w:instrText xml:space="preserve"> STYLEREF  Subtitle  \* MERGEFORMAT </w:instrText>
    </w:r>
    <w:r w:rsidRPr="004C2C90">
      <w:rPr>
        <w:rFonts w:ascii="Arial" w:hAnsi="Arial"/>
      </w:rPr>
      <w:fldChar w:fldCharType="separate"/>
    </w:r>
    <w:r w:rsidR="003D5498" w:rsidRPr="003D5498">
      <w:rPr>
        <w:rFonts w:ascii="Arial" w:hAnsi="Arial"/>
        <w:noProof/>
        <w:lang w:val="en-US"/>
      </w:rPr>
      <w:t>RLS 1.0 Evaluation</w:t>
    </w:r>
    <w:r w:rsidRPr="004C2C90">
      <w:rPr>
        <w:rFonts w:ascii="Arial" w:hAnsi="Arial"/>
      </w:rPr>
      <w:fldChar w:fldCharType="end"/>
    </w:r>
  </w:p>
  <w:p w14:paraId="2D56B566" w14:textId="5FE78A9F" w:rsidR="00240A4C" w:rsidRPr="00D13154" w:rsidRDefault="00240A4C" w:rsidP="00240A4C">
    <w:pPr>
      <w:pStyle w:val="Header"/>
      <w:tabs>
        <w:tab w:val="clear" w:pos="4513"/>
      </w:tabs>
      <w:jc w:val="right"/>
      <w:rPr>
        <w:rFonts w:ascii="Arial" w:hAnsi="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8217" w14:textId="4FE75124" w:rsidR="009567D9" w:rsidRPr="004C2C90" w:rsidRDefault="009567D9" w:rsidP="009567D9">
    <w:pPr>
      <w:pStyle w:val="Header"/>
      <w:tabs>
        <w:tab w:val="clear" w:pos="4513"/>
      </w:tabs>
      <w:jc w:val="right"/>
      <w:rPr>
        <w:rFonts w:ascii="Arial" w:hAnsi="Arial"/>
      </w:rPr>
    </w:pPr>
    <w:r w:rsidRPr="00D13154">
      <w:rPr>
        <w:noProof/>
      </w:rPr>
      <w:drawing>
        <wp:inline distT="0" distB="0" distL="0" distR="0" wp14:anchorId="7820BD86" wp14:editId="1B13A9A7">
          <wp:extent cx="2124000" cy="792000"/>
          <wp:effectExtent l="0" t="0" r="0" b="8255"/>
          <wp:docPr id="9" name="Picture 9" descr="British Business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ritish Business Bank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24000" cy="792000"/>
                  </a:xfrm>
                  <a:prstGeom prst="rect">
                    <a:avLst/>
                  </a:prstGeom>
                </pic:spPr>
              </pic:pic>
            </a:graphicData>
          </a:graphic>
        </wp:inline>
      </w:drawing>
    </w:r>
  </w:p>
  <w:p w14:paraId="49DC6719" w14:textId="77777777" w:rsidR="009567D9" w:rsidRPr="00D13154" w:rsidRDefault="009567D9" w:rsidP="00240A4C">
    <w:pPr>
      <w:pStyle w:val="Header"/>
      <w:tabs>
        <w:tab w:val="clear" w:pos="4513"/>
      </w:tabs>
      <w:jc w:val="right"/>
      <w:rPr>
        <w:rFonts w:ascii="Arial" w:hAnsi="Arial"/>
      </w:rPr>
    </w:pPr>
  </w:p>
</w:hdr>
</file>

<file path=word/intelligence2.xml><?xml version="1.0" encoding="utf-8"?>
<int2:intelligence xmlns:int2="http://schemas.microsoft.com/office/intelligence/2020/intelligence" xmlns:oel="http://schemas.microsoft.com/office/2019/extlst">
  <int2:observations>
    <int2:textHash int2:hashCode="4ld914tU/ijGXu" int2:id="AJjrp4GI">
      <int2:state int2:value="Rejected" int2:type="AugLoop_Text_Critique"/>
    </int2:textHash>
    <int2:textHash int2:hashCode="usVE9Gcmgd8PB8" int2:id="FstyUF8m">
      <int2:state int2:value="Rejected" int2:type="AugLoop_Text_Critique"/>
    </int2:textHash>
    <int2:textHash int2:hashCode="SMGARBkiBaWpNJ" int2:id="upPLDsUW">
      <int2:state int2:value="Rejected" int2:type="AugLoop_Text_Critique"/>
    </int2:textHash>
    <int2:textHash int2:hashCode="XdktGCNQaMIs4t" int2:id="xYVXamc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E5ADFB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60CA81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0AAF81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3CC460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DECC5B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0432A3"/>
    <w:multiLevelType w:val="multilevel"/>
    <w:tmpl w:val="0FFA5A16"/>
    <w:styleLink w:val="ListStyle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33D6012"/>
    <w:multiLevelType w:val="multilevel"/>
    <w:tmpl w:val="C7A49410"/>
    <w:styleLink w:val="NumblistNumb"/>
    <w:lvl w:ilvl="0">
      <w:start w:val="1"/>
      <w:numFmt w:val="decimal"/>
      <w:lvlText w:val="%1)"/>
      <w:lvlJc w:val="left"/>
      <w:pPr>
        <w:tabs>
          <w:tab w:val="num" w:pos="737"/>
        </w:tabs>
        <w:ind w:left="737" w:hanging="567"/>
      </w:pPr>
      <w:rPr>
        <w:rFonts w:hint="default"/>
      </w:rPr>
    </w:lvl>
    <w:lvl w:ilvl="1">
      <w:start w:val="1"/>
      <w:numFmt w:val="lowerLetter"/>
      <w:lvlText w:val="%2)"/>
      <w:lvlJc w:val="left"/>
      <w:pPr>
        <w:tabs>
          <w:tab w:val="num" w:pos="1134"/>
        </w:tabs>
        <w:ind w:left="1134" w:hanging="283"/>
      </w:pPr>
      <w:rPr>
        <w:rFonts w:hint="default"/>
      </w:rPr>
    </w:lvl>
    <w:lvl w:ilvl="2">
      <w:start w:val="1"/>
      <w:numFmt w:val="lowerRoman"/>
      <w:lvlText w:val="%3)"/>
      <w:lvlJc w:val="left"/>
      <w:pPr>
        <w:tabs>
          <w:tab w:val="num" w:pos="1531"/>
        </w:tabs>
        <w:ind w:left="1531" w:hanging="284"/>
      </w:pPr>
      <w:rPr>
        <w:rFonts w:hint="default"/>
      </w:rPr>
    </w:lvl>
    <w:lvl w:ilvl="3">
      <w:start w:val="1"/>
      <w:numFmt w:val="none"/>
      <w:lvlText w:val=""/>
      <w:lvlJc w:val="left"/>
      <w:pPr>
        <w:tabs>
          <w:tab w:val="num" w:pos="1531"/>
        </w:tabs>
        <w:ind w:left="1531" w:firstLine="0"/>
      </w:pPr>
      <w:rPr>
        <w:rFonts w:hint="default"/>
      </w:rPr>
    </w:lvl>
    <w:lvl w:ilvl="4">
      <w:start w:val="1"/>
      <w:numFmt w:val="none"/>
      <w:lvlText w:val=""/>
      <w:lvlJc w:val="left"/>
      <w:pPr>
        <w:tabs>
          <w:tab w:val="num" w:pos="1531"/>
        </w:tabs>
        <w:ind w:left="1531" w:firstLine="0"/>
      </w:pPr>
      <w:rPr>
        <w:rFonts w:hint="default"/>
      </w:rPr>
    </w:lvl>
    <w:lvl w:ilvl="5">
      <w:start w:val="1"/>
      <w:numFmt w:val="none"/>
      <w:lvlText w:val=""/>
      <w:lvlJc w:val="left"/>
      <w:pPr>
        <w:tabs>
          <w:tab w:val="num" w:pos="1531"/>
        </w:tabs>
        <w:ind w:left="1531" w:firstLine="0"/>
      </w:pPr>
      <w:rPr>
        <w:rFonts w:hint="default"/>
      </w:rPr>
    </w:lvl>
    <w:lvl w:ilvl="6">
      <w:start w:val="1"/>
      <w:numFmt w:val="none"/>
      <w:lvlText w:val=""/>
      <w:lvlJc w:val="left"/>
      <w:pPr>
        <w:tabs>
          <w:tab w:val="num" w:pos="1531"/>
        </w:tabs>
        <w:ind w:left="1531" w:firstLine="0"/>
      </w:pPr>
      <w:rPr>
        <w:rFonts w:hint="default"/>
      </w:rPr>
    </w:lvl>
    <w:lvl w:ilvl="7">
      <w:start w:val="1"/>
      <w:numFmt w:val="none"/>
      <w:lvlText w:val=""/>
      <w:lvlJc w:val="left"/>
      <w:pPr>
        <w:tabs>
          <w:tab w:val="num" w:pos="1531"/>
        </w:tabs>
        <w:ind w:left="1531" w:firstLine="0"/>
      </w:pPr>
      <w:rPr>
        <w:rFonts w:hint="default"/>
      </w:rPr>
    </w:lvl>
    <w:lvl w:ilvl="8">
      <w:start w:val="1"/>
      <w:numFmt w:val="none"/>
      <w:lvlText w:val=""/>
      <w:lvlJc w:val="left"/>
      <w:pPr>
        <w:tabs>
          <w:tab w:val="num" w:pos="1531"/>
        </w:tabs>
        <w:ind w:left="1531" w:firstLine="0"/>
      </w:pPr>
      <w:rPr>
        <w:rFonts w:hint="default"/>
      </w:rPr>
    </w:lvl>
  </w:abstractNum>
  <w:abstractNum w:abstractNumId="7" w15:restartNumberingAfterBreak="0">
    <w:nsid w:val="05C167CF"/>
    <w:multiLevelType w:val="hybridMultilevel"/>
    <w:tmpl w:val="5B6CA0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6B658B"/>
    <w:multiLevelType w:val="multilevel"/>
    <w:tmpl w:val="AB8484A2"/>
    <w:styleLink w:val="Style1Header"/>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5208FB"/>
    <w:multiLevelType w:val="multilevel"/>
    <w:tmpl w:val="5E2C38B6"/>
    <w:styleLink w:val="JayeshNavinShahEasterEgg"/>
    <w:lvl w:ilvl="0">
      <w:start w:val="1"/>
      <w:numFmt w:val="none"/>
      <w:suff w:val="nothing"/>
      <w:lvlText w:val=""/>
      <w:lvlJc w:val="left"/>
      <w:pPr>
        <w:ind w:left="0" w:firstLine="0"/>
      </w:pPr>
      <w:rPr>
        <w:rFonts w:hint="default"/>
      </w:rPr>
    </w:lvl>
    <w:lvl w:ilvl="1">
      <w:start w:val="1"/>
      <w:numFmt w:val="bullet"/>
      <w:lvlText w:val="▪"/>
      <w:lvlJc w:val="left"/>
      <w:pPr>
        <w:ind w:left="5387" w:hanging="283"/>
      </w:pPr>
      <w:rPr>
        <w:rFonts w:ascii="Segoe UI Light" w:hAnsi="Segoe UI Light" w:hint="default"/>
        <w:color w:val="7E89C1" w:themeColor="accent3"/>
      </w:rPr>
    </w:lvl>
    <w:lvl w:ilvl="2">
      <w:start w:val="1"/>
      <w:numFmt w:val="bullet"/>
      <w:lvlText w:val="−"/>
      <w:lvlJc w:val="left"/>
      <w:pPr>
        <w:ind w:left="3262" w:hanging="284"/>
      </w:pPr>
      <w:rPr>
        <w:rFonts w:ascii="Segoe UI Light" w:hAnsi="Segoe UI Light" w:hint="default"/>
        <w:color w:val="7E89C1"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307"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7B1599"/>
    <w:multiLevelType w:val="multilevel"/>
    <w:tmpl w:val="A5B496B0"/>
    <w:styleLink w:val="JayeshNavinShahEasterEgg2"/>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NON-TOC"/>
      <w:lvlText w:val="%1.%2.%3"/>
      <w:lvlJc w:val="left"/>
      <w:pPr>
        <w:ind w:left="567" w:hanging="567"/>
      </w:pPr>
      <w:rPr>
        <w:rFonts w:hint="default"/>
      </w:rPr>
    </w:lvl>
    <w:lvl w:ilvl="3">
      <w:start w:val="1"/>
      <w:numFmt w:val="decimal"/>
      <w:lvlRestart w:val="1"/>
      <w:pStyle w:val="07BImageCaptionNumbered"/>
      <w:suff w:val="space"/>
      <w:lvlText w:val="Figure %1.%4:"/>
      <w:lvlJc w:val="left"/>
      <w:pPr>
        <w:ind w:left="2268"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08BB1C28"/>
    <w:multiLevelType w:val="multilevel"/>
    <w:tmpl w:val="0CC66390"/>
    <w:styleLink w:val="NumbListHeadings"/>
    <w:lvl w:ilvl="0">
      <w:start w:val="1"/>
      <w:numFmt w:val="decimal"/>
      <w:lvlText w:val="%1"/>
      <w:lvlJc w:val="left"/>
      <w:pPr>
        <w:tabs>
          <w:tab w:val="num" w:pos="1077"/>
        </w:tabs>
        <w:ind w:left="1077" w:hanging="1077"/>
      </w:pPr>
      <w:rPr>
        <w:rFonts w:hint="default"/>
      </w:rPr>
    </w:lvl>
    <w:lvl w:ilvl="1">
      <w:start w:val="1"/>
      <w:numFmt w:val="decimal"/>
      <w:lvlText w:val="%1.%2"/>
      <w:lvlJc w:val="left"/>
      <w:pPr>
        <w:tabs>
          <w:tab w:val="num" w:pos="1077"/>
        </w:tabs>
        <w:ind w:left="1077" w:hanging="1077"/>
      </w:pPr>
      <w:rPr>
        <w:rFonts w:hint="default"/>
      </w:rPr>
    </w:lvl>
    <w:lvl w:ilvl="2">
      <w:start w:val="1"/>
      <w:numFmt w:val="decimal"/>
      <w:lvlText w:val="%1.%2.%3"/>
      <w:lvlJc w:val="left"/>
      <w:pPr>
        <w:tabs>
          <w:tab w:val="num" w:pos="1077"/>
        </w:tabs>
        <w:ind w:left="1077" w:hanging="107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11C86B1E"/>
    <w:multiLevelType w:val="multilevel"/>
    <w:tmpl w:val="F5B24310"/>
    <w:styleLink w:val="NumbListAnnex"/>
    <w:lvl w:ilvl="0">
      <w:start w:val="1"/>
      <w:numFmt w:val="decimal"/>
      <w:pStyle w:val="AnnexHeading1"/>
      <w:lvlText w:val="Annex %1"/>
      <w:lvlJc w:val="left"/>
      <w:pPr>
        <w:tabs>
          <w:tab w:val="num" w:pos="1077"/>
        </w:tabs>
        <w:ind w:left="1077" w:hanging="1077"/>
      </w:pPr>
      <w:rPr>
        <w:rFonts w:hint="default"/>
      </w:rPr>
    </w:lvl>
    <w:lvl w:ilvl="1">
      <w:start w:val="1"/>
      <w:numFmt w:val="decimal"/>
      <w:pStyle w:val="AnnexHeading2"/>
      <w:lvlText w:val="A%1.%2"/>
      <w:lvlJc w:val="left"/>
      <w:pPr>
        <w:tabs>
          <w:tab w:val="num" w:pos="1077"/>
        </w:tabs>
        <w:ind w:left="1077" w:hanging="1077"/>
      </w:pPr>
      <w:rPr>
        <w:rFonts w:hint="default"/>
      </w:rPr>
    </w:lvl>
    <w:lvl w:ilvl="2">
      <w:start w:val="1"/>
      <w:numFmt w:val="decimal"/>
      <w:pStyle w:val="AnnexHeading3"/>
      <w:lvlText w:val="A%1.%2.%3"/>
      <w:lvlJc w:val="left"/>
      <w:pPr>
        <w:tabs>
          <w:tab w:val="num" w:pos="1077"/>
        </w:tabs>
        <w:ind w:left="1077" w:hanging="1077"/>
      </w:pPr>
      <w:rPr>
        <w:rFonts w:hint="default"/>
      </w:rPr>
    </w:lvl>
    <w:lvl w:ilvl="3">
      <w:start w:val="1"/>
      <w:numFmt w:val="none"/>
      <w:lvlText w:val=""/>
      <w:lvlJc w:val="left"/>
      <w:pPr>
        <w:tabs>
          <w:tab w:val="num" w:pos="1077"/>
        </w:tabs>
        <w:ind w:left="1077" w:hanging="1077"/>
      </w:pPr>
      <w:rPr>
        <w:rFonts w:hint="default"/>
      </w:rPr>
    </w:lvl>
    <w:lvl w:ilvl="4">
      <w:start w:val="1"/>
      <w:numFmt w:val="none"/>
      <w:lvlText w:val=""/>
      <w:lvlJc w:val="left"/>
      <w:pPr>
        <w:tabs>
          <w:tab w:val="num" w:pos="1077"/>
        </w:tabs>
        <w:ind w:left="1077" w:hanging="1077"/>
      </w:pPr>
      <w:rPr>
        <w:rFonts w:hint="default"/>
      </w:rPr>
    </w:lvl>
    <w:lvl w:ilvl="5">
      <w:start w:val="1"/>
      <w:numFmt w:val="none"/>
      <w:lvlText w:val=""/>
      <w:lvlJc w:val="left"/>
      <w:pPr>
        <w:tabs>
          <w:tab w:val="num" w:pos="1077"/>
        </w:tabs>
        <w:ind w:left="1077" w:hanging="1077"/>
      </w:pPr>
      <w:rPr>
        <w:rFonts w:hint="default"/>
      </w:rPr>
    </w:lvl>
    <w:lvl w:ilvl="6">
      <w:start w:val="1"/>
      <w:numFmt w:val="none"/>
      <w:lvlText w:val=""/>
      <w:lvlJc w:val="left"/>
      <w:pPr>
        <w:tabs>
          <w:tab w:val="num" w:pos="1077"/>
        </w:tabs>
        <w:ind w:left="1077" w:hanging="1077"/>
      </w:pPr>
      <w:rPr>
        <w:rFonts w:hint="default"/>
      </w:rPr>
    </w:lvl>
    <w:lvl w:ilvl="7">
      <w:start w:val="1"/>
      <w:numFmt w:val="none"/>
      <w:lvlText w:val=""/>
      <w:lvlJc w:val="left"/>
      <w:pPr>
        <w:tabs>
          <w:tab w:val="num" w:pos="1077"/>
        </w:tabs>
        <w:ind w:left="1077" w:hanging="1077"/>
      </w:pPr>
      <w:rPr>
        <w:rFonts w:hint="default"/>
      </w:rPr>
    </w:lvl>
    <w:lvl w:ilvl="8">
      <w:start w:val="1"/>
      <w:numFmt w:val="none"/>
      <w:lvlText w:val=""/>
      <w:lvlJc w:val="left"/>
      <w:pPr>
        <w:tabs>
          <w:tab w:val="num" w:pos="1077"/>
        </w:tabs>
        <w:ind w:left="1077" w:hanging="1077"/>
      </w:pPr>
      <w:rPr>
        <w:rFonts w:hint="default"/>
      </w:rPr>
    </w:lvl>
  </w:abstractNum>
  <w:abstractNum w:abstractNumId="13" w15:restartNumberingAfterBreak="0">
    <w:nsid w:val="124A4F2C"/>
    <w:multiLevelType w:val="multilevel"/>
    <w:tmpl w:val="A5B496B0"/>
    <w:numStyleLink w:val="JayeshNavinShahEasterEgg2"/>
  </w:abstractNum>
  <w:abstractNum w:abstractNumId="14" w15:restartNumberingAfterBreak="0">
    <w:nsid w:val="18DD0D89"/>
    <w:multiLevelType w:val="multilevel"/>
    <w:tmpl w:val="33DE43BE"/>
    <w:styleLink w:val="NumblistFigure"/>
    <w:lvl w:ilvl="0">
      <w:start w:val="1"/>
      <w:numFmt w:val="decimal"/>
      <w:pStyle w:val="FigureTitle"/>
      <w:lvlText w:val="Figure %1"/>
      <w:lvlJc w:val="left"/>
      <w:pPr>
        <w:tabs>
          <w:tab w:val="num" w:pos="1134"/>
        </w:tabs>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B135574"/>
    <w:multiLevelType w:val="multilevel"/>
    <w:tmpl w:val="C83A13BA"/>
    <w:numStyleLink w:val="NumbListMinorBullet"/>
  </w:abstractNum>
  <w:abstractNum w:abstractNumId="16" w15:restartNumberingAfterBreak="0">
    <w:nsid w:val="1CEF24B4"/>
    <w:multiLevelType w:val="multilevel"/>
    <w:tmpl w:val="AE186C2E"/>
    <w:lvl w:ilvl="0">
      <w:start w:val="1"/>
      <w:numFmt w:val="bullet"/>
      <w:lvlText w:val=""/>
      <w:lvlJc w:val="left"/>
      <w:pPr>
        <w:ind w:left="0" w:firstLine="0"/>
      </w:pPr>
      <w:rPr>
        <w:rFonts w:ascii="Wingdings" w:hAnsi="Wingdings" w:hint="default"/>
      </w:rPr>
    </w:lvl>
    <w:lvl w:ilvl="1">
      <w:start w:val="1"/>
      <w:numFmt w:val="bullet"/>
      <w:lvlText w:val="▪"/>
      <w:lvlJc w:val="left"/>
      <w:pPr>
        <w:ind w:left="567" w:hanging="283"/>
      </w:pPr>
      <w:rPr>
        <w:rFonts w:ascii="Arial" w:hAnsi="Arial" w:hint="default"/>
        <w:color w:val="1D1D1B" w:themeColor="text1"/>
      </w:rPr>
    </w:lvl>
    <w:lvl w:ilvl="2">
      <w:start w:val="1"/>
      <w:numFmt w:val="bullet"/>
      <w:lvlText w:val="−"/>
      <w:lvlJc w:val="left"/>
      <w:pPr>
        <w:ind w:left="851" w:hanging="284"/>
      </w:pPr>
      <w:rPr>
        <w:rFonts w:ascii="Arial" w:hAnsi="Arial" w:hint="default"/>
        <w:color w:val="1D1D1B" w:themeColor="text1"/>
      </w:rPr>
    </w:lvl>
    <w:lvl w:ilvl="3">
      <w:start w:val="1"/>
      <w:numFmt w:val="bullet"/>
      <w:lvlRestart w:val="1"/>
      <w:lvlText w:val="▪"/>
      <w:lvlJc w:val="left"/>
      <w:pPr>
        <w:ind w:left="567" w:hanging="283"/>
      </w:pPr>
      <w:rPr>
        <w:rFonts w:ascii="Arial" w:hAnsi="Arial" w:hint="default"/>
        <w:b w:val="0"/>
        <w:i w:val="0"/>
        <w:color w:val="1D1D1B" w:themeColor="text1"/>
      </w:rPr>
    </w:lvl>
    <w:lvl w:ilvl="4">
      <w:start w:val="1"/>
      <w:numFmt w:val="decimal"/>
      <w:lvlRestart w:val="1"/>
      <w:lvlText w:val="%5."/>
      <w:lvlJc w:val="left"/>
      <w:pPr>
        <w:ind w:left="567" w:hanging="283"/>
      </w:pPr>
      <w:rPr>
        <w:rFonts w:ascii="Arial" w:hAnsi="Arial" w:hint="default"/>
        <w:b/>
        <w:i w:val="0"/>
        <w:color w:val="1D1D1B" w:themeColor="text1"/>
      </w:rPr>
    </w:lvl>
    <w:lvl w:ilvl="5">
      <w:start w:val="1"/>
      <w:numFmt w:val="lowerLetter"/>
      <w:lvlText w:val="%6."/>
      <w:lvlJc w:val="left"/>
      <w:pPr>
        <w:ind w:left="851" w:hanging="284"/>
      </w:pPr>
      <w:rPr>
        <w:rFonts w:ascii="Arial" w:hAnsi="Arial" w:hint="default"/>
        <w:b/>
        <w:i w:val="0"/>
        <w:color w:val="1D1D1B" w:themeColor="text1"/>
      </w:rPr>
    </w:lvl>
    <w:lvl w:ilvl="6">
      <w:start w:val="1"/>
      <w:numFmt w:val="decimal"/>
      <w:lvlRestart w:val="1"/>
      <w:lvlText w:val="%7."/>
      <w:lvlJc w:val="left"/>
      <w:pPr>
        <w:ind w:left="567" w:hanging="283"/>
      </w:pPr>
      <w:rPr>
        <w:rFonts w:ascii="Arial" w:hAnsi="Arial" w:hint="default"/>
        <w:b/>
        <w:i w:val="0"/>
        <w:color w:val="1D1D1B"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AF5B98"/>
    <w:multiLevelType w:val="multilevel"/>
    <w:tmpl w:val="33DE43BE"/>
    <w:numStyleLink w:val="NumblistFigure"/>
  </w:abstractNum>
  <w:abstractNum w:abstractNumId="18" w15:restartNumberingAfterBreak="0">
    <w:nsid w:val="260B2529"/>
    <w:multiLevelType w:val="multilevel"/>
    <w:tmpl w:val="65722B18"/>
    <w:lvl w:ilvl="0">
      <w:start w:val="1"/>
      <w:numFmt w:val="decimal"/>
      <w:pStyle w:val="DfESOutNumbered"/>
      <w:lvlText w:val="%1."/>
      <w:lvlJc w:val="left"/>
      <w:pPr>
        <w:tabs>
          <w:tab w:val="num" w:pos="720"/>
        </w:tabs>
        <w:ind w:left="0" w:firstLine="0"/>
      </w:pPr>
      <w:rPr>
        <w:rFonts w:cs="Times New Roman"/>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lowerRoman"/>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lowerLetter"/>
      <w:lvlText w:val="%8."/>
      <w:lvlJc w:val="left"/>
      <w:pPr>
        <w:tabs>
          <w:tab w:val="num" w:pos="5760"/>
        </w:tabs>
        <w:ind w:left="5760" w:hanging="720"/>
      </w:pPr>
      <w:rPr>
        <w:rFonts w:cs="Times New Roman"/>
      </w:rPr>
    </w:lvl>
    <w:lvl w:ilvl="8">
      <w:start w:val="1"/>
      <w:numFmt w:val="lowerRoman"/>
      <w:lvlText w:val="%9."/>
      <w:lvlJc w:val="left"/>
      <w:pPr>
        <w:tabs>
          <w:tab w:val="num" w:pos="6480"/>
        </w:tabs>
        <w:ind w:left="6480" w:hanging="720"/>
      </w:pPr>
      <w:rPr>
        <w:rFonts w:cs="Times New Roman"/>
      </w:rPr>
    </w:lvl>
  </w:abstractNum>
  <w:abstractNum w:abstractNumId="19" w15:restartNumberingAfterBreak="0">
    <w:nsid w:val="29381147"/>
    <w:multiLevelType w:val="hybridMultilevel"/>
    <w:tmpl w:val="213EC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pStyle w:val="QuestionTextSub"/>
      <w:lvlText w:val=""/>
      <w:lvlJc w:val="left"/>
      <w:pPr>
        <w:ind w:left="2160" w:hanging="360"/>
      </w:pPr>
      <w:rPr>
        <w:rFonts w:ascii="Wingdings" w:hAnsi="Wingdings" w:hint="default"/>
      </w:rPr>
    </w:lvl>
    <w:lvl w:ilvl="3" w:tplc="08090001">
      <w:start w:val="1"/>
      <w:numFmt w:val="bullet"/>
      <w:pStyle w:val="QTableFO"/>
      <w:lvlText w:val=""/>
      <w:lvlJc w:val="left"/>
      <w:pPr>
        <w:ind w:left="2880" w:hanging="360"/>
      </w:pPr>
      <w:rPr>
        <w:rFonts w:ascii="Symbol" w:hAnsi="Symbol" w:hint="default"/>
      </w:rPr>
    </w:lvl>
    <w:lvl w:ilvl="4" w:tplc="08090003">
      <w:start w:val="1"/>
      <w:numFmt w:val="bullet"/>
      <w:pStyle w:val="QTblabc"/>
      <w:lvlText w:val="o"/>
      <w:lvlJc w:val="left"/>
      <w:pPr>
        <w:ind w:left="3600" w:hanging="360"/>
      </w:pPr>
      <w:rPr>
        <w:rFonts w:ascii="Courier New" w:hAnsi="Courier New" w:cs="Times New Roman" w:hint="default"/>
      </w:rPr>
    </w:lvl>
    <w:lvl w:ilvl="5" w:tplc="08090005">
      <w:start w:val="1"/>
      <w:numFmt w:val="bullet"/>
      <w:pStyle w:val="Qtable1to10Horiz"/>
      <w:lvlText w:val=""/>
      <w:lvlJc w:val="left"/>
      <w:pPr>
        <w:ind w:left="4320" w:hanging="360"/>
      </w:pPr>
      <w:rPr>
        <w:rFonts w:ascii="Wingdings" w:hAnsi="Wingdings" w:hint="default"/>
      </w:rPr>
    </w:lvl>
    <w:lvl w:ilvl="6" w:tplc="08090001">
      <w:start w:val="1"/>
      <w:numFmt w:val="bullet"/>
      <w:pStyle w:val="QuestionDer"/>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A9F5CF6"/>
    <w:multiLevelType w:val="hybridMultilevel"/>
    <w:tmpl w:val="3B54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CC6E7A"/>
    <w:multiLevelType w:val="multilevel"/>
    <w:tmpl w:val="1D049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9B6975"/>
    <w:multiLevelType w:val="multilevel"/>
    <w:tmpl w:val="BD3C4EB0"/>
    <w:lvl w:ilvl="0">
      <w:start w:val="2"/>
      <w:numFmt w:val="decimal"/>
      <w:pStyle w:val="Numblist1"/>
      <w:lvlText w:val="%1)"/>
      <w:lvlJc w:val="left"/>
      <w:pPr>
        <w:tabs>
          <w:tab w:val="num" w:pos="1077"/>
        </w:tabs>
        <w:ind w:left="737" w:hanging="567"/>
      </w:pPr>
      <w:rPr>
        <w:b/>
        <w:bCs/>
      </w:rPr>
    </w:lvl>
    <w:lvl w:ilvl="1">
      <w:start w:val="1"/>
      <w:numFmt w:val="lowerLetter"/>
      <w:pStyle w:val="Numblist2"/>
      <w:lvlText w:val="%2)"/>
      <w:lvlJc w:val="left"/>
      <w:pPr>
        <w:tabs>
          <w:tab w:val="num" w:pos="1134"/>
        </w:tabs>
        <w:ind w:left="1134" w:hanging="283"/>
      </w:pPr>
      <w:rPr>
        <w:b w:val="0"/>
        <w:bCs w:val="0"/>
      </w:rPr>
    </w:lvl>
    <w:lvl w:ilvl="2">
      <w:start w:val="1"/>
      <w:numFmt w:val="lowerRoman"/>
      <w:pStyle w:val="Numblist3"/>
      <w:lvlText w:val="%3)"/>
      <w:lvlJc w:val="left"/>
      <w:pPr>
        <w:tabs>
          <w:tab w:val="num" w:pos="1531"/>
        </w:tabs>
        <w:ind w:left="1531" w:hanging="284"/>
      </w:pPr>
    </w:lvl>
    <w:lvl w:ilvl="3">
      <w:start w:val="1"/>
      <w:numFmt w:val="none"/>
      <w:lvlText w:val=""/>
      <w:lvlJc w:val="left"/>
      <w:pPr>
        <w:tabs>
          <w:tab w:val="num" w:pos="1531"/>
        </w:tabs>
        <w:ind w:left="1531" w:firstLine="0"/>
      </w:pPr>
    </w:lvl>
    <w:lvl w:ilvl="4">
      <w:start w:val="1"/>
      <w:numFmt w:val="none"/>
      <w:lvlText w:val=""/>
      <w:lvlJc w:val="left"/>
      <w:pPr>
        <w:tabs>
          <w:tab w:val="num" w:pos="1531"/>
        </w:tabs>
        <w:ind w:left="1531" w:firstLine="0"/>
      </w:pPr>
    </w:lvl>
    <w:lvl w:ilvl="5">
      <w:start w:val="1"/>
      <w:numFmt w:val="none"/>
      <w:lvlText w:val=""/>
      <w:lvlJc w:val="left"/>
      <w:pPr>
        <w:tabs>
          <w:tab w:val="num" w:pos="1531"/>
        </w:tabs>
        <w:ind w:left="1531" w:firstLine="0"/>
      </w:pPr>
    </w:lvl>
    <w:lvl w:ilvl="6">
      <w:start w:val="1"/>
      <w:numFmt w:val="none"/>
      <w:lvlText w:val=""/>
      <w:lvlJc w:val="left"/>
      <w:pPr>
        <w:tabs>
          <w:tab w:val="num" w:pos="1531"/>
        </w:tabs>
        <w:ind w:left="1531" w:firstLine="0"/>
      </w:pPr>
    </w:lvl>
    <w:lvl w:ilvl="7">
      <w:start w:val="1"/>
      <w:numFmt w:val="none"/>
      <w:lvlText w:val=""/>
      <w:lvlJc w:val="left"/>
      <w:pPr>
        <w:tabs>
          <w:tab w:val="num" w:pos="1531"/>
        </w:tabs>
        <w:ind w:left="1531" w:firstLine="0"/>
      </w:pPr>
    </w:lvl>
    <w:lvl w:ilvl="8">
      <w:start w:val="1"/>
      <w:numFmt w:val="none"/>
      <w:lvlText w:val=""/>
      <w:lvlJc w:val="left"/>
      <w:pPr>
        <w:tabs>
          <w:tab w:val="num" w:pos="1531"/>
        </w:tabs>
        <w:ind w:left="1531" w:firstLine="0"/>
      </w:pPr>
    </w:lvl>
  </w:abstractNum>
  <w:abstractNum w:abstractNumId="23" w15:restartNumberingAfterBreak="0">
    <w:nsid w:val="30310452"/>
    <w:multiLevelType w:val="hybridMultilevel"/>
    <w:tmpl w:val="A0C4F6EC"/>
    <w:lvl w:ilvl="0" w:tplc="03705256">
      <w:start w:val="1"/>
      <w:numFmt w:val="decimal"/>
      <w:pStyle w:val="quest1"/>
      <w:lvlText w:val="%1."/>
      <w:lvlJc w:val="left"/>
      <w:pPr>
        <w:ind w:left="360" w:hanging="360"/>
      </w:pPr>
      <w:rPr>
        <w:rFonts w:cs="Times New Roman"/>
        <w:b/>
        <w:i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4" w15:restartNumberingAfterBreak="0">
    <w:nsid w:val="31FA12B3"/>
    <w:multiLevelType w:val="hybridMultilevel"/>
    <w:tmpl w:val="A3543F66"/>
    <w:lvl w:ilvl="0" w:tplc="D92C26DA">
      <w:start w:val="1"/>
      <w:numFmt w:val="bullet"/>
      <w:pStyle w:val="Level1bullet"/>
      <w:lvlText w:val=""/>
      <w:lvlJc w:val="left"/>
      <w:pPr>
        <w:tabs>
          <w:tab w:val="num" w:pos="899"/>
        </w:tabs>
        <w:ind w:left="709" w:hanging="170"/>
      </w:pPr>
      <w:rPr>
        <w:rFonts w:ascii="Symbol" w:hAnsi="Symbol" w:hint="default"/>
        <w:color w:val="357C2A"/>
        <w:position w:val="0"/>
      </w:rPr>
    </w:lvl>
    <w:lvl w:ilvl="1" w:tplc="ED8A7FB2">
      <w:start w:val="1"/>
      <w:numFmt w:val="bullet"/>
      <w:lvlText w:val="o"/>
      <w:lvlJc w:val="left"/>
      <w:pPr>
        <w:tabs>
          <w:tab w:val="num" w:pos="1440"/>
        </w:tabs>
        <w:ind w:left="1440" w:hanging="360"/>
      </w:pPr>
      <w:rPr>
        <w:rFonts w:ascii="Courier New" w:hAnsi="Courier New" w:cs="Times New Roman" w:hint="default"/>
      </w:rPr>
    </w:lvl>
    <w:lvl w:ilvl="2" w:tplc="4C9A0C4C">
      <w:start w:val="1"/>
      <w:numFmt w:val="bullet"/>
      <w:lvlText w:val=""/>
      <w:lvlJc w:val="left"/>
      <w:pPr>
        <w:tabs>
          <w:tab w:val="num" w:pos="2160"/>
        </w:tabs>
        <w:ind w:left="2160" w:hanging="360"/>
      </w:pPr>
      <w:rPr>
        <w:rFonts w:ascii="Wingdings" w:hAnsi="Wingdings" w:hint="default"/>
      </w:rPr>
    </w:lvl>
    <w:lvl w:ilvl="3" w:tplc="01708238">
      <w:start w:val="1"/>
      <w:numFmt w:val="bullet"/>
      <w:lvlText w:val=""/>
      <w:lvlJc w:val="left"/>
      <w:pPr>
        <w:tabs>
          <w:tab w:val="num" w:pos="2880"/>
        </w:tabs>
        <w:ind w:left="2880" w:hanging="360"/>
      </w:pPr>
      <w:rPr>
        <w:rFonts w:ascii="Symbol" w:hAnsi="Symbol" w:hint="default"/>
      </w:rPr>
    </w:lvl>
    <w:lvl w:ilvl="4" w:tplc="103C281A">
      <w:start w:val="1"/>
      <w:numFmt w:val="bullet"/>
      <w:lvlText w:val="o"/>
      <w:lvlJc w:val="left"/>
      <w:pPr>
        <w:tabs>
          <w:tab w:val="num" w:pos="3600"/>
        </w:tabs>
        <w:ind w:left="3600" w:hanging="360"/>
      </w:pPr>
      <w:rPr>
        <w:rFonts w:ascii="Courier New" w:hAnsi="Courier New" w:cs="Times New Roman" w:hint="default"/>
      </w:rPr>
    </w:lvl>
    <w:lvl w:ilvl="5" w:tplc="BAA49B6E">
      <w:start w:val="1"/>
      <w:numFmt w:val="bullet"/>
      <w:lvlText w:val=""/>
      <w:lvlJc w:val="left"/>
      <w:pPr>
        <w:tabs>
          <w:tab w:val="num" w:pos="4320"/>
        </w:tabs>
        <w:ind w:left="4320" w:hanging="360"/>
      </w:pPr>
      <w:rPr>
        <w:rFonts w:ascii="Wingdings" w:hAnsi="Wingdings" w:hint="default"/>
      </w:rPr>
    </w:lvl>
    <w:lvl w:ilvl="6" w:tplc="3B7C813E">
      <w:start w:val="1"/>
      <w:numFmt w:val="bullet"/>
      <w:lvlText w:val=""/>
      <w:lvlJc w:val="left"/>
      <w:pPr>
        <w:tabs>
          <w:tab w:val="num" w:pos="5040"/>
        </w:tabs>
        <w:ind w:left="5040" w:hanging="360"/>
      </w:pPr>
      <w:rPr>
        <w:rFonts w:ascii="Symbol" w:hAnsi="Symbol" w:hint="default"/>
      </w:rPr>
    </w:lvl>
    <w:lvl w:ilvl="7" w:tplc="C8AE4952">
      <w:start w:val="1"/>
      <w:numFmt w:val="bullet"/>
      <w:lvlText w:val="o"/>
      <w:lvlJc w:val="left"/>
      <w:pPr>
        <w:tabs>
          <w:tab w:val="num" w:pos="5760"/>
        </w:tabs>
        <w:ind w:left="5760" w:hanging="360"/>
      </w:pPr>
      <w:rPr>
        <w:rFonts w:ascii="Courier New" w:hAnsi="Courier New" w:cs="Times New Roman" w:hint="default"/>
      </w:rPr>
    </w:lvl>
    <w:lvl w:ilvl="8" w:tplc="26F8686A">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FD6268"/>
    <w:multiLevelType w:val="multilevel"/>
    <w:tmpl w:val="47D0596A"/>
    <w:lvl w:ilvl="0">
      <w:start w:val="1"/>
      <w:numFmt w:val="decimal"/>
      <w:pStyle w:val="ListNumber"/>
      <w:lvlText w:val="%1."/>
      <w:lvlJc w:val="left"/>
      <w:pPr>
        <w:ind w:left="227" w:hanging="227"/>
      </w:pPr>
      <w:rPr>
        <w:rFonts w:asciiTheme="minorHAnsi" w:eastAsiaTheme="minorHAnsi" w:hAnsiTheme="minorHAnsi" w:cstheme="minorBidi"/>
        <w:b w:val="0"/>
        <w:i w:val="0"/>
        <w:caps w:val="0"/>
        <w:strike w:val="0"/>
        <w:dstrike w:val="0"/>
        <w:vanish w:val="0"/>
        <w:color w:val="1D1D1B" w:themeColor="text1"/>
        <w:sz w:val="24"/>
        <w:u w:val="none"/>
        <w:vertAlign w:val="baseline"/>
      </w:rPr>
    </w:lvl>
    <w:lvl w:ilvl="1">
      <w:start w:val="1"/>
      <w:numFmt w:val="lowerLetter"/>
      <w:lvlText w:val="%2"/>
      <w:lvlJc w:val="left"/>
      <w:pPr>
        <w:tabs>
          <w:tab w:val="num" w:pos="227"/>
        </w:tabs>
        <w:ind w:left="454" w:hanging="227"/>
      </w:pPr>
      <w:rPr>
        <w:rFonts w:ascii="Arial" w:hAnsi="Arial" w:hint="default"/>
        <w:b w:val="0"/>
        <w:i w:val="0"/>
        <w:color w:val="1D1D1B" w:themeColor="text1"/>
        <w:sz w:val="24"/>
      </w:rPr>
    </w:lvl>
    <w:lvl w:ilvl="2">
      <w:start w:val="1"/>
      <w:numFmt w:val="lowerRoman"/>
      <w:lvlText w:val="%3"/>
      <w:lvlJc w:val="left"/>
      <w:pPr>
        <w:ind w:left="680" w:hanging="226"/>
      </w:pPr>
      <w:rPr>
        <w:rFonts w:ascii="Arial" w:hAnsi="Arial" w:hint="default"/>
        <w:b w:val="0"/>
        <w:i w:val="0"/>
        <w:color w:val="1D1D1B" w:themeColor="text1"/>
        <w:sz w:val="24"/>
      </w:rPr>
    </w:lvl>
    <w:lvl w:ilvl="3">
      <w:start w:val="1"/>
      <w:numFmt w:val="bullet"/>
      <w:lvlText w:val=""/>
      <w:lvlJc w:val="left"/>
      <w:pPr>
        <w:tabs>
          <w:tab w:val="num" w:pos="794"/>
        </w:tabs>
        <w:ind w:left="907" w:hanging="227"/>
      </w:pPr>
      <w:rPr>
        <w:rFonts w:ascii="Symbol" w:hAnsi="Symbol" w:hint="default"/>
      </w:rPr>
    </w:lvl>
    <w:lvl w:ilvl="4">
      <w:start w:val="1"/>
      <w:numFmt w:val="bullet"/>
      <w:lvlText w:val=""/>
      <w:lvlJc w:val="left"/>
      <w:pPr>
        <w:ind w:left="1134" w:hanging="227"/>
      </w:pPr>
      <w:rPr>
        <w:rFonts w:ascii="Symbol" w:hAnsi="Symbol" w:hint="default"/>
      </w:rPr>
    </w:lvl>
    <w:lvl w:ilvl="5">
      <w:start w:val="1"/>
      <w:numFmt w:val="bullet"/>
      <w:lvlText w:val=""/>
      <w:lvlJc w:val="left"/>
      <w:pPr>
        <w:tabs>
          <w:tab w:val="num" w:pos="1134"/>
        </w:tabs>
        <w:ind w:left="1361" w:hanging="227"/>
      </w:pPr>
      <w:rPr>
        <w:rFonts w:ascii="Wingdings" w:hAnsi="Wingdings" w:hint="default"/>
      </w:rPr>
    </w:lvl>
    <w:lvl w:ilvl="6">
      <w:start w:val="1"/>
      <w:numFmt w:val="bullet"/>
      <w:lvlText w:val=""/>
      <w:lvlJc w:val="left"/>
      <w:pPr>
        <w:tabs>
          <w:tab w:val="num" w:pos="1361"/>
        </w:tabs>
        <w:ind w:left="1588" w:hanging="227"/>
      </w:pPr>
      <w:rPr>
        <w:rFonts w:ascii="Wingdings" w:hAnsi="Wingdings" w:hint="default"/>
      </w:rPr>
    </w:lvl>
    <w:lvl w:ilvl="7">
      <w:start w:val="1"/>
      <w:numFmt w:val="bullet"/>
      <w:lvlText w:val=""/>
      <w:lvlJc w:val="left"/>
      <w:pPr>
        <w:ind w:left="1814" w:hanging="226"/>
      </w:pPr>
      <w:rPr>
        <w:rFonts w:ascii="Symbol" w:hAnsi="Symbol" w:hint="default"/>
      </w:rPr>
    </w:lvl>
    <w:lvl w:ilvl="8">
      <w:start w:val="1"/>
      <w:numFmt w:val="bullet"/>
      <w:lvlText w:val=""/>
      <w:lvlJc w:val="left"/>
      <w:pPr>
        <w:ind w:left="2041" w:hanging="227"/>
      </w:pPr>
      <w:rPr>
        <w:rFonts w:ascii="Symbol" w:hAnsi="Symbol" w:hint="default"/>
      </w:rPr>
    </w:lvl>
  </w:abstractNum>
  <w:abstractNum w:abstractNumId="26" w15:restartNumberingAfterBreak="0">
    <w:nsid w:val="366B60E1"/>
    <w:multiLevelType w:val="hybridMultilevel"/>
    <w:tmpl w:val="59EE7510"/>
    <w:lvl w:ilvl="0" w:tplc="A04AE8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965F05"/>
    <w:multiLevelType w:val="multilevel"/>
    <w:tmpl w:val="3C90E856"/>
    <w:styleLink w:val="NumblistBox"/>
    <w:lvl w:ilvl="0">
      <w:start w:val="1"/>
      <w:numFmt w:val="decimal"/>
      <w:pStyle w:val="BoxTitle"/>
      <w:lvlText w:val="Box %1"/>
      <w:lvlJc w:val="left"/>
      <w:pPr>
        <w:tabs>
          <w:tab w:val="num" w:pos="1134"/>
        </w:tabs>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BA01D87"/>
    <w:multiLevelType w:val="hybridMultilevel"/>
    <w:tmpl w:val="CEE8312E"/>
    <w:lvl w:ilvl="0" w:tplc="08EC96C6">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D04A6B"/>
    <w:multiLevelType w:val="hybridMultilevel"/>
    <w:tmpl w:val="838295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036192E"/>
    <w:multiLevelType w:val="multilevel"/>
    <w:tmpl w:val="74D0ABE0"/>
    <w:styleLink w:val="NumblistBox0"/>
    <w:lvl w:ilvl="0">
      <w:start w:val="1"/>
      <w:numFmt w:val="decimal"/>
      <w:lvlText w:val="Box %1"/>
      <w:lvlJc w:val="left"/>
      <w:pPr>
        <w:tabs>
          <w:tab w:val="num" w:pos="1134"/>
        </w:tabs>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445A6040"/>
    <w:multiLevelType w:val="multilevel"/>
    <w:tmpl w:val="8B501C66"/>
    <w:lvl w:ilvl="0">
      <w:start w:val="1"/>
      <w:numFmt w:val="bullet"/>
      <w:pStyle w:val="ListBullet"/>
      <w:lvlText w:val="̶"/>
      <w:lvlJc w:val="left"/>
      <w:pPr>
        <w:ind w:left="227" w:hanging="227"/>
      </w:pPr>
      <w:rPr>
        <w:rFonts w:ascii="Arial" w:hAnsi="Arial" w:hint="default"/>
        <w:b/>
        <w:i w:val="0"/>
        <w:caps w:val="0"/>
        <w:strike w:val="0"/>
        <w:dstrike w:val="0"/>
        <w:vanish w:val="0"/>
        <w:color w:val="auto"/>
        <w:sz w:val="20"/>
        <w:u w:val="none"/>
        <w:vertAlign w:val="baseline"/>
      </w:rPr>
    </w:lvl>
    <w:lvl w:ilvl="1">
      <w:start w:val="1"/>
      <w:numFmt w:val="bullet"/>
      <w:lvlText w:val="̶"/>
      <w:lvlJc w:val="left"/>
      <w:pPr>
        <w:ind w:left="454" w:hanging="227"/>
      </w:pPr>
      <w:rPr>
        <w:rFonts w:ascii="Arial" w:hAnsi="Arial" w:hint="default"/>
        <w:b/>
        <w:i w:val="0"/>
        <w:color w:val="auto"/>
        <w:sz w:val="20"/>
      </w:rPr>
    </w:lvl>
    <w:lvl w:ilvl="2">
      <w:start w:val="1"/>
      <w:numFmt w:val="bullet"/>
      <w:lvlText w:val="̶"/>
      <w:lvlJc w:val="left"/>
      <w:pPr>
        <w:ind w:left="680" w:hanging="226"/>
      </w:pPr>
      <w:rPr>
        <w:rFonts w:ascii="Arial" w:hAnsi="Arial" w:hint="default"/>
        <w:b/>
        <w:i w:val="0"/>
        <w:sz w:val="20"/>
      </w:rPr>
    </w:lvl>
    <w:lvl w:ilvl="3">
      <w:start w:val="1"/>
      <w:numFmt w:val="bullet"/>
      <w:lvlText w:val=""/>
      <w:lvlJc w:val="left"/>
      <w:pPr>
        <w:ind w:left="1327" w:hanging="360"/>
      </w:pPr>
      <w:rPr>
        <w:rFonts w:ascii="Symbol" w:hAnsi="Symbol" w:hint="default"/>
      </w:rPr>
    </w:lvl>
    <w:lvl w:ilvl="4">
      <w:start w:val="1"/>
      <w:numFmt w:val="bullet"/>
      <w:lvlText w:val=""/>
      <w:lvlJc w:val="left"/>
      <w:pPr>
        <w:ind w:left="1687" w:hanging="360"/>
      </w:pPr>
      <w:rPr>
        <w:rFonts w:ascii="Symbol" w:hAnsi="Symbol" w:hint="default"/>
      </w:rPr>
    </w:lvl>
    <w:lvl w:ilvl="5">
      <w:start w:val="1"/>
      <w:numFmt w:val="bullet"/>
      <w:lvlText w:val=""/>
      <w:lvlJc w:val="left"/>
      <w:pPr>
        <w:ind w:left="2047" w:hanging="360"/>
      </w:pPr>
      <w:rPr>
        <w:rFonts w:ascii="Wingdings" w:hAnsi="Wingdings" w:hint="default"/>
      </w:rPr>
    </w:lvl>
    <w:lvl w:ilvl="6">
      <w:start w:val="1"/>
      <w:numFmt w:val="bullet"/>
      <w:lvlText w:val=""/>
      <w:lvlJc w:val="left"/>
      <w:pPr>
        <w:ind w:left="2407" w:hanging="360"/>
      </w:pPr>
      <w:rPr>
        <w:rFonts w:ascii="Wingdings" w:hAnsi="Wingdings" w:hint="default"/>
      </w:rPr>
    </w:lvl>
    <w:lvl w:ilvl="7">
      <w:start w:val="1"/>
      <w:numFmt w:val="bullet"/>
      <w:lvlText w:val=""/>
      <w:lvlJc w:val="left"/>
      <w:pPr>
        <w:ind w:left="2767" w:hanging="360"/>
      </w:pPr>
      <w:rPr>
        <w:rFonts w:ascii="Symbol" w:hAnsi="Symbol" w:hint="default"/>
      </w:rPr>
    </w:lvl>
    <w:lvl w:ilvl="8">
      <w:start w:val="1"/>
      <w:numFmt w:val="bullet"/>
      <w:lvlText w:val=""/>
      <w:lvlJc w:val="left"/>
      <w:pPr>
        <w:ind w:left="3127" w:hanging="360"/>
      </w:pPr>
      <w:rPr>
        <w:rFonts w:ascii="Symbol" w:hAnsi="Symbol" w:hint="default"/>
      </w:rPr>
    </w:lvl>
  </w:abstractNum>
  <w:abstractNum w:abstractNumId="32" w15:restartNumberingAfterBreak="0">
    <w:nsid w:val="47747052"/>
    <w:multiLevelType w:val="hybridMultilevel"/>
    <w:tmpl w:val="77940EEA"/>
    <w:lvl w:ilvl="0" w:tplc="A04AE8F4">
      <w:numFmt w:val="bullet"/>
      <w:lvlText w:val="-"/>
      <w:lvlJc w:val="left"/>
      <w:pPr>
        <w:ind w:left="1004" w:hanging="360"/>
      </w:pPr>
      <w:rPr>
        <w:rFonts w:ascii="Arial" w:eastAsiaTheme="minorHAnsi" w:hAnsi="Arial" w:cs="Aria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33" w15:restartNumberingAfterBreak="0">
    <w:nsid w:val="53FD4A72"/>
    <w:multiLevelType w:val="multilevel"/>
    <w:tmpl w:val="192C1204"/>
    <w:numStyleLink w:val="NumbListTable"/>
  </w:abstractNum>
  <w:abstractNum w:abstractNumId="34" w15:restartNumberingAfterBreak="0">
    <w:nsid w:val="543712FD"/>
    <w:multiLevelType w:val="multilevel"/>
    <w:tmpl w:val="71F651DC"/>
    <w:lvl w:ilvl="0">
      <w:start w:val="1"/>
      <w:numFmt w:val="decimal"/>
      <w:pStyle w:val="ParaNumber"/>
      <w:isLgl/>
      <w:lvlText w:val="%1."/>
      <w:lvlJc w:val="left"/>
      <w:pPr>
        <w:tabs>
          <w:tab w:val="num" w:pos="720"/>
        </w:tabs>
        <w:ind w:left="720" w:hanging="720"/>
      </w:pPr>
      <w:rPr>
        <w:rFonts w:cs="Times New Roman"/>
      </w:rPr>
    </w:lvl>
    <w:lvl w:ilvl="1">
      <w:start w:val="1"/>
      <w:numFmt w:val="decimal"/>
      <w:isLgl/>
      <w:lvlText w:val="%1.%2"/>
      <w:lvlJc w:val="left"/>
      <w:pPr>
        <w:tabs>
          <w:tab w:val="num" w:pos="720"/>
        </w:tabs>
        <w:ind w:left="720" w:hanging="720"/>
      </w:pPr>
      <w:rPr>
        <w:rFonts w:ascii="Times New Roman" w:hAnsi="Times New Roman" w:cs="Times New Roman" w:hint="default"/>
        <w:b w:val="0"/>
        <w:i w:val="0"/>
        <w:sz w:val="23"/>
      </w:rPr>
    </w:lvl>
    <w:lvl w:ilvl="2">
      <w:start w:val="1"/>
      <w:numFmt w:val="decimal"/>
      <w:lvlText w:val="%1.%2.%3"/>
      <w:lvlJc w:val="left"/>
      <w:pPr>
        <w:tabs>
          <w:tab w:val="num" w:pos="1728"/>
        </w:tabs>
        <w:ind w:left="1728" w:hanging="1728"/>
      </w:pPr>
      <w:rPr>
        <w:rFonts w:ascii="Times New Roman" w:hAnsi="Times New Roman" w:cs="Times New Roman" w:hint="default"/>
        <w:b w:val="0"/>
        <w:i w:val="0"/>
        <w:sz w:val="23"/>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5" w15:restartNumberingAfterBreak="0">
    <w:nsid w:val="58B969BB"/>
    <w:multiLevelType w:val="hybridMultilevel"/>
    <w:tmpl w:val="E87684FE"/>
    <w:lvl w:ilvl="0" w:tplc="08090001">
      <w:start w:val="1"/>
      <w:numFmt w:val="bullet"/>
      <w:lvlText w:val=""/>
      <w:lvlJc w:val="left"/>
      <w:pPr>
        <w:ind w:left="720" w:hanging="360"/>
      </w:pPr>
      <w:rPr>
        <w:rFonts w:ascii="Symbol" w:hAnsi="Symbol" w:hint="default"/>
      </w:rPr>
    </w:lvl>
    <w:lvl w:ilvl="1" w:tplc="08090003">
      <w:start w:val="1"/>
      <w:numFmt w:val="bullet"/>
      <w:pStyle w:val="QuestionTex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E79197C"/>
    <w:multiLevelType w:val="hybridMultilevel"/>
    <w:tmpl w:val="839676B0"/>
    <w:lvl w:ilvl="0" w:tplc="F500B030">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7" w15:restartNumberingAfterBreak="0">
    <w:nsid w:val="6056133D"/>
    <w:multiLevelType w:val="multilevel"/>
    <w:tmpl w:val="C83A13BA"/>
    <w:styleLink w:val="NumbListMinorBullet"/>
    <w:lvl w:ilvl="0">
      <w:start w:val="1"/>
      <w:numFmt w:val="bullet"/>
      <w:pStyle w:val="MinorBullet1"/>
      <w:lvlText w:val=""/>
      <w:lvlJc w:val="left"/>
      <w:pPr>
        <w:tabs>
          <w:tab w:val="num" w:pos="794"/>
        </w:tabs>
        <w:ind w:left="794" w:hanging="363"/>
      </w:pPr>
      <w:rPr>
        <w:rFonts w:ascii="Wingdings 2" w:hAnsi="Wingdings 2" w:hint="default"/>
        <w:color w:val="06357A"/>
        <w:sz w:val="12"/>
      </w:rPr>
    </w:lvl>
    <w:lvl w:ilvl="1">
      <w:start w:val="1"/>
      <w:numFmt w:val="bullet"/>
      <w:pStyle w:val="MinorBullet2"/>
      <w:lvlText w:val=""/>
      <w:lvlJc w:val="left"/>
      <w:pPr>
        <w:tabs>
          <w:tab w:val="num" w:pos="1157"/>
        </w:tabs>
        <w:ind w:left="1157" w:hanging="363"/>
      </w:pPr>
      <w:rPr>
        <w:rFonts w:ascii="Wingdings 2" w:hAnsi="Wingdings 2" w:hint="default"/>
        <w:color w:val="06357A"/>
        <w:sz w:val="12"/>
      </w:rPr>
    </w:lvl>
    <w:lvl w:ilvl="2">
      <w:start w:val="1"/>
      <w:numFmt w:val="bullet"/>
      <w:pStyle w:val="MinorBullet3"/>
      <w:lvlText w:val="̶"/>
      <w:lvlJc w:val="left"/>
      <w:pPr>
        <w:tabs>
          <w:tab w:val="num" w:pos="1520"/>
        </w:tabs>
        <w:ind w:left="1520" w:hanging="363"/>
      </w:pPr>
      <w:rPr>
        <w:rFonts w:ascii="Calibri" w:hAnsi="Calibri" w:cs="Times New Roman" w:hint="default"/>
        <w:color w:val="06357A"/>
        <w:sz w:val="12"/>
      </w:rPr>
    </w:lvl>
    <w:lvl w:ilvl="3">
      <w:start w:val="1"/>
      <w:numFmt w:val="none"/>
      <w:lvlText w:val=""/>
      <w:lvlJc w:val="left"/>
      <w:pPr>
        <w:tabs>
          <w:tab w:val="num" w:pos="1520"/>
        </w:tabs>
        <w:ind w:left="1520" w:firstLine="0"/>
      </w:pPr>
    </w:lvl>
    <w:lvl w:ilvl="4">
      <w:start w:val="1"/>
      <w:numFmt w:val="none"/>
      <w:lvlText w:val=""/>
      <w:lvlJc w:val="left"/>
      <w:pPr>
        <w:tabs>
          <w:tab w:val="num" w:pos="1520"/>
        </w:tabs>
        <w:ind w:left="1520" w:firstLine="0"/>
      </w:pPr>
    </w:lvl>
    <w:lvl w:ilvl="5">
      <w:start w:val="1"/>
      <w:numFmt w:val="none"/>
      <w:lvlText w:val=""/>
      <w:lvlJc w:val="left"/>
      <w:pPr>
        <w:tabs>
          <w:tab w:val="num" w:pos="1520"/>
        </w:tabs>
        <w:ind w:left="1520" w:firstLine="0"/>
      </w:pPr>
    </w:lvl>
    <w:lvl w:ilvl="6">
      <w:start w:val="1"/>
      <w:numFmt w:val="none"/>
      <w:lvlText w:val=""/>
      <w:lvlJc w:val="left"/>
      <w:pPr>
        <w:tabs>
          <w:tab w:val="num" w:pos="1520"/>
        </w:tabs>
        <w:ind w:left="1520" w:firstLine="0"/>
      </w:pPr>
    </w:lvl>
    <w:lvl w:ilvl="7">
      <w:start w:val="1"/>
      <w:numFmt w:val="none"/>
      <w:lvlText w:val=""/>
      <w:lvlJc w:val="left"/>
      <w:pPr>
        <w:tabs>
          <w:tab w:val="num" w:pos="1520"/>
        </w:tabs>
        <w:ind w:left="1520" w:firstLine="0"/>
      </w:pPr>
    </w:lvl>
    <w:lvl w:ilvl="8">
      <w:start w:val="1"/>
      <w:numFmt w:val="none"/>
      <w:lvlText w:val=""/>
      <w:lvlJc w:val="left"/>
      <w:pPr>
        <w:tabs>
          <w:tab w:val="num" w:pos="1520"/>
        </w:tabs>
        <w:ind w:left="1520" w:firstLine="0"/>
      </w:pPr>
    </w:lvl>
  </w:abstractNum>
  <w:abstractNum w:abstractNumId="38" w15:restartNumberingAfterBreak="0">
    <w:nsid w:val="61D334F2"/>
    <w:multiLevelType w:val="multilevel"/>
    <w:tmpl w:val="32E27678"/>
    <w:styleLink w:val="NumbListBullets"/>
    <w:lvl w:ilvl="0">
      <w:start w:val="1"/>
      <w:numFmt w:val="bullet"/>
      <w:lvlText w:val=""/>
      <w:lvlJc w:val="left"/>
      <w:pPr>
        <w:tabs>
          <w:tab w:val="num" w:pos="737"/>
        </w:tabs>
        <w:ind w:left="737" w:hanging="567"/>
      </w:pPr>
      <w:rPr>
        <w:rFonts w:ascii="Wingdings 2" w:hAnsi="Wingdings 2" w:hint="default"/>
        <w:color w:val="244890"/>
        <w:sz w:val="16"/>
      </w:rPr>
    </w:lvl>
    <w:lvl w:ilvl="1">
      <w:start w:val="1"/>
      <w:numFmt w:val="bullet"/>
      <w:lvlText w:val=""/>
      <w:lvlJc w:val="left"/>
      <w:pPr>
        <w:tabs>
          <w:tab w:val="num" w:pos="851"/>
        </w:tabs>
        <w:ind w:left="1134" w:hanging="283"/>
      </w:pPr>
      <w:rPr>
        <w:rFonts w:ascii="Wingdings 2" w:hAnsi="Wingdings 2" w:hint="default"/>
        <w:color w:val="002395"/>
        <w:sz w:val="16"/>
      </w:rPr>
    </w:lvl>
    <w:lvl w:ilvl="2">
      <w:start w:val="1"/>
      <w:numFmt w:val="bullet"/>
      <w:lvlText w:val="̶"/>
      <w:lvlJc w:val="left"/>
      <w:pPr>
        <w:tabs>
          <w:tab w:val="num" w:pos="1531"/>
        </w:tabs>
        <w:ind w:left="1531" w:hanging="284"/>
      </w:pPr>
      <w:rPr>
        <w:rFonts w:ascii="Calibri" w:hAnsi="Calibri" w:hint="default"/>
        <w:color w:val="auto"/>
        <w:sz w:val="16"/>
        <w:u w:color="244890"/>
      </w:rPr>
    </w:lvl>
    <w:lvl w:ilvl="3">
      <w:start w:val="1"/>
      <w:numFmt w:val="none"/>
      <w:lvlText w:val=""/>
      <w:lvlJc w:val="left"/>
      <w:pPr>
        <w:tabs>
          <w:tab w:val="num" w:pos="1531"/>
        </w:tabs>
        <w:ind w:left="1531" w:firstLine="0"/>
      </w:pPr>
      <w:rPr>
        <w:rFonts w:hint="default"/>
      </w:rPr>
    </w:lvl>
    <w:lvl w:ilvl="4">
      <w:start w:val="1"/>
      <w:numFmt w:val="none"/>
      <w:lvlText w:val=""/>
      <w:lvlJc w:val="left"/>
      <w:pPr>
        <w:tabs>
          <w:tab w:val="num" w:pos="1531"/>
        </w:tabs>
        <w:ind w:left="1531" w:firstLine="0"/>
      </w:pPr>
      <w:rPr>
        <w:rFonts w:hint="default"/>
      </w:rPr>
    </w:lvl>
    <w:lvl w:ilvl="5">
      <w:start w:val="1"/>
      <w:numFmt w:val="none"/>
      <w:lvlText w:val=""/>
      <w:lvlJc w:val="left"/>
      <w:pPr>
        <w:tabs>
          <w:tab w:val="num" w:pos="1531"/>
        </w:tabs>
        <w:ind w:left="1531" w:firstLine="0"/>
      </w:pPr>
      <w:rPr>
        <w:rFonts w:hint="default"/>
      </w:rPr>
    </w:lvl>
    <w:lvl w:ilvl="6">
      <w:start w:val="1"/>
      <w:numFmt w:val="none"/>
      <w:lvlText w:val=""/>
      <w:lvlJc w:val="left"/>
      <w:pPr>
        <w:tabs>
          <w:tab w:val="num" w:pos="1531"/>
        </w:tabs>
        <w:ind w:left="1531" w:firstLine="0"/>
      </w:pPr>
      <w:rPr>
        <w:rFonts w:hint="default"/>
      </w:rPr>
    </w:lvl>
    <w:lvl w:ilvl="7">
      <w:start w:val="1"/>
      <w:numFmt w:val="none"/>
      <w:lvlText w:val=""/>
      <w:lvlJc w:val="left"/>
      <w:pPr>
        <w:tabs>
          <w:tab w:val="num" w:pos="1531"/>
        </w:tabs>
        <w:ind w:left="1531" w:firstLine="0"/>
      </w:pPr>
      <w:rPr>
        <w:rFonts w:hint="default"/>
      </w:rPr>
    </w:lvl>
    <w:lvl w:ilvl="8">
      <w:start w:val="1"/>
      <w:numFmt w:val="none"/>
      <w:lvlText w:val=""/>
      <w:lvlJc w:val="left"/>
      <w:pPr>
        <w:tabs>
          <w:tab w:val="num" w:pos="1531"/>
        </w:tabs>
        <w:ind w:left="1531" w:firstLine="0"/>
      </w:pPr>
      <w:rPr>
        <w:rFonts w:hint="default"/>
      </w:rPr>
    </w:lvl>
  </w:abstractNum>
  <w:abstractNum w:abstractNumId="39" w15:restartNumberingAfterBreak="0">
    <w:nsid w:val="62D9790C"/>
    <w:multiLevelType w:val="singleLevel"/>
    <w:tmpl w:val="4CC82344"/>
    <w:lvl w:ilvl="0">
      <w:start w:val="1"/>
      <w:numFmt w:val="decimal"/>
      <w:pStyle w:val="QUEST"/>
      <w:lvlText w:val="%1."/>
      <w:lvlJc w:val="left"/>
      <w:pPr>
        <w:tabs>
          <w:tab w:val="num" w:pos="360"/>
        </w:tabs>
        <w:ind w:left="360" w:hanging="360"/>
      </w:pPr>
      <w:rPr>
        <w:rFonts w:cs="Times New Roman"/>
      </w:rPr>
    </w:lvl>
  </w:abstractNum>
  <w:abstractNum w:abstractNumId="40" w15:restartNumberingAfterBreak="0">
    <w:nsid w:val="637539A6"/>
    <w:multiLevelType w:val="multilevel"/>
    <w:tmpl w:val="B684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8C688F"/>
    <w:multiLevelType w:val="hybridMultilevel"/>
    <w:tmpl w:val="EB3AB89E"/>
    <w:lvl w:ilvl="0" w:tplc="146E1CFA">
      <w:start w:val="1"/>
      <w:numFmt w:val="bullet"/>
      <w:lvlText w:val=""/>
      <w:lvlJc w:val="left"/>
      <w:pPr>
        <w:tabs>
          <w:tab w:val="num" w:pos="720"/>
        </w:tabs>
        <w:ind w:left="720" w:hanging="360"/>
      </w:pPr>
      <w:rPr>
        <w:rFonts w:ascii="Wingdings" w:hAnsi="Wingdings" w:hint="default"/>
      </w:rPr>
    </w:lvl>
    <w:lvl w:ilvl="1" w:tplc="EAC63C86">
      <w:start w:val="1"/>
      <w:numFmt w:val="bullet"/>
      <w:lvlText w:val=""/>
      <w:lvlJc w:val="left"/>
      <w:pPr>
        <w:tabs>
          <w:tab w:val="num" w:pos="1440"/>
        </w:tabs>
        <w:ind w:left="1440" w:hanging="360"/>
      </w:pPr>
      <w:rPr>
        <w:rFonts w:ascii="Wingdings" w:hAnsi="Wingdings" w:hint="default"/>
      </w:rPr>
    </w:lvl>
    <w:lvl w:ilvl="2" w:tplc="616A78E4">
      <w:start w:val="1"/>
      <w:numFmt w:val="bullet"/>
      <w:lvlText w:val=""/>
      <w:lvlJc w:val="left"/>
      <w:pPr>
        <w:tabs>
          <w:tab w:val="num" w:pos="2160"/>
        </w:tabs>
        <w:ind w:left="2160" w:hanging="360"/>
      </w:pPr>
      <w:rPr>
        <w:rFonts w:ascii="Wingdings" w:hAnsi="Wingdings" w:hint="default"/>
      </w:rPr>
    </w:lvl>
    <w:lvl w:ilvl="3" w:tplc="633ED7A0">
      <w:start w:val="1"/>
      <w:numFmt w:val="bullet"/>
      <w:lvlText w:val=""/>
      <w:lvlJc w:val="left"/>
      <w:pPr>
        <w:tabs>
          <w:tab w:val="num" w:pos="2880"/>
        </w:tabs>
        <w:ind w:left="2880" w:hanging="360"/>
      </w:pPr>
      <w:rPr>
        <w:rFonts w:ascii="Wingdings" w:hAnsi="Wingdings" w:hint="default"/>
      </w:rPr>
    </w:lvl>
    <w:lvl w:ilvl="4" w:tplc="8D1E5F2A">
      <w:start w:val="1"/>
      <w:numFmt w:val="bullet"/>
      <w:lvlText w:val=""/>
      <w:lvlJc w:val="left"/>
      <w:pPr>
        <w:tabs>
          <w:tab w:val="num" w:pos="3600"/>
        </w:tabs>
        <w:ind w:left="3600" w:hanging="360"/>
      </w:pPr>
      <w:rPr>
        <w:rFonts w:ascii="Wingdings" w:hAnsi="Wingdings" w:hint="default"/>
      </w:rPr>
    </w:lvl>
    <w:lvl w:ilvl="5" w:tplc="2C7AADAE">
      <w:start w:val="1"/>
      <w:numFmt w:val="bullet"/>
      <w:lvlText w:val=""/>
      <w:lvlJc w:val="left"/>
      <w:pPr>
        <w:tabs>
          <w:tab w:val="num" w:pos="4320"/>
        </w:tabs>
        <w:ind w:left="4320" w:hanging="360"/>
      </w:pPr>
      <w:rPr>
        <w:rFonts w:ascii="Wingdings" w:hAnsi="Wingdings" w:hint="default"/>
      </w:rPr>
    </w:lvl>
    <w:lvl w:ilvl="6" w:tplc="769A84FA">
      <w:start w:val="1"/>
      <w:numFmt w:val="bullet"/>
      <w:lvlText w:val=""/>
      <w:lvlJc w:val="left"/>
      <w:pPr>
        <w:tabs>
          <w:tab w:val="num" w:pos="5040"/>
        </w:tabs>
        <w:ind w:left="5040" w:hanging="360"/>
      </w:pPr>
      <w:rPr>
        <w:rFonts w:ascii="Wingdings" w:hAnsi="Wingdings" w:hint="default"/>
      </w:rPr>
    </w:lvl>
    <w:lvl w:ilvl="7" w:tplc="F7E6D744">
      <w:start w:val="1"/>
      <w:numFmt w:val="bullet"/>
      <w:lvlText w:val=""/>
      <w:lvlJc w:val="left"/>
      <w:pPr>
        <w:tabs>
          <w:tab w:val="num" w:pos="5760"/>
        </w:tabs>
        <w:ind w:left="5760" w:hanging="360"/>
      </w:pPr>
      <w:rPr>
        <w:rFonts w:ascii="Wingdings" w:hAnsi="Wingdings" w:hint="default"/>
      </w:rPr>
    </w:lvl>
    <w:lvl w:ilvl="8" w:tplc="0794FF22">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655A00"/>
    <w:multiLevelType w:val="hybridMultilevel"/>
    <w:tmpl w:val="F6AE21D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E95100B"/>
    <w:multiLevelType w:val="hybridMultilevel"/>
    <w:tmpl w:val="5874F37A"/>
    <w:lvl w:ilvl="0" w:tplc="A04AE8F4">
      <w:numFmt w:val="bullet"/>
      <w:lvlText w:val="-"/>
      <w:lvlJc w:val="left"/>
      <w:pPr>
        <w:ind w:left="1004" w:hanging="360"/>
      </w:pPr>
      <w:rPr>
        <w:rFonts w:ascii="Arial" w:eastAsiaTheme="minorHAnsi" w:hAnsi="Arial" w:cs="Aria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44" w15:restartNumberingAfterBreak="0">
    <w:nsid w:val="73A67E4A"/>
    <w:multiLevelType w:val="multilevel"/>
    <w:tmpl w:val="3C90E856"/>
    <w:numStyleLink w:val="NumblistBox"/>
  </w:abstractNum>
  <w:abstractNum w:abstractNumId="45" w15:restartNumberingAfterBreak="0">
    <w:nsid w:val="74885590"/>
    <w:multiLevelType w:val="multilevel"/>
    <w:tmpl w:val="192C1204"/>
    <w:styleLink w:val="NumbListTable"/>
    <w:lvl w:ilvl="0">
      <w:start w:val="1"/>
      <w:numFmt w:val="decimal"/>
      <w:pStyle w:val="TableTitle"/>
      <w:lvlText w:val="Table %1"/>
      <w:lvlJc w:val="left"/>
      <w:pPr>
        <w:tabs>
          <w:tab w:val="num" w:pos="1134"/>
        </w:tabs>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753672F6"/>
    <w:multiLevelType w:val="hybridMultilevel"/>
    <w:tmpl w:val="148A3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2129944">
    <w:abstractNumId w:val="3"/>
  </w:num>
  <w:num w:numId="2" w16cid:durableId="111361617">
    <w:abstractNumId w:val="2"/>
  </w:num>
  <w:num w:numId="3" w16cid:durableId="1844274099">
    <w:abstractNumId w:val="1"/>
  </w:num>
  <w:num w:numId="4" w16cid:durableId="1093747769">
    <w:abstractNumId w:val="0"/>
  </w:num>
  <w:num w:numId="5" w16cid:durableId="1524781529">
    <w:abstractNumId w:val="31"/>
  </w:num>
  <w:num w:numId="6" w16cid:durableId="637731169">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2566631">
    <w:abstractNumId w:val="37"/>
  </w:num>
  <w:num w:numId="8" w16cid:durableId="1887331594">
    <w:abstractNumId w:val="15"/>
  </w:num>
  <w:num w:numId="9" w16cid:durableId="1842233758">
    <w:abstractNumId w:val="6"/>
  </w:num>
  <w:num w:numId="10" w16cid:durableId="5553575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3185421">
    <w:abstractNumId w:val="9"/>
  </w:num>
  <w:num w:numId="12" w16cid:durableId="938297631">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16cid:durableId="969434367">
    <w:abstractNumId w:val="27"/>
  </w:num>
  <w:num w:numId="14" w16cid:durableId="422796526">
    <w:abstractNumId w:val="44"/>
  </w:num>
  <w:num w:numId="15" w16cid:durableId="683477249">
    <w:abstractNumId w:val="10"/>
  </w:num>
  <w:num w:numId="16" w16cid:durableId="559554530">
    <w:abstractNumId w:val="13"/>
  </w:num>
  <w:num w:numId="17" w16cid:durableId="108211020">
    <w:abstractNumId w:val="35"/>
  </w:num>
  <w:num w:numId="18" w16cid:durableId="968900609">
    <w:abstractNumId w:val="19"/>
  </w:num>
  <w:num w:numId="19" w16cid:durableId="199708569">
    <w:abstractNumId w:val="24"/>
  </w:num>
  <w:num w:numId="20" w16cid:durableId="13617103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4086421">
    <w:abstractNumId w:val="39"/>
    <w:lvlOverride w:ilvl="0">
      <w:startOverride w:val="1"/>
    </w:lvlOverride>
  </w:num>
  <w:num w:numId="22" w16cid:durableId="19496966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31508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0374477">
    <w:abstractNumId w:val="25"/>
  </w:num>
  <w:num w:numId="25" w16cid:durableId="131217381">
    <w:abstractNumId w:val="36"/>
  </w:num>
  <w:num w:numId="26" w16cid:durableId="903880179">
    <w:abstractNumId w:val="20"/>
  </w:num>
  <w:num w:numId="27" w16cid:durableId="1005940832">
    <w:abstractNumId w:val="26"/>
  </w:num>
  <w:num w:numId="28" w16cid:durableId="1237975040">
    <w:abstractNumId w:val="45"/>
  </w:num>
  <w:num w:numId="29" w16cid:durableId="803162929">
    <w:abstractNumId w:val="33"/>
  </w:num>
  <w:num w:numId="30" w16cid:durableId="1513642191">
    <w:abstractNumId w:val="8"/>
  </w:num>
  <w:num w:numId="31" w16cid:durableId="1310288519">
    <w:abstractNumId w:val="5"/>
  </w:num>
  <w:num w:numId="32" w16cid:durableId="2050762295">
    <w:abstractNumId w:val="11"/>
  </w:num>
  <w:num w:numId="33" w16cid:durableId="1454591808">
    <w:abstractNumId w:val="38"/>
  </w:num>
  <w:num w:numId="34" w16cid:durableId="8720173">
    <w:abstractNumId w:val="12"/>
  </w:num>
  <w:num w:numId="35" w16cid:durableId="188687600">
    <w:abstractNumId w:val="14"/>
  </w:num>
  <w:num w:numId="36" w16cid:durableId="1224484411">
    <w:abstractNumId w:val="30"/>
  </w:num>
  <w:num w:numId="37" w16cid:durableId="1891647631">
    <w:abstractNumId w:val="17"/>
  </w:num>
  <w:num w:numId="38" w16cid:durableId="1758355949">
    <w:abstractNumId w:val="46"/>
  </w:num>
  <w:num w:numId="39" w16cid:durableId="1690982094">
    <w:abstractNumId w:val="42"/>
  </w:num>
  <w:num w:numId="40" w16cid:durableId="339546374">
    <w:abstractNumId w:val="7"/>
  </w:num>
  <w:num w:numId="41" w16cid:durableId="914247507">
    <w:abstractNumId w:val="29"/>
  </w:num>
  <w:num w:numId="42" w16cid:durableId="157498275">
    <w:abstractNumId w:val="21"/>
  </w:num>
  <w:num w:numId="43" w16cid:durableId="653995773">
    <w:abstractNumId w:val="31"/>
  </w:num>
  <w:num w:numId="44" w16cid:durableId="134034038">
    <w:abstractNumId w:val="41"/>
  </w:num>
  <w:num w:numId="45" w16cid:durableId="1673484660">
    <w:abstractNumId w:val="43"/>
  </w:num>
  <w:num w:numId="46" w16cid:durableId="1609580212">
    <w:abstractNumId w:val="32"/>
  </w:num>
  <w:num w:numId="47" w16cid:durableId="791704320">
    <w:abstractNumId w:val="16"/>
  </w:num>
  <w:num w:numId="48" w16cid:durableId="1345782613">
    <w:abstractNumId w:val="40"/>
  </w:num>
  <w:num w:numId="49" w16cid:durableId="1888881883">
    <w:abstractNumId w:val="31"/>
  </w:num>
  <w:num w:numId="50" w16cid:durableId="1730230133">
    <w:abstractNumId w:val="31"/>
  </w:num>
  <w:num w:numId="51" w16cid:durableId="442965474">
    <w:abstractNumId w:val="4"/>
  </w:num>
  <w:num w:numId="52" w16cid:durableId="1290865841">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032"/>
    <w:rsid w:val="0000056C"/>
    <w:rsid w:val="000008ED"/>
    <w:rsid w:val="00000AD3"/>
    <w:rsid w:val="00000B0E"/>
    <w:rsid w:val="00000BDB"/>
    <w:rsid w:val="000010EA"/>
    <w:rsid w:val="000012CA"/>
    <w:rsid w:val="0000135D"/>
    <w:rsid w:val="000016CC"/>
    <w:rsid w:val="0000192C"/>
    <w:rsid w:val="00001C0E"/>
    <w:rsid w:val="00001CAD"/>
    <w:rsid w:val="00001EF3"/>
    <w:rsid w:val="00001FCC"/>
    <w:rsid w:val="000026D5"/>
    <w:rsid w:val="000028DC"/>
    <w:rsid w:val="00002EDE"/>
    <w:rsid w:val="000032FD"/>
    <w:rsid w:val="00003367"/>
    <w:rsid w:val="00003721"/>
    <w:rsid w:val="0000373D"/>
    <w:rsid w:val="00003776"/>
    <w:rsid w:val="00003A0E"/>
    <w:rsid w:val="00004DC9"/>
    <w:rsid w:val="0000503C"/>
    <w:rsid w:val="0000514F"/>
    <w:rsid w:val="000056E7"/>
    <w:rsid w:val="000063B3"/>
    <w:rsid w:val="00006745"/>
    <w:rsid w:val="00006885"/>
    <w:rsid w:val="00006A4B"/>
    <w:rsid w:val="00006E87"/>
    <w:rsid w:val="00006F14"/>
    <w:rsid w:val="000071CD"/>
    <w:rsid w:val="00007290"/>
    <w:rsid w:val="00007ADD"/>
    <w:rsid w:val="00007FCD"/>
    <w:rsid w:val="00010077"/>
    <w:rsid w:val="00010277"/>
    <w:rsid w:val="000103C8"/>
    <w:rsid w:val="00010524"/>
    <w:rsid w:val="0001087A"/>
    <w:rsid w:val="00010D6A"/>
    <w:rsid w:val="00010F6F"/>
    <w:rsid w:val="0001153A"/>
    <w:rsid w:val="000115A4"/>
    <w:rsid w:val="000116EC"/>
    <w:rsid w:val="00011733"/>
    <w:rsid w:val="000118D3"/>
    <w:rsid w:val="00011C79"/>
    <w:rsid w:val="00011D99"/>
    <w:rsid w:val="00012A33"/>
    <w:rsid w:val="00012B57"/>
    <w:rsid w:val="00012B8E"/>
    <w:rsid w:val="00012C10"/>
    <w:rsid w:val="000132E6"/>
    <w:rsid w:val="00013402"/>
    <w:rsid w:val="00013557"/>
    <w:rsid w:val="00013690"/>
    <w:rsid w:val="000137F7"/>
    <w:rsid w:val="000138D1"/>
    <w:rsid w:val="00014051"/>
    <w:rsid w:val="000140F8"/>
    <w:rsid w:val="00014337"/>
    <w:rsid w:val="0001458A"/>
    <w:rsid w:val="00014E34"/>
    <w:rsid w:val="00015AC6"/>
    <w:rsid w:val="00015BF8"/>
    <w:rsid w:val="00016B1D"/>
    <w:rsid w:val="00016C52"/>
    <w:rsid w:val="0001702C"/>
    <w:rsid w:val="0001737D"/>
    <w:rsid w:val="00017526"/>
    <w:rsid w:val="00020489"/>
    <w:rsid w:val="00020A1F"/>
    <w:rsid w:val="00020A3D"/>
    <w:rsid w:val="00020F19"/>
    <w:rsid w:val="000210F4"/>
    <w:rsid w:val="0002149B"/>
    <w:rsid w:val="00021DE4"/>
    <w:rsid w:val="0002221F"/>
    <w:rsid w:val="00022302"/>
    <w:rsid w:val="00022916"/>
    <w:rsid w:val="00022A40"/>
    <w:rsid w:val="00022DBB"/>
    <w:rsid w:val="00023082"/>
    <w:rsid w:val="00023096"/>
    <w:rsid w:val="000234F9"/>
    <w:rsid w:val="0002382C"/>
    <w:rsid w:val="00023A63"/>
    <w:rsid w:val="00023EE5"/>
    <w:rsid w:val="00023F5A"/>
    <w:rsid w:val="00024771"/>
    <w:rsid w:val="000247A2"/>
    <w:rsid w:val="00024FFA"/>
    <w:rsid w:val="00025211"/>
    <w:rsid w:val="0002521E"/>
    <w:rsid w:val="000255BD"/>
    <w:rsid w:val="00025F4F"/>
    <w:rsid w:val="00026098"/>
    <w:rsid w:val="0002626D"/>
    <w:rsid w:val="00026663"/>
    <w:rsid w:val="000266C9"/>
    <w:rsid w:val="00026B60"/>
    <w:rsid w:val="0002728A"/>
    <w:rsid w:val="000273AD"/>
    <w:rsid w:val="00027BA8"/>
    <w:rsid w:val="00030527"/>
    <w:rsid w:val="000307A7"/>
    <w:rsid w:val="00030EF7"/>
    <w:rsid w:val="0003115D"/>
    <w:rsid w:val="00031645"/>
    <w:rsid w:val="00031939"/>
    <w:rsid w:val="00031E3E"/>
    <w:rsid w:val="00032241"/>
    <w:rsid w:val="0003244B"/>
    <w:rsid w:val="00032A37"/>
    <w:rsid w:val="00032D37"/>
    <w:rsid w:val="00033092"/>
    <w:rsid w:val="0003324D"/>
    <w:rsid w:val="00033DDE"/>
    <w:rsid w:val="0003413F"/>
    <w:rsid w:val="00034B13"/>
    <w:rsid w:val="000359E9"/>
    <w:rsid w:val="00035F52"/>
    <w:rsid w:val="00036217"/>
    <w:rsid w:val="00036F45"/>
    <w:rsid w:val="00037229"/>
    <w:rsid w:val="000374CA"/>
    <w:rsid w:val="00037543"/>
    <w:rsid w:val="00037577"/>
    <w:rsid w:val="000379F5"/>
    <w:rsid w:val="00037A95"/>
    <w:rsid w:val="00037AD0"/>
    <w:rsid w:val="00037B55"/>
    <w:rsid w:val="00037B6C"/>
    <w:rsid w:val="00037F09"/>
    <w:rsid w:val="00037F40"/>
    <w:rsid w:val="000400BA"/>
    <w:rsid w:val="00040123"/>
    <w:rsid w:val="0004015C"/>
    <w:rsid w:val="0004041F"/>
    <w:rsid w:val="00040D78"/>
    <w:rsid w:val="00041474"/>
    <w:rsid w:val="00041509"/>
    <w:rsid w:val="00041BD8"/>
    <w:rsid w:val="00041C64"/>
    <w:rsid w:val="00041F85"/>
    <w:rsid w:val="00041FAF"/>
    <w:rsid w:val="000423DB"/>
    <w:rsid w:val="000428B7"/>
    <w:rsid w:val="0004323B"/>
    <w:rsid w:val="0004323C"/>
    <w:rsid w:val="000432F0"/>
    <w:rsid w:val="00043632"/>
    <w:rsid w:val="00043BBD"/>
    <w:rsid w:val="00044027"/>
    <w:rsid w:val="000445E5"/>
    <w:rsid w:val="000448BB"/>
    <w:rsid w:val="00044B47"/>
    <w:rsid w:val="00044B9E"/>
    <w:rsid w:val="00044D3F"/>
    <w:rsid w:val="00044EEB"/>
    <w:rsid w:val="000452F2"/>
    <w:rsid w:val="00047A55"/>
    <w:rsid w:val="00047E75"/>
    <w:rsid w:val="00047FA5"/>
    <w:rsid w:val="000501AC"/>
    <w:rsid w:val="0005043A"/>
    <w:rsid w:val="0005078D"/>
    <w:rsid w:val="00051622"/>
    <w:rsid w:val="000517E8"/>
    <w:rsid w:val="00051E03"/>
    <w:rsid w:val="0005208C"/>
    <w:rsid w:val="00052510"/>
    <w:rsid w:val="0005259F"/>
    <w:rsid w:val="0005265B"/>
    <w:rsid w:val="000526C8"/>
    <w:rsid w:val="00052AC9"/>
    <w:rsid w:val="00053552"/>
    <w:rsid w:val="000539FC"/>
    <w:rsid w:val="00053DF3"/>
    <w:rsid w:val="00054C46"/>
    <w:rsid w:val="0005549A"/>
    <w:rsid w:val="0005561B"/>
    <w:rsid w:val="00055C16"/>
    <w:rsid w:val="0005640C"/>
    <w:rsid w:val="00056604"/>
    <w:rsid w:val="00056E4D"/>
    <w:rsid w:val="00056EE1"/>
    <w:rsid w:val="00056F4A"/>
    <w:rsid w:val="0005706C"/>
    <w:rsid w:val="000571FE"/>
    <w:rsid w:val="00057445"/>
    <w:rsid w:val="00057E19"/>
    <w:rsid w:val="000605E6"/>
    <w:rsid w:val="00060EE7"/>
    <w:rsid w:val="00061121"/>
    <w:rsid w:val="0006135F"/>
    <w:rsid w:val="0006150B"/>
    <w:rsid w:val="0006194E"/>
    <w:rsid w:val="00061BCA"/>
    <w:rsid w:val="0006278E"/>
    <w:rsid w:val="00063754"/>
    <w:rsid w:val="0006437E"/>
    <w:rsid w:val="0006489B"/>
    <w:rsid w:val="00064C22"/>
    <w:rsid w:val="0006531A"/>
    <w:rsid w:val="000654AA"/>
    <w:rsid w:val="00065595"/>
    <w:rsid w:val="0006599B"/>
    <w:rsid w:val="00065A70"/>
    <w:rsid w:val="00065F68"/>
    <w:rsid w:val="00066697"/>
    <w:rsid w:val="00067181"/>
    <w:rsid w:val="00067227"/>
    <w:rsid w:val="000672D4"/>
    <w:rsid w:val="000673AB"/>
    <w:rsid w:val="0006772E"/>
    <w:rsid w:val="000678C2"/>
    <w:rsid w:val="00067C83"/>
    <w:rsid w:val="00067FD8"/>
    <w:rsid w:val="00070D6D"/>
    <w:rsid w:val="00070F9C"/>
    <w:rsid w:val="000711F6"/>
    <w:rsid w:val="000714AD"/>
    <w:rsid w:val="000715E6"/>
    <w:rsid w:val="0007165B"/>
    <w:rsid w:val="000716FC"/>
    <w:rsid w:val="00071C51"/>
    <w:rsid w:val="00072048"/>
    <w:rsid w:val="00072197"/>
    <w:rsid w:val="00072A0E"/>
    <w:rsid w:val="00072D1F"/>
    <w:rsid w:val="00072D78"/>
    <w:rsid w:val="00072DD3"/>
    <w:rsid w:val="000740B8"/>
    <w:rsid w:val="000744EB"/>
    <w:rsid w:val="00074608"/>
    <w:rsid w:val="0007478F"/>
    <w:rsid w:val="00075230"/>
    <w:rsid w:val="000761F5"/>
    <w:rsid w:val="00076316"/>
    <w:rsid w:val="0007649C"/>
    <w:rsid w:val="0007694E"/>
    <w:rsid w:val="00076965"/>
    <w:rsid w:val="000769B7"/>
    <w:rsid w:val="00076DFD"/>
    <w:rsid w:val="00077340"/>
    <w:rsid w:val="00077781"/>
    <w:rsid w:val="00077BB8"/>
    <w:rsid w:val="00077BF2"/>
    <w:rsid w:val="00077CA7"/>
    <w:rsid w:val="00077E84"/>
    <w:rsid w:val="00080771"/>
    <w:rsid w:val="00081036"/>
    <w:rsid w:val="00081243"/>
    <w:rsid w:val="00081381"/>
    <w:rsid w:val="00081639"/>
    <w:rsid w:val="000816D7"/>
    <w:rsid w:val="00081CF3"/>
    <w:rsid w:val="00082044"/>
    <w:rsid w:val="000824E6"/>
    <w:rsid w:val="000824F2"/>
    <w:rsid w:val="000829D9"/>
    <w:rsid w:val="00082BF9"/>
    <w:rsid w:val="00082CB2"/>
    <w:rsid w:val="00082DA5"/>
    <w:rsid w:val="00083877"/>
    <w:rsid w:val="00083DEA"/>
    <w:rsid w:val="00083E55"/>
    <w:rsid w:val="00084119"/>
    <w:rsid w:val="0008452E"/>
    <w:rsid w:val="00084886"/>
    <w:rsid w:val="00084B53"/>
    <w:rsid w:val="00085063"/>
    <w:rsid w:val="000851B5"/>
    <w:rsid w:val="000854FC"/>
    <w:rsid w:val="00085634"/>
    <w:rsid w:val="0008591F"/>
    <w:rsid w:val="00085CC8"/>
    <w:rsid w:val="00085F01"/>
    <w:rsid w:val="00086638"/>
    <w:rsid w:val="000869B5"/>
    <w:rsid w:val="00086BC2"/>
    <w:rsid w:val="000871C6"/>
    <w:rsid w:val="000871CF"/>
    <w:rsid w:val="0008730F"/>
    <w:rsid w:val="00087387"/>
    <w:rsid w:val="00087AD4"/>
    <w:rsid w:val="0009077D"/>
    <w:rsid w:val="00090928"/>
    <w:rsid w:val="00091977"/>
    <w:rsid w:val="000919D9"/>
    <w:rsid w:val="00091D24"/>
    <w:rsid w:val="00092081"/>
    <w:rsid w:val="0009213E"/>
    <w:rsid w:val="00092DAC"/>
    <w:rsid w:val="00093591"/>
    <w:rsid w:val="000937CE"/>
    <w:rsid w:val="00093893"/>
    <w:rsid w:val="000944CC"/>
    <w:rsid w:val="00094636"/>
    <w:rsid w:val="000949CE"/>
    <w:rsid w:val="00094F84"/>
    <w:rsid w:val="0009546E"/>
    <w:rsid w:val="000954D5"/>
    <w:rsid w:val="0009561F"/>
    <w:rsid w:val="00095BB2"/>
    <w:rsid w:val="00095C91"/>
    <w:rsid w:val="00095D6F"/>
    <w:rsid w:val="00096046"/>
    <w:rsid w:val="000961EA"/>
    <w:rsid w:val="00096306"/>
    <w:rsid w:val="00096F31"/>
    <w:rsid w:val="000975A4"/>
    <w:rsid w:val="0009778A"/>
    <w:rsid w:val="00097B64"/>
    <w:rsid w:val="00097D78"/>
    <w:rsid w:val="00097E0C"/>
    <w:rsid w:val="000A009D"/>
    <w:rsid w:val="000A0249"/>
    <w:rsid w:val="000A083F"/>
    <w:rsid w:val="000A0E8F"/>
    <w:rsid w:val="000A1204"/>
    <w:rsid w:val="000A1413"/>
    <w:rsid w:val="000A14F5"/>
    <w:rsid w:val="000A15FD"/>
    <w:rsid w:val="000A16AA"/>
    <w:rsid w:val="000A1BB9"/>
    <w:rsid w:val="000A1E94"/>
    <w:rsid w:val="000A25C7"/>
    <w:rsid w:val="000A28DA"/>
    <w:rsid w:val="000A2AFE"/>
    <w:rsid w:val="000A2B23"/>
    <w:rsid w:val="000A3211"/>
    <w:rsid w:val="000A3389"/>
    <w:rsid w:val="000A362F"/>
    <w:rsid w:val="000A3AA1"/>
    <w:rsid w:val="000A49AA"/>
    <w:rsid w:val="000A4B5E"/>
    <w:rsid w:val="000A4DAF"/>
    <w:rsid w:val="000A5028"/>
    <w:rsid w:val="000A5831"/>
    <w:rsid w:val="000A5ADD"/>
    <w:rsid w:val="000A6177"/>
    <w:rsid w:val="000A6422"/>
    <w:rsid w:val="000A6560"/>
    <w:rsid w:val="000A70BC"/>
    <w:rsid w:val="000A7540"/>
    <w:rsid w:val="000A7891"/>
    <w:rsid w:val="000A7C09"/>
    <w:rsid w:val="000B0217"/>
    <w:rsid w:val="000B0584"/>
    <w:rsid w:val="000B0CA0"/>
    <w:rsid w:val="000B0FA9"/>
    <w:rsid w:val="000B169B"/>
    <w:rsid w:val="000B1741"/>
    <w:rsid w:val="000B1C43"/>
    <w:rsid w:val="000B1C8C"/>
    <w:rsid w:val="000B1E18"/>
    <w:rsid w:val="000B20D6"/>
    <w:rsid w:val="000B215E"/>
    <w:rsid w:val="000B2417"/>
    <w:rsid w:val="000B2996"/>
    <w:rsid w:val="000B2C6E"/>
    <w:rsid w:val="000B2FC4"/>
    <w:rsid w:val="000B353B"/>
    <w:rsid w:val="000B35FB"/>
    <w:rsid w:val="000B3A0E"/>
    <w:rsid w:val="000B3CA4"/>
    <w:rsid w:val="000B425A"/>
    <w:rsid w:val="000B43F2"/>
    <w:rsid w:val="000B4456"/>
    <w:rsid w:val="000B4477"/>
    <w:rsid w:val="000B475B"/>
    <w:rsid w:val="000B4B44"/>
    <w:rsid w:val="000B4B4E"/>
    <w:rsid w:val="000B4CB7"/>
    <w:rsid w:val="000B51BC"/>
    <w:rsid w:val="000B54D1"/>
    <w:rsid w:val="000B5936"/>
    <w:rsid w:val="000B605B"/>
    <w:rsid w:val="000B608F"/>
    <w:rsid w:val="000B659D"/>
    <w:rsid w:val="000B6690"/>
    <w:rsid w:val="000B6777"/>
    <w:rsid w:val="000B69B2"/>
    <w:rsid w:val="000B6B2C"/>
    <w:rsid w:val="000B6F22"/>
    <w:rsid w:val="000B7333"/>
    <w:rsid w:val="000B78F6"/>
    <w:rsid w:val="000B7AAE"/>
    <w:rsid w:val="000B7BA4"/>
    <w:rsid w:val="000B7E67"/>
    <w:rsid w:val="000B7FEC"/>
    <w:rsid w:val="000C02B8"/>
    <w:rsid w:val="000C0738"/>
    <w:rsid w:val="000C074E"/>
    <w:rsid w:val="000C0FD2"/>
    <w:rsid w:val="000C116E"/>
    <w:rsid w:val="000C11B1"/>
    <w:rsid w:val="000C1997"/>
    <w:rsid w:val="000C1BAF"/>
    <w:rsid w:val="000C1F50"/>
    <w:rsid w:val="000C1FCE"/>
    <w:rsid w:val="000C2014"/>
    <w:rsid w:val="000C22C0"/>
    <w:rsid w:val="000C2379"/>
    <w:rsid w:val="000C29F9"/>
    <w:rsid w:val="000C2D5E"/>
    <w:rsid w:val="000C2D7A"/>
    <w:rsid w:val="000C329F"/>
    <w:rsid w:val="000C33D0"/>
    <w:rsid w:val="000C3577"/>
    <w:rsid w:val="000C372F"/>
    <w:rsid w:val="000C382B"/>
    <w:rsid w:val="000C3B82"/>
    <w:rsid w:val="000C41FC"/>
    <w:rsid w:val="000C49E7"/>
    <w:rsid w:val="000C4A1F"/>
    <w:rsid w:val="000C52A3"/>
    <w:rsid w:val="000C5F80"/>
    <w:rsid w:val="000C6227"/>
    <w:rsid w:val="000C6484"/>
    <w:rsid w:val="000C64D7"/>
    <w:rsid w:val="000C6581"/>
    <w:rsid w:val="000C663C"/>
    <w:rsid w:val="000C6949"/>
    <w:rsid w:val="000C6B07"/>
    <w:rsid w:val="000C6D02"/>
    <w:rsid w:val="000C6DD6"/>
    <w:rsid w:val="000C6F65"/>
    <w:rsid w:val="000C712C"/>
    <w:rsid w:val="000C76DF"/>
    <w:rsid w:val="000C7821"/>
    <w:rsid w:val="000C7DD9"/>
    <w:rsid w:val="000D0602"/>
    <w:rsid w:val="000D0960"/>
    <w:rsid w:val="000D09E5"/>
    <w:rsid w:val="000D0A7F"/>
    <w:rsid w:val="000D1800"/>
    <w:rsid w:val="000D198B"/>
    <w:rsid w:val="000D1995"/>
    <w:rsid w:val="000D1C4B"/>
    <w:rsid w:val="000D1E78"/>
    <w:rsid w:val="000D1FEE"/>
    <w:rsid w:val="000D2111"/>
    <w:rsid w:val="000D2C3D"/>
    <w:rsid w:val="000D2F30"/>
    <w:rsid w:val="000D350B"/>
    <w:rsid w:val="000D3737"/>
    <w:rsid w:val="000D3845"/>
    <w:rsid w:val="000D39E8"/>
    <w:rsid w:val="000D3F3B"/>
    <w:rsid w:val="000D4484"/>
    <w:rsid w:val="000D46FA"/>
    <w:rsid w:val="000D4828"/>
    <w:rsid w:val="000D4CCA"/>
    <w:rsid w:val="000D4DF7"/>
    <w:rsid w:val="000D5562"/>
    <w:rsid w:val="000D58F6"/>
    <w:rsid w:val="000D59DF"/>
    <w:rsid w:val="000D5AFC"/>
    <w:rsid w:val="000D5E2A"/>
    <w:rsid w:val="000D6139"/>
    <w:rsid w:val="000D6397"/>
    <w:rsid w:val="000D6453"/>
    <w:rsid w:val="000D6E30"/>
    <w:rsid w:val="000D7134"/>
    <w:rsid w:val="000D72BB"/>
    <w:rsid w:val="000D73C6"/>
    <w:rsid w:val="000D7551"/>
    <w:rsid w:val="000D77AB"/>
    <w:rsid w:val="000D7A05"/>
    <w:rsid w:val="000D7A8E"/>
    <w:rsid w:val="000D7CBA"/>
    <w:rsid w:val="000D7F51"/>
    <w:rsid w:val="000E02FE"/>
    <w:rsid w:val="000E05AD"/>
    <w:rsid w:val="000E071E"/>
    <w:rsid w:val="000E0805"/>
    <w:rsid w:val="000E0910"/>
    <w:rsid w:val="000E0AA7"/>
    <w:rsid w:val="000E0DC0"/>
    <w:rsid w:val="000E1383"/>
    <w:rsid w:val="000E1D44"/>
    <w:rsid w:val="000E22A2"/>
    <w:rsid w:val="000E2830"/>
    <w:rsid w:val="000E29DF"/>
    <w:rsid w:val="000E2DD4"/>
    <w:rsid w:val="000E30FA"/>
    <w:rsid w:val="000E3890"/>
    <w:rsid w:val="000E3B82"/>
    <w:rsid w:val="000E3BC7"/>
    <w:rsid w:val="000E3BEF"/>
    <w:rsid w:val="000E41C2"/>
    <w:rsid w:val="000E4248"/>
    <w:rsid w:val="000E491B"/>
    <w:rsid w:val="000E4E2F"/>
    <w:rsid w:val="000E5EDC"/>
    <w:rsid w:val="000E614A"/>
    <w:rsid w:val="000E61C7"/>
    <w:rsid w:val="000E6761"/>
    <w:rsid w:val="000E6A00"/>
    <w:rsid w:val="000E6C06"/>
    <w:rsid w:val="000E6CD5"/>
    <w:rsid w:val="000E7342"/>
    <w:rsid w:val="000E735A"/>
    <w:rsid w:val="000E7BDD"/>
    <w:rsid w:val="000E7C3E"/>
    <w:rsid w:val="000E7D23"/>
    <w:rsid w:val="000F00E9"/>
    <w:rsid w:val="000F0ABB"/>
    <w:rsid w:val="000F0DAE"/>
    <w:rsid w:val="000F0E6A"/>
    <w:rsid w:val="000F0FB0"/>
    <w:rsid w:val="000F13C7"/>
    <w:rsid w:val="000F1607"/>
    <w:rsid w:val="000F1806"/>
    <w:rsid w:val="000F18FB"/>
    <w:rsid w:val="000F1A93"/>
    <w:rsid w:val="000F1E13"/>
    <w:rsid w:val="000F2062"/>
    <w:rsid w:val="000F20E0"/>
    <w:rsid w:val="000F24B2"/>
    <w:rsid w:val="000F28B3"/>
    <w:rsid w:val="000F2968"/>
    <w:rsid w:val="000F29B5"/>
    <w:rsid w:val="000F2D93"/>
    <w:rsid w:val="000F2F24"/>
    <w:rsid w:val="000F3D98"/>
    <w:rsid w:val="000F4191"/>
    <w:rsid w:val="000F420E"/>
    <w:rsid w:val="000F4728"/>
    <w:rsid w:val="000F4A58"/>
    <w:rsid w:val="000F53CC"/>
    <w:rsid w:val="000F5628"/>
    <w:rsid w:val="000F574A"/>
    <w:rsid w:val="000F59AD"/>
    <w:rsid w:val="000F5BAA"/>
    <w:rsid w:val="000F5F84"/>
    <w:rsid w:val="000F604E"/>
    <w:rsid w:val="000F69A8"/>
    <w:rsid w:val="000F700F"/>
    <w:rsid w:val="000F738B"/>
    <w:rsid w:val="000F73D8"/>
    <w:rsid w:val="000F7440"/>
    <w:rsid w:val="000F7470"/>
    <w:rsid w:val="000F79B7"/>
    <w:rsid w:val="000F7CDE"/>
    <w:rsid w:val="000F7D2E"/>
    <w:rsid w:val="0010041A"/>
    <w:rsid w:val="0010045B"/>
    <w:rsid w:val="001005AB"/>
    <w:rsid w:val="001015AE"/>
    <w:rsid w:val="00101643"/>
    <w:rsid w:val="0010169B"/>
    <w:rsid w:val="001022B6"/>
    <w:rsid w:val="001023EE"/>
    <w:rsid w:val="001025EF"/>
    <w:rsid w:val="00102A31"/>
    <w:rsid w:val="00102B51"/>
    <w:rsid w:val="00102DD9"/>
    <w:rsid w:val="00103063"/>
    <w:rsid w:val="001034D5"/>
    <w:rsid w:val="00103810"/>
    <w:rsid w:val="00103A3D"/>
    <w:rsid w:val="00103E64"/>
    <w:rsid w:val="00104C52"/>
    <w:rsid w:val="00104E59"/>
    <w:rsid w:val="00104F35"/>
    <w:rsid w:val="0010522D"/>
    <w:rsid w:val="001055DC"/>
    <w:rsid w:val="00105A51"/>
    <w:rsid w:val="00105C9F"/>
    <w:rsid w:val="00105D51"/>
    <w:rsid w:val="00105DF1"/>
    <w:rsid w:val="0010634D"/>
    <w:rsid w:val="0010647E"/>
    <w:rsid w:val="001068EA"/>
    <w:rsid w:val="00106DD7"/>
    <w:rsid w:val="0010707E"/>
    <w:rsid w:val="0010784E"/>
    <w:rsid w:val="0010796E"/>
    <w:rsid w:val="00107B2A"/>
    <w:rsid w:val="00107C59"/>
    <w:rsid w:val="00107EDC"/>
    <w:rsid w:val="001100E2"/>
    <w:rsid w:val="001101C4"/>
    <w:rsid w:val="001101DF"/>
    <w:rsid w:val="0011071D"/>
    <w:rsid w:val="00110961"/>
    <w:rsid w:val="00111127"/>
    <w:rsid w:val="00111C02"/>
    <w:rsid w:val="00111EC5"/>
    <w:rsid w:val="00112122"/>
    <w:rsid w:val="00112581"/>
    <w:rsid w:val="00112B4B"/>
    <w:rsid w:val="00113036"/>
    <w:rsid w:val="001131E8"/>
    <w:rsid w:val="00113285"/>
    <w:rsid w:val="001135C4"/>
    <w:rsid w:val="0011375E"/>
    <w:rsid w:val="00113821"/>
    <w:rsid w:val="00113CCC"/>
    <w:rsid w:val="00113DDF"/>
    <w:rsid w:val="00114BD3"/>
    <w:rsid w:val="00114E94"/>
    <w:rsid w:val="0011508D"/>
    <w:rsid w:val="001151D6"/>
    <w:rsid w:val="00115C2A"/>
    <w:rsid w:val="00115C36"/>
    <w:rsid w:val="001160B4"/>
    <w:rsid w:val="0011611B"/>
    <w:rsid w:val="00116261"/>
    <w:rsid w:val="00116B24"/>
    <w:rsid w:val="00116D35"/>
    <w:rsid w:val="00117432"/>
    <w:rsid w:val="00117499"/>
    <w:rsid w:val="001179D5"/>
    <w:rsid w:val="001205C9"/>
    <w:rsid w:val="001208D5"/>
    <w:rsid w:val="00120BAF"/>
    <w:rsid w:val="00120E06"/>
    <w:rsid w:val="0012102C"/>
    <w:rsid w:val="00121260"/>
    <w:rsid w:val="00121E0D"/>
    <w:rsid w:val="0012231E"/>
    <w:rsid w:val="0012355D"/>
    <w:rsid w:val="001239F0"/>
    <w:rsid w:val="00123CD4"/>
    <w:rsid w:val="00123E52"/>
    <w:rsid w:val="0012403F"/>
    <w:rsid w:val="00124224"/>
    <w:rsid w:val="00124619"/>
    <w:rsid w:val="00124FE3"/>
    <w:rsid w:val="001258FB"/>
    <w:rsid w:val="001264D9"/>
    <w:rsid w:val="00126799"/>
    <w:rsid w:val="001267A2"/>
    <w:rsid w:val="00126839"/>
    <w:rsid w:val="00127060"/>
    <w:rsid w:val="00127408"/>
    <w:rsid w:val="001276AC"/>
    <w:rsid w:val="001276AF"/>
    <w:rsid w:val="00127B9C"/>
    <w:rsid w:val="00127D3B"/>
    <w:rsid w:val="00127E71"/>
    <w:rsid w:val="00127FDE"/>
    <w:rsid w:val="001302CB"/>
    <w:rsid w:val="00130912"/>
    <w:rsid w:val="00130BF6"/>
    <w:rsid w:val="00131799"/>
    <w:rsid w:val="00131845"/>
    <w:rsid w:val="00131FF9"/>
    <w:rsid w:val="001330AC"/>
    <w:rsid w:val="0013353F"/>
    <w:rsid w:val="00133AA0"/>
    <w:rsid w:val="00133B1A"/>
    <w:rsid w:val="00133E34"/>
    <w:rsid w:val="00134C37"/>
    <w:rsid w:val="001350E9"/>
    <w:rsid w:val="00135327"/>
    <w:rsid w:val="0013553F"/>
    <w:rsid w:val="00135B8F"/>
    <w:rsid w:val="00135CCD"/>
    <w:rsid w:val="00135E37"/>
    <w:rsid w:val="001360B6"/>
    <w:rsid w:val="001363E5"/>
    <w:rsid w:val="00136A66"/>
    <w:rsid w:val="00137658"/>
    <w:rsid w:val="001376EF"/>
    <w:rsid w:val="00137EAE"/>
    <w:rsid w:val="00137FD6"/>
    <w:rsid w:val="00140070"/>
    <w:rsid w:val="001403E3"/>
    <w:rsid w:val="001404E2"/>
    <w:rsid w:val="00140A00"/>
    <w:rsid w:val="00140CF6"/>
    <w:rsid w:val="0014144A"/>
    <w:rsid w:val="00141B26"/>
    <w:rsid w:val="001421C4"/>
    <w:rsid w:val="001425CC"/>
    <w:rsid w:val="001426FE"/>
    <w:rsid w:val="00142B50"/>
    <w:rsid w:val="00142F00"/>
    <w:rsid w:val="00142F6E"/>
    <w:rsid w:val="001430AA"/>
    <w:rsid w:val="0014364D"/>
    <w:rsid w:val="00143680"/>
    <w:rsid w:val="00143C60"/>
    <w:rsid w:val="00143EA7"/>
    <w:rsid w:val="001442DE"/>
    <w:rsid w:val="0014455E"/>
    <w:rsid w:val="0014459E"/>
    <w:rsid w:val="00144668"/>
    <w:rsid w:val="00144F92"/>
    <w:rsid w:val="00145513"/>
    <w:rsid w:val="00145723"/>
    <w:rsid w:val="001460AF"/>
    <w:rsid w:val="00146249"/>
    <w:rsid w:val="00146715"/>
    <w:rsid w:val="00147014"/>
    <w:rsid w:val="00147051"/>
    <w:rsid w:val="00147AB9"/>
    <w:rsid w:val="00147C13"/>
    <w:rsid w:val="00150119"/>
    <w:rsid w:val="001504DA"/>
    <w:rsid w:val="00150808"/>
    <w:rsid w:val="00150E0A"/>
    <w:rsid w:val="00151007"/>
    <w:rsid w:val="00151953"/>
    <w:rsid w:val="00151E39"/>
    <w:rsid w:val="001525E9"/>
    <w:rsid w:val="0015265C"/>
    <w:rsid w:val="00152D62"/>
    <w:rsid w:val="001530A4"/>
    <w:rsid w:val="001535BE"/>
    <w:rsid w:val="00153BF4"/>
    <w:rsid w:val="00154020"/>
    <w:rsid w:val="001543FA"/>
    <w:rsid w:val="0015450C"/>
    <w:rsid w:val="00154918"/>
    <w:rsid w:val="00154AC2"/>
    <w:rsid w:val="001554A3"/>
    <w:rsid w:val="001557E2"/>
    <w:rsid w:val="00155A42"/>
    <w:rsid w:val="0015689B"/>
    <w:rsid w:val="00156C15"/>
    <w:rsid w:val="00156E06"/>
    <w:rsid w:val="001572EA"/>
    <w:rsid w:val="001578C9"/>
    <w:rsid w:val="001578E4"/>
    <w:rsid w:val="0015790F"/>
    <w:rsid w:val="00157ACD"/>
    <w:rsid w:val="00160008"/>
    <w:rsid w:val="00160455"/>
    <w:rsid w:val="00160640"/>
    <w:rsid w:val="00160F9C"/>
    <w:rsid w:val="0016111B"/>
    <w:rsid w:val="00161B23"/>
    <w:rsid w:val="00161BB4"/>
    <w:rsid w:val="00161E92"/>
    <w:rsid w:val="00162C15"/>
    <w:rsid w:val="00162C3A"/>
    <w:rsid w:val="0016355D"/>
    <w:rsid w:val="00163BD7"/>
    <w:rsid w:val="00163D88"/>
    <w:rsid w:val="0016401C"/>
    <w:rsid w:val="0016472C"/>
    <w:rsid w:val="00164AD2"/>
    <w:rsid w:val="00164DCB"/>
    <w:rsid w:val="00164F58"/>
    <w:rsid w:val="001651A9"/>
    <w:rsid w:val="00165BEF"/>
    <w:rsid w:val="00165D8B"/>
    <w:rsid w:val="00165DEF"/>
    <w:rsid w:val="001661CF"/>
    <w:rsid w:val="001668D5"/>
    <w:rsid w:val="00166AA3"/>
    <w:rsid w:val="00166AAC"/>
    <w:rsid w:val="001674A8"/>
    <w:rsid w:val="001674FB"/>
    <w:rsid w:val="0016791C"/>
    <w:rsid w:val="00167E7E"/>
    <w:rsid w:val="00170A91"/>
    <w:rsid w:val="00170B77"/>
    <w:rsid w:val="00170F57"/>
    <w:rsid w:val="00170FE3"/>
    <w:rsid w:val="00171123"/>
    <w:rsid w:val="001713F9"/>
    <w:rsid w:val="00171638"/>
    <w:rsid w:val="00171E7F"/>
    <w:rsid w:val="0017204E"/>
    <w:rsid w:val="00172701"/>
    <w:rsid w:val="00172B3F"/>
    <w:rsid w:val="00172D2F"/>
    <w:rsid w:val="00172DAB"/>
    <w:rsid w:val="00173F18"/>
    <w:rsid w:val="001741B1"/>
    <w:rsid w:val="001743E2"/>
    <w:rsid w:val="0017479E"/>
    <w:rsid w:val="00174BD8"/>
    <w:rsid w:val="00174D2B"/>
    <w:rsid w:val="001753F4"/>
    <w:rsid w:val="001759D8"/>
    <w:rsid w:val="00175C2B"/>
    <w:rsid w:val="00175CE1"/>
    <w:rsid w:val="00176DB7"/>
    <w:rsid w:val="00176EA1"/>
    <w:rsid w:val="00176F8B"/>
    <w:rsid w:val="0017701B"/>
    <w:rsid w:val="001770AA"/>
    <w:rsid w:val="00177232"/>
    <w:rsid w:val="0017741C"/>
    <w:rsid w:val="0017785C"/>
    <w:rsid w:val="001778B1"/>
    <w:rsid w:val="00180144"/>
    <w:rsid w:val="00180204"/>
    <w:rsid w:val="001809BA"/>
    <w:rsid w:val="00180C78"/>
    <w:rsid w:val="00180CE9"/>
    <w:rsid w:val="001815A0"/>
    <w:rsid w:val="00182004"/>
    <w:rsid w:val="0018289B"/>
    <w:rsid w:val="001828D3"/>
    <w:rsid w:val="00182C6F"/>
    <w:rsid w:val="0018356B"/>
    <w:rsid w:val="001839D7"/>
    <w:rsid w:val="00183B70"/>
    <w:rsid w:val="0018422E"/>
    <w:rsid w:val="00184402"/>
    <w:rsid w:val="001844B7"/>
    <w:rsid w:val="001851D1"/>
    <w:rsid w:val="0018558D"/>
    <w:rsid w:val="00185644"/>
    <w:rsid w:val="001857EB"/>
    <w:rsid w:val="0018581F"/>
    <w:rsid w:val="00185CA3"/>
    <w:rsid w:val="0018603A"/>
    <w:rsid w:val="00186712"/>
    <w:rsid w:val="001867DE"/>
    <w:rsid w:val="00186B1E"/>
    <w:rsid w:val="00186B2B"/>
    <w:rsid w:val="00186CD0"/>
    <w:rsid w:val="00186F15"/>
    <w:rsid w:val="00186F66"/>
    <w:rsid w:val="001870E8"/>
    <w:rsid w:val="001875B0"/>
    <w:rsid w:val="0018799B"/>
    <w:rsid w:val="001879CB"/>
    <w:rsid w:val="001900DE"/>
    <w:rsid w:val="00190A0F"/>
    <w:rsid w:val="00190A7B"/>
    <w:rsid w:val="00190B9C"/>
    <w:rsid w:val="00190C17"/>
    <w:rsid w:val="00190DB9"/>
    <w:rsid w:val="00190E02"/>
    <w:rsid w:val="0019101D"/>
    <w:rsid w:val="00191455"/>
    <w:rsid w:val="001914A1"/>
    <w:rsid w:val="00192A4D"/>
    <w:rsid w:val="00192BE9"/>
    <w:rsid w:val="00192C1C"/>
    <w:rsid w:val="0019325A"/>
    <w:rsid w:val="00193333"/>
    <w:rsid w:val="00193432"/>
    <w:rsid w:val="00193987"/>
    <w:rsid w:val="00193EBA"/>
    <w:rsid w:val="001942B1"/>
    <w:rsid w:val="001943BB"/>
    <w:rsid w:val="0019445A"/>
    <w:rsid w:val="001946CC"/>
    <w:rsid w:val="001954C5"/>
    <w:rsid w:val="00195551"/>
    <w:rsid w:val="00195FC6"/>
    <w:rsid w:val="00195FE5"/>
    <w:rsid w:val="00196090"/>
    <w:rsid w:val="001961D3"/>
    <w:rsid w:val="00196542"/>
    <w:rsid w:val="001967AE"/>
    <w:rsid w:val="00197611"/>
    <w:rsid w:val="00197914"/>
    <w:rsid w:val="00197AFC"/>
    <w:rsid w:val="001A000B"/>
    <w:rsid w:val="001A028E"/>
    <w:rsid w:val="001A0948"/>
    <w:rsid w:val="001A0A72"/>
    <w:rsid w:val="001A0DA4"/>
    <w:rsid w:val="001A0E39"/>
    <w:rsid w:val="001A0EF0"/>
    <w:rsid w:val="001A0FEB"/>
    <w:rsid w:val="001A121E"/>
    <w:rsid w:val="001A15FF"/>
    <w:rsid w:val="001A16B3"/>
    <w:rsid w:val="001A184F"/>
    <w:rsid w:val="001A2129"/>
    <w:rsid w:val="001A2303"/>
    <w:rsid w:val="001A23E4"/>
    <w:rsid w:val="001A2AB6"/>
    <w:rsid w:val="001A2C25"/>
    <w:rsid w:val="001A2F86"/>
    <w:rsid w:val="001A36B7"/>
    <w:rsid w:val="001A3818"/>
    <w:rsid w:val="001A39AA"/>
    <w:rsid w:val="001A3B87"/>
    <w:rsid w:val="001A3C2C"/>
    <w:rsid w:val="001A3DD1"/>
    <w:rsid w:val="001A4666"/>
    <w:rsid w:val="001A5340"/>
    <w:rsid w:val="001A5781"/>
    <w:rsid w:val="001A5D7C"/>
    <w:rsid w:val="001A63E9"/>
    <w:rsid w:val="001A6516"/>
    <w:rsid w:val="001A773E"/>
    <w:rsid w:val="001A7C5C"/>
    <w:rsid w:val="001B038C"/>
    <w:rsid w:val="001B0521"/>
    <w:rsid w:val="001B072D"/>
    <w:rsid w:val="001B0B09"/>
    <w:rsid w:val="001B0BDA"/>
    <w:rsid w:val="001B0BF6"/>
    <w:rsid w:val="001B0DB5"/>
    <w:rsid w:val="001B10E4"/>
    <w:rsid w:val="001B1B8D"/>
    <w:rsid w:val="001B1DA7"/>
    <w:rsid w:val="001B1E4C"/>
    <w:rsid w:val="001B2423"/>
    <w:rsid w:val="001B24B6"/>
    <w:rsid w:val="001B2A2C"/>
    <w:rsid w:val="001B2BAB"/>
    <w:rsid w:val="001B2E50"/>
    <w:rsid w:val="001B2E56"/>
    <w:rsid w:val="001B2FB9"/>
    <w:rsid w:val="001B379B"/>
    <w:rsid w:val="001B425C"/>
    <w:rsid w:val="001B43AF"/>
    <w:rsid w:val="001B4A00"/>
    <w:rsid w:val="001B4C45"/>
    <w:rsid w:val="001B4D58"/>
    <w:rsid w:val="001B4E52"/>
    <w:rsid w:val="001B5038"/>
    <w:rsid w:val="001B5480"/>
    <w:rsid w:val="001B5828"/>
    <w:rsid w:val="001B5939"/>
    <w:rsid w:val="001B5A74"/>
    <w:rsid w:val="001B5DD1"/>
    <w:rsid w:val="001B617C"/>
    <w:rsid w:val="001B6398"/>
    <w:rsid w:val="001B640E"/>
    <w:rsid w:val="001B6448"/>
    <w:rsid w:val="001B67B2"/>
    <w:rsid w:val="001B67CA"/>
    <w:rsid w:val="001B68AB"/>
    <w:rsid w:val="001B68B2"/>
    <w:rsid w:val="001B6A5C"/>
    <w:rsid w:val="001B7273"/>
    <w:rsid w:val="001B73CF"/>
    <w:rsid w:val="001B775F"/>
    <w:rsid w:val="001B7A92"/>
    <w:rsid w:val="001B7BBE"/>
    <w:rsid w:val="001B7C04"/>
    <w:rsid w:val="001B7CD8"/>
    <w:rsid w:val="001B7D43"/>
    <w:rsid w:val="001C09F8"/>
    <w:rsid w:val="001C0CE4"/>
    <w:rsid w:val="001C0F71"/>
    <w:rsid w:val="001C126D"/>
    <w:rsid w:val="001C1D70"/>
    <w:rsid w:val="001C21DD"/>
    <w:rsid w:val="001C2271"/>
    <w:rsid w:val="001C256A"/>
    <w:rsid w:val="001C262F"/>
    <w:rsid w:val="001C28E8"/>
    <w:rsid w:val="001C2B10"/>
    <w:rsid w:val="001C3066"/>
    <w:rsid w:val="001C3597"/>
    <w:rsid w:val="001C38F5"/>
    <w:rsid w:val="001C3F14"/>
    <w:rsid w:val="001C4321"/>
    <w:rsid w:val="001C46D2"/>
    <w:rsid w:val="001C49FD"/>
    <w:rsid w:val="001C4AB2"/>
    <w:rsid w:val="001C4B20"/>
    <w:rsid w:val="001C4B37"/>
    <w:rsid w:val="001C4CAA"/>
    <w:rsid w:val="001C4DD8"/>
    <w:rsid w:val="001C5004"/>
    <w:rsid w:val="001C50D4"/>
    <w:rsid w:val="001C54ED"/>
    <w:rsid w:val="001C55F5"/>
    <w:rsid w:val="001C5625"/>
    <w:rsid w:val="001C5B26"/>
    <w:rsid w:val="001C5E1D"/>
    <w:rsid w:val="001C61D2"/>
    <w:rsid w:val="001C6B1D"/>
    <w:rsid w:val="001C6CC3"/>
    <w:rsid w:val="001C7365"/>
    <w:rsid w:val="001C75C0"/>
    <w:rsid w:val="001D00A3"/>
    <w:rsid w:val="001D05A8"/>
    <w:rsid w:val="001D0CEC"/>
    <w:rsid w:val="001D0E5A"/>
    <w:rsid w:val="001D0F43"/>
    <w:rsid w:val="001D13A5"/>
    <w:rsid w:val="001D167F"/>
    <w:rsid w:val="001D18BE"/>
    <w:rsid w:val="001D1F24"/>
    <w:rsid w:val="001D2C30"/>
    <w:rsid w:val="001D3073"/>
    <w:rsid w:val="001D38AB"/>
    <w:rsid w:val="001D398C"/>
    <w:rsid w:val="001D3D77"/>
    <w:rsid w:val="001D40CD"/>
    <w:rsid w:val="001D4565"/>
    <w:rsid w:val="001D4859"/>
    <w:rsid w:val="001D5108"/>
    <w:rsid w:val="001D53CE"/>
    <w:rsid w:val="001D540C"/>
    <w:rsid w:val="001D5707"/>
    <w:rsid w:val="001D5814"/>
    <w:rsid w:val="001D5B80"/>
    <w:rsid w:val="001D5B98"/>
    <w:rsid w:val="001D6436"/>
    <w:rsid w:val="001D67CC"/>
    <w:rsid w:val="001D69AE"/>
    <w:rsid w:val="001D6AA7"/>
    <w:rsid w:val="001D6C91"/>
    <w:rsid w:val="001D6DEB"/>
    <w:rsid w:val="001D6FB9"/>
    <w:rsid w:val="001D755F"/>
    <w:rsid w:val="001D7563"/>
    <w:rsid w:val="001E052E"/>
    <w:rsid w:val="001E0AA1"/>
    <w:rsid w:val="001E10C0"/>
    <w:rsid w:val="001E1846"/>
    <w:rsid w:val="001E2964"/>
    <w:rsid w:val="001E2A3D"/>
    <w:rsid w:val="001E2A72"/>
    <w:rsid w:val="001E2B20"/>
    <w:rsid w:val="001E2E12"/>
    <w:rsid w:val="001E2F18"/>
    <w:rsid w:val="001E31F2"/>
    <w:rsid w:val="001E32F4"/>
    <w:rsid w:val="001E3426"/>
    <w:rsid w:val="001E387D"/>
    <w:rsid w:val="001E3B79"/>
    <w:rsid w:val="001E40A9"/>
    <w:rsid w:val="001E415D"/>
    <w:rsid w:val="001E44A2"/>
    <w:rsid w:val="001E4859"/>
    <w:rsid w:val="001E4986"/>
    <w:rsid w:val="001E4B23"/>
    <w:rsid w:val="001E4D27"/>
    <w:rsid w:val="001E4E61"/>
    <w:rsid w:val="001E4EE5"/>
    <w:rsid w:val="001E4F10"/>
    <w:rsid w:val="001E50AC"/>
    <w:rsid w:val="001E54F9"/>
    <w:rsid w:val="001E57EE"/>
    <w:rsid w:val="001E69AB"/>
    <w:rsid w:val="001E6BE3"/>
    <w:rsid w:val="001E6DBD"/>
    <w:rsid w:val="001E7262"/>
    <w:rsid w:val="001E746A"/>
    <w:rsid w:val="001E7966"/>
    <w:rsid w:val="001E7ABC"/>
    <w:rsid w:val="001E7B65"/>
    <w:rsid w:val="001F011C"/>
    <w:rsid w:val="001F0542"/>
    <w:rsid w:val="001F060A"/>
    <w:rsid w:val="001F08B1"/>
    <w:rsid w:val="001F0AD1"/>
    <w:rsid w:val="001F0F37"/>
    <w:rsid w:val="001F11AF"/>
    <w:rsid w:val="001F11B1"/>
    <w:rsid w:val="001F16B1"/>
    <w:rsid w:val="001F17D5"/>
    <w:rsid w:val="001F1928"/>
    <w:rsid w:val="001F1D90"/>
    <w:rsid w:val="001F1F5F"/>
    <w:rsid w:val="001F224F"/>
    <w:rsid w:val="001F23C2"/>
    <w:rsid w:val="001F252C"/>
    <w:rsid w:val="001F28C7"/>
    <w:rsid w:val="001F2D91"/>
    <w:rsid w:val="001F2DCA"/>
    <w:rsid w:val="001F3564"/>
    <w:rsid w:val="001F38A8"/>
    <w:rsid w:val="001F4352"/>
    <w:rsid w:val="001F436D"/>
    <w:rsid w:val="001F46FA"/>
    <w:rsid w:val="001F48EB"/>
    <w:rsid w:val="001F4A04"/>
    <w:rsid w:val="001F50CC"/>
    <w:rsid w:val="001F53AD"/>
    <w:rsid w:val="001F5DEE"/>
    <w:rsid w:val="001F5F20"/>
    <w:rsid w:val="001F6047"/>
    <w:rsid w:val="001F61F7"/>
    <w:rsid w:val="001F6365"/>
    <w:rsid w:val="001F657D"/>
    <w:rsid w:val="001F6858"/>
    <w:rsid w:val="001F6E1F"/>
    <w:rsid w:val="001F7577"/>
    <w:rsid w:val="001F7945"/>
    <w:rsid w:val="001F7B5D"/>
    <w:rsid w:val="001F7CFF"/>
    <w:rsid w:val="001F7FCB"/>
    <w:rsid w:val="002005D3"/>
    <w:rsid w:val="00200728"/>
    <w:rsid w:val="0020095C"/>
    <w:rsid w:val="00200A69"/>
    <w:rsid w:val="00200AB2"/>
    <w:rsid w:val="00200FF8"/>
    <w:rsid w:val="00201175"/>
    <w:rsid w:val="002014B4"/>
    <w:rsid w:val="00201F80"/>
    <w:rsid w:val="002022FC"/>
    <w:rsid w:val="0020233A"/>
    <w:rsid w:val="00202935"/>
    <w:rsid w:val="00202B5E"/>
    <w:rsid w:val="00203218"/>
    <w:rsid w:val="00203623"/>
    <w:rsid w:val="0020397E"/>
    <w:rsid w:val="00203996"/>
    <w:rsid w:val="00203A60"/>
    <w:rsid w:val="002041DB"/>
    <w:rsid w:val="00204285"/>
    <w:rsid w:val="00204AB1"/>
    <w:rsid w:val="00205284"/>
    <w:rsid w:val="00205365"/>
    <w:rsid w:val="00205849"/>
    <w:rsid w:val="00205AC5"/>
    <w:rsid w:val="00205B44"/>
    <w:rsid w:val="00205D5A"/>
    <w:rsid w:val="00205F8C"/>
    <w:rsid w:val="00206761"/>
    <w:rsid w:val="002068C0"/>
    <w:rsid w:val="00206BD9"/>
    <w:rsid w:val="00206CEA"/>
    <w:rsid w:val="00206E6C"/>
    <w:rsid w:val="00206F57"/>
    <w:rsid w:val="0020713C"/>
    <w:rsid w:val="002071B7"/>
    <w:rsid w:val="002076B3"/>
    <w:rsid w:val="002079ED"/>
    <w:rsid w:val="00207D4C"/>
    <w:rsid w:val="002104E9"/>
    <w:rsid w:val="002105AF"/>
    <w:rsid w:val="00211223"/>
    <w:rsid w:val="00211470"/>
    <w:rsid w:val="002114F7"/>
    <w:rsid w:val="0021174F"/>
    <w:rsid w:val="00211A10"/>
    <w:rsid w:val="00211E62"/>
    <w:rsid w:val="00211F58"/>
    <w:rsid w:val="002123FB"/>
    <w:rsid w:val="00212880"/>
    <w:rsid w:val="00212C5C"/>
    <w:rsid w:val="00212D42"/>
    <w:rsid w:val="0021326E"/>
    <w:rsid w:val="00213695"/>
    <w:rsid w:val="00213A5E"/>
    <w:rsid w:val="00214367"/>
    <w:rsid w:val="00214686"/>
    <w:rsid w:val="00214989"/>
    <w:rsid w:val="00214CDA"/>
    <w:rsid w:val="00214EFC"/>
    <w:rsid w:val="002153D5"/>
    <w:rsid w:val="002163DF"/>
    <w:rsid w:val="00216667"/>
    <w:rsid w:val="00217619"/>
    <w:rsid w:val="002176E7"/>
    <w:rsid w:val="002178E8"/>
    <w:rsid w:val="002179D8"/>
    <w:rsid w:val="00217B2D"/>
    <w:rsid w:val="00217DFB"/>
    <w:rsid w:val="0022055A"/>
    <w:rsid w:val="002206F2"/>
    <w:rsid w:val="00220BFD"/>
    <w:rsid w:val="00221003"/>
    <w:rsid w:val="00221F4D"/>
    <w:rsid w:val="002220C8"/>
    <w:rsid w:val="002224EC"/>
    <w:rsid w:val="002224F6"/>
    <w:rsid w:val="0022270F"/>
    <w:rsid w:val="0022281A"/>
    <w:rsid w:val="00222AA7"/>
    <w:rsid w:val="00222BB0"/>
    <w:rsid w:val="00222C6F"/>
    <w:rsid w:val="00222CA2"/>
    <w:rsid w:val="0022310F"/>
    <w:rsid w:val="00223116"/>
    <w:rsid w:val="002232CC"/>
    <w:rsid w:val="00223901"/>
    <w:rsid w:val="00223E86"/>
    <w:rsid w:val="00224A70"/>
    <w:rsid w:val="00224B25"/>
    <w:rsid w:val="00224C33"/>
    <w:rsid w:val="00224D95"/>
    <w:rsid w:val="00225241"/>
    <w:rsid w:val="0022525C"/>
    <w:rsid w:val="00225772"/>
    <w:rsid w:val="002259DE"/>
    <w:rsid w:val="00225AF5"/>
    <w:rsid w:val="0022648E"/>
    <w:rsid w:val="002265AA"/>
    <w:rsid w:val="002267F9"/>
    <w:rsid w:val="00226B8C"/>
    <w:rsid w:val="00227299"/>
    <w:rsid w:val="002273EE"/>
    <w:rsid w:val="0022763E"/>
    <w:rsid w:val="00227B0B"/>
    <w:rsid w:val="00227BF6"/>
    <w:rsid w:val="00227DDF"/>
    <w:rsid w:val="00227E88"/>
    <w:rsid w:val="00230999"/>
    <w:rsid w:val="00230B32"/>
    <w:rsid w:val="00230B3F"/>
    <w:rsid w:val="00230F98"/>
    <w:rsid w:val="002316D8"/>
    <w:rsid w:val="00231C9E"/>
    <w:rsid w:val="00231F49"/>
    <w:rsid w:val="00232375"/>
    <w:rsid w:val="00232B26"/>
    <w:rsid w:val="0023377D"/>
    <w:rsid w:val="0023389E"/>
    <w:rsid w:val="00233C2B"/>
    <w:rsid w:val="00233DAF"/>
    <w:rsid w:val="00235023"/>
    <w:rsid w:val="00236824"/>
    <w:rsid w:val="00236A26"/>
    <w:rsid w:val="00237000"/>
    <w:rsid w:val="0023718C"/>
    <w:rsid w:val="002376C5"/>
    <w:rsid w:val="00240123"/>
    <w:rsid w:val="002403F5"/>
    <w:rsid w:val="0024046B"/>
    <w:rsid w:val="00240908"/>
    <w:rsid w:val="0024093F"/>
    <w:rsid w:val="00240A4C"/>
    <w:rsid w:val="00241773"/>
    <w:rsid w:val="00241CCE"/>
    <w:rsid w:val="00241EAE"/>
    <w:rsid w:val="002426F0"/>
    <w:rsid w:val="00242734"/>
    <w:rsid w:val="00242A6E"/>
    <w:rsid w:val="00242A88"/>
    <w:rsid w:val="002431FB"/>
    <w:rsid w:val="00243AFB"/>
    <w:rsid w:val="0024431C"/>
    <w:rsid w:val="002449D8"/>
    <w:rsid w:val="00244AF1"/>
    <w:rsid w:val="00244FE8"/>
    <w:rsid w:val="0024539A"/>
    <w:rsid w:val="002459F7"/>
    <w:rsid w:val="00245CF0"/>
    <w:rsid w:val="00245E94"/>
    <w:rsid w:val="002466B9"/>
    <w:rsid w:val="00246D7E"/>
    <w:rsid w:val="00246ECB"/>
    <w:rsid w:val="00246F39"/>
    <w:rsid w:val="00246F90"/>
    <w:rsid w:val="002472D8"/>
    <w:rsid w:val="00247707"/>
    <w:rsid w:val="00250906"/>
    <w:rsid w:val="002509DC"/>
    <w:rsid w:val="00250EF1"/>
    <w:rsid w:val="00252198"/>
    <w:rsid w:val="002522F6"/>
    <w:rsid w:val="00252762"/>
    <w:rsid w:val="00252887"/>
    <w:rsid w:val="002528BE"/>
    <w:rsid w:val="00252994"/>
    <w:rsid w:val="00252DFC"/>
    <w:rsid w:val="00252EC5"/>
    <w:rsid w:val="002534DD"/>
    <w:rsid w:val="0025361F"/>
    <w:rsid w:val="002536E5"/>
    <w:rsid w:val="0025374A"/>
    <w:rsid w:val="00253B99"/>
    <w:rsid w:val="00253F60"/>
    <w:rsid w:val="0025499C"/>
    <w:rsid w:val="00254AD9"/>
    <w:rsid w:val="00254EAD"/>
    <w:rsid w:val="00254EE5"/>
    <w:rsid w:val="002552BD"/>
    <w:rsid w:val="00255623"/>
    <w:rsid w:val="00255963"/>
    <w:rsid w:val="00256070"/>
    <w:rsid w:val="00256353"/>
    <w:rsid w:val="00256E4F"/>
    <w:rsid w:val="00256FC0"/>
    <w:rsid w:val="00257009"/>
    <w:rsid w:val="00257361"/>
    <w:rsid w:val="00257614"/>
    <w:rsid w:val="0026059F"/>
    <w:rsid w:val="002606E8"/>
    <w:rsid w:val="0026073C"/>
    <w:rsid w:val="002608F0"/>
    <w:rsid w:val="00260CFF"/>
    <w:rsid w:val="00261B15"/>
    <w:rsid w:val="00261DB6"/>
    <w:rsid w:val="00261F6D"/>
    <w:rsid w:val="00262585"/>
    <w:rsid w:val="00262637"/>
    <w:rsid w:val="00262BDC"/>
    <w:rsid w:val="00262CED"/>
    <w:rsid w:val="00262DDF"/>
    <w:rsid w:val="00262FA1"/>
    <w:rsid w:val="002630D8"/>
    <w:rsid w:val="0026384D"/>
    <w:rsid w:val="002639D8"/>
    <w:rsid w:val="0026459E"/>
    <w:rsid w:val="002645B6"/>
    <w:rsid w:val="002649E1"/>
    <w:rsid w:val="00264B14"/>
    <w:rsid w:val="00264E56"/>
    <w:rsid w:val="00264F8B"/>
    <w:rsid w:val="002653B4"/>
    <w:rsid w:val="00265749"/>
    <w:rsid w:val="002657D5"/>
    <w:rsid w:val="00265CEB"/>
    <w:rsid w:val="00265DD1"/>
    <w:rsid w:val="00265FE1"/>
    <w:rsid w:val="002660E7"/>
    <w:rsid w:val="00266532"/>
    <w:rsid w:val="002668EE"/>
    <w:rsid w:val="002669FE"/>
    <w:rsid w:val="00266B56"/>
    <w:rsid w:val="00267297"/>
    <w:rsid w:val="00267953"/>
    <w:rsid w:val="00267957"/>
    <w:rsid w:val="00267A87"/>
    <w:rsid w:val="00267AA5"/>
    <w:rsid w:val="00267C70"/>
    <w:rsid w:val="00267DE6"/>
    <w:rsid w:val="00270896"/>
    <w:rsid w:val="00270B7E"/>
    <w:rsid w:val="00270B98"/>
    <w:rsid w:val="00270DCE"/>
    <w:rsid w:val="00271827"/>
    <w:rsid w:val="00272014"/>
    <w:rsid w:val="002720FA"/>
    <w:rsid w:val="0027228F"/>
    <w:rsid w:val="00272350"/>
    <w:rsid w:val="00272A83"/>
    <w:rsid w:val="00273076"/>
    <w:rsid w:val="002731E9"/>
    <w:rsid w:val="002738F5"/>
    <w:rsid w:val="00273D85"/>
    <w:rsid w:val="00273EB8"/>
    <w:rsid w:val="00274506"/>
    <w:rsid w:val="00274711"/>
    <w:rsid w:val="00274885"/>
    <w:rsid w:val="00274D37"/>
    <w:rsid w:val="00274F51"/>
    <w:rsid w:val="0027503B"/>
    <w:rsid w:val="00275712"/>
    <w:rsid w:val="00275992"/>
    <w:rsid w:val="0027621B"/>
    <w:rsid w:val="002762DD"/>
    <w:rsid w:val="00276475"/>
    <w:rsid w:val="002764D8"/>
    <w:rsid w:val="00276832"/>
    <w:rsid w:val="0027693F"/>
    <w:rsid w:val="00276FCD"/>
    <w:rsid w:val="002771A3"/>
    <w:rsid w:val="00280889"/>
    <w:rsid w:val="002809E0"/>
    <w:rsid w:val="00280B66"/>
    <w:rsid w:val="00280CD6"/>
    <w:rsid w:val="00280EF5"/>
    <w:rsid w:val="00281411"/>
    <w:rsid w:val="00281493"/>
    <w:rsid w:val="00281519"/>
    <w:rsid w:val="002824C9"/>
    <w:rsid w:val="00283494"/>
    <w:rsid w:val="00283FA9"/>
    <w:rsid w:val="002840B6"/>
    <w:rsid w:val="00284B1E"/>
    <w:rsid w:val="00284FFB"/>
    <w:rsid w:val="00285827"/>
    <w:rsid w:val="00285BE8"/>
    <w:rsid w:val="00285F92"/>
    <w:rsid w:val="00286464"/>
    <w:rsid w:val="00286784"/>
    <w:rsid w:val="00286CE6"/>
    <w:rsid w:val="00286E00"/>
    <w:rsid w:val="00287231"/>
    <w:rsid w:val="0028746B"/>
    <w:rsid w:val="00287EDA"/>
    <w:rsid w:val="00287F35"/>
    <w:rsid w:val="0029086B"/>
    <w:rsid w:val="00290A96"/>
    <w:rsid w:val="00290B9E"/>
    <w:rsid w:val="00290C6B"/>
    <w:rsid w:val="002911BE"/>
    <w:rsid w:val="00291A9C"/>
    <w:rsid w:val="0029235F"/>
    <w:rsid w:val="002927ED"/>
    <w:rsid w:val="00293255"/>
    <w:rsid w:val="0029342E"/>
    <w:rsid w:val="002935C2"/>
    <w:rsid w:val="0029371A"/>
    <w:rsid w:val="002937DA"/>
    <w:rsid w:val="00293B8C"/>
    <w:rsid w:val="00293EC4"/>
    <w:rsid w:val="002941BA"/>
    <w:rsid w:val="002949FF"/>
    <w:rsid w:val="00295413"/>
    <w:rsid w:val="00295A8E"/>
    <w:rsid w:val="00295C31"/>
    <w:rsid w:val="00295E1E"/>
    <w:rsid w:val="00296132"/>
    <w:rsid w:val="002965BB"/>
    <w:rsid w:val="0029696E"/>
    <w:rsid w:val="002978D1"/>
    <w:rsid w:val="00297BB1"/>
    <w:rsid w:val="00297C66"/>
    <w:rsid w:val="002A047A"/>
    <w:rsid w:val="002A06EA"/>
    <w:rsid w:val="002A09BF"/>
    <w:rsid w:val="002A09F9"/>
    <w:rsid w:val="002A0C7B"/>
    <w:rsid w:val="002A0FBA"/>
    <w:rsid w:val="002A14E8"/>
    <w:rsid w:val="002A17E7"/>
    <w:rsid w:val="002A1BF9"/>
    <w:rsid w:val="002A1CB4"/>
    <w:rsid w:val="002A1F91"/>
    <w:rsid w:val="002A1FDB"/>
    <w:rsid w:val="002A21FB"/>
    <w:rsid w:val="002A2A6E"/>
    <w:rsid w:val="002A2A6F"/>
    <w:rsid w:val="002A2AB7"/>
    <w:rsid w:val="002A2D9E"/>
    <w:rsid w:val="002A3233"/>
    <w:rsid w:val="002A3258"/>
    <w:rsid w:val="002A3604"/>
    <w:rsid w:val="002A39EE"/>
    <w:rsid w:val="002A410C"/>
    <w:rsid w:val="002A411F"/>
    <w:rsid w:val="002A420E"/>
    <w:rsid w:val="002A4E3C"/>
    <w:rsid w:val="002A52CE"/>
    <w:rsid w:val="002A5357"/>
    <w:rsid w:val="002A5D96"/>
    <w:rsid w:val="002A6311"/>
    <w:rsid w:val="002A666B"/>
    <w:rsid w:val="002A6876"/>
    <w:rsid w:val="002A6A54"/>
    <w:rsid w:val="002A73F3"/>
    <w:rsid w:val="002B0140"/>
    <w:rsid w:val="002B036E"/>
    <w:rsid w:val="002B0D28"/>
    <w:rsid w:val="002B0DA4"/>
    <w:rsid w:val="002B15D6"/>
    <w:rsid w:val="002B16AD"/>
    <w:rsid w:val="002B18A5"/>
    <w:rsid w:val="002B1CB7"/>
    <w:rsid w:val="002B230D"/>
    <w:rsid w:val="002B2398"/>
    <w:rsid w:val="002B256D"/>
    <w:rsid w:val="002B2605"/>
    <w:rsid w:val="002B2B41"/>
    <w:rsid w:val="002B2BF2"/>
    <w:rsid w:val="002B2C59"/>
    <w:rsid w:val="002B2E3B"/>
    <w:rsid w:val="002B3161"/>
    <w:rsid w:val="002B3537"/>
    <w:rsid w:val="002B3879"/>
    <w:rsid w:val="002B3BD4"/>
    <w:rsid w:val="002B49D5"/>
    <w:rsid w:val="002B4CAA"/>
    <w:rsid w:val="002B53FE"/>
    <w:rsid w:val="002B5400"/>
    <w:rsid w:val="002B5418"/>
    <w:rsid w:val="002B5636"/>
    <w:rsid w:val="002B59F9"/>
    <w:rsid w:val="002B5A0C"/>
    <w:rsid w:val="002B5BB5"/>
    <w:rsid w:val="002B652B"/>
    <w:rsid w:val="002B6891"/>
    <w:rsid w:val="002B6D1F"/>
    <w:rsid w:val="002B72D4"/>
    <w:rsid w:val="002B73BE"/>
    <w:rsid w:val="002B7A75"/>
    <w:rsid w:val="002B7AAA"/>
    <w:rsid w:val="002C03AB"/>
    <w:rsid w:val="002C03B5"/>
    <w:rsid w:val="002C05AC"/>
    <w:rsid w:val="002C0604"/>
    <w:rsid w:val="002C0795"/>
    <w:rsid w:val="002C0912"/>
    <w:rsid w:val="002C09E6"/>
    <w:rsid w:val="002C0B21"/>
    <w:rsid w:val="002C1063"/>
    <w:rsid w:val="002C1B15"/>
    <w:rsid w:val="002C1D01"/>
    <w:rsid w:val="002C1E4D"/>
    <w:rsid w:val="002C1ED0"/>
    <w:rsid w:val="002C1F00"/>
    <w:rsid w:val="002C240B"/>
    <w:rsid w:val="002C25C2"/>
    <w:rsid w:val="002C29B9"/>
    <w:rsid w:val="002C2CF0"/>
    <w:rsid w:val="002C309A"/>
    <w:rsid w:val="002C312D"/>
    <w:rsid w:val="002C313E"/>
    <w:rsid w:val="002C34A0"/>
    <w:rsid w:val="002C3694"/>
    <w:rsid w:val="002C3A67"/>
    <w:rsid w:val="002C3D54"/>
    <w:rsid w:val="002C3DFB"/>
    <w:rsid w:val="002C4835"/>
    <w:rsid w:val="002C4E15"/>
    <w:rsid w:val="002C54DB"/>
    <w:rsid w:val="002C5852"/>
    <w:rsid w:val="002C5B47"/>
    <w:rsid w:val="002C6020"/>
    <w:rsid w:val="002C6120"/>
    <w:rsid w:val="002C634B"/>
    <w:rsid w:val="002C648D"/>
    <w:rsid w:val="002C687C"/>
    <w:rsid w:val="002C6B35"/>
    <w:rsid w:val="002C6E95"/>
    <w:rsid w:val="002C7296"/>
    <w:rsid w:val="002C761A"/>
    <w:rsid w:val="002C7ADD"/>
    <w:rsid w:val="002C7B68"/>
    <w:rsid w:val="002C7BD1"/>
    <w:rsid w:val="002C7C55"/>
    <w:rsid w:val="002C7F2B"/>
    <w:rsid w:val="002D0640"/>
    <w:rsid w:val="002D08E1"/>
    <w:rsid w:val="002D0B31"/>
    <w:rsid w:val="002D102D"/>
    <w:rsid w:val="002D1CDF"/>
    <w:rsid w:val="002D2190"/>
    <w:rsid w:val="002D24C3"/>
    <w:rsid w:val="002D2A22"/>
    <w:rsid w:val="002D2B92"/>
    <w:rsid w:val="002D34BD"/>
    <w:rsid w:val="002D34E9"/>
    <w:rsid w:val="002D3852"/>
    <w:rsid w:val="002D3B22"/>
    <w:rsid w:val="002D4338"/>
    <w:rsid w:val="002D4730"/>
    <w:rsid w:val="002D4A33"/>
    <w:rsid w:val="002D4A3B"/>
    <w:rsid w:val="002D4A61"/>
    <w:rsid w:val="002D5234"/>
    <w:rsid w:val="002D54ED"/>
    <w:rsid w:val="002D5BD5"/>
    <w:rsid w:val="002D5C84"/>
    <w:rsid w:val="002D5E28"/>
    <w:rsid w:val="002D5E4A"/>
    <w:rsid w:val="002D5F61"/>
    <w:rsid w:val="002D60EA"/>
    <w:rsid w:val="002D6330"/>
    <w:rsid w:val="002D63D9"/>
    <w:rsid w:val="002D6778"/>
    <w:rsid w:val="002D68C4"/>
    <w:rsid w:val="002D6A72"/>
    <w:rsid w:val="002D7197"/>
    <w:rsid w:val="002D75D8"/>
    <w:rsid w:val="002D7765"/>
    <w:rsid w:val="002D776D"/>
    <w:rsid w:val="002D77CF"/>
    <w:rsid w:val="002D78B7"/>
    <w:rsid w:val="002E0281"/>
    <w:rsid w:val="002E0848"/>
    <w:rsid w:val="002E0F29"/>
    <w:rsid w:val="002E1200"/>
    <w:rsid w:val="002E179B"/>
    <w:rsid w:val="002E214A"/>
    <w:rsid w:val="002E2B22"/>
    <w:rsid w:val="002E2FEF"/>
    <w:rsid w:val="002E3114"/>
    <w:rsid w:val="002E390E"/>
    <w:rsid w:val="002E3961"/>
    <w:rsid w:val="002E3B17"/>
    <w:rsid w:val="002E3EB4"/>
    <w:rsid w:val="002E4221"/>
    <w:rsid w:val="002E4FCD"/>
    <w:rsid w:val="002E514A"/>
    <w:rsid w:val="002E562D"/>
    <w:rsid w:val="002E5856"/>
    <w:rsid w:val="002E5CAF"/>
    <w:rsid w:val="002E60A1"/>
    <w:rsid w:val="002E6467"/>
    <w:rsid w:val="002E676E"/>
    <w:rsid w:val="002E67A6"/>
    <w:rsid w:val="002E6CFD"/>
    <w:rsid w:val="002E6DBE"/>
    <w:rsid w:val="002E6FDF"/>
    <w:rsid w:val="002E7E75"/>
    <w:rsid w:val="002F0593"/>
    <w:rsid w:val="002F0859"/>
    <w:rsid w:val="002F0A5E"/>
    <w:rsid w:val="002F0D34"/>
    <w:rsid w:val="002F1954"/>
    <w:rsid w:val="002F1EE9"/>
    <w:rsid w:val="002F25F5"/>
    <w:rsid w:val="002F2BC6"/>
    <w:rsid w:val="002F2DFE"/>
    <w:rsid w:val="002F320E"/>
    <w:rsid w:val="002F354E"/>
    <w:rsid w:val="002F3ADD"/>
    <w:rsid w:val="002F42BD"/>
    <w:rsid w:val="002F45CC"/>
    <w:rsid w:val="002F49C8"/>
    <w:rsid w:val="002F4C4E"/>
    <w:rsid w:val="002F5814"/>
    <w:rsid w:val="002F626A"/>
    <w:rsid w:val="002F62D4"/>
    <w:rsid w:val="002F6B1D"/>
    <w:rsid w:val="002F6C2D"/>
    <w:rsid w:val="002F6C94"/>
    <w:rsid w:val="00300185"/>
    <w:rsid w:val="003003F3"/>
    <w:rsid w:val="003007C8"/>
    <w:rsid w:val="00300AA7"/>
    <w:rsid w:val="00300D80"/>
    <w:rsid w:val="003010BE"/>
    <w:rsid w:val="00301300"/>
    <w:rsid w:val="00301613"/>
    <w:rsid w:val="00301A76"/>
    <w:rsid w:val="00301C23"/>
    <w:rsid w:val="00301CEE"/>
    <w:rsid w:val="00302A14"/>
    <w:rsid w:val="00302AAB"/>
    <w:rsid w:val="00302D9B"/>
    <w:rsid w:val="00302ECE"/>
    <w:rsid w:val="00303458"/>
    <w:rsid w:val="0030347B"/>
    <w:rsid w:val="003036F9"/>
    <w:rsid w:val="00303B3A"/>
    <w:rsid w:val="00304127"/>
    <w:rsid w:val="0030418B"/>
    <w:rsid w:val="003042BB"/>
    <w:rsid w:val="00304795"/>
    <w:rsid w:val="003049C1"/>
    <w:rsid w:val="00304C0E"/>
    <w:rsid w:val="0030504B"/>
    <w:rsid w:val="003051C5"/>
    <w:rsid w:val="00305455"/>
    <w:rsid w:val="0030559A"/>
    <w:rsid w:val="003056F5"/>
    <w:rsid w:val="00305855"/>
    <w:rsid w:val="00305A24"/>
    <w:rsid w:val="00305EAB"/>
    <w:rsid w:val="00306079"/>
    <w:rsid w:val="00306381"/>
    <w:rsid w:val="00306A25"/>
    <w:rsid w:val="00307299"/>
    <w:rsid w:val="0030796B"/>
    <w:rsid w:val="003079FE"/>
    <w:rsid w:val="00307B9F"/>
    <w:rsid w:val="00307E7E"/>
    <w:rsid w:val="003106E8"/>
    <w:rsid w:val="003107D8"/>
    <w:rsid w:val="00310AC0"/>
    <w:rsid w:val="0031146C"/>
    <w:rsid w:val="00311617"/>
    <w:rsid w:val="00311A8E"/>
    <w:rsid w:val="00311B46"/>
    <w:rsid w:val="00311D00"/>
    <w:rsid w:val="00311DF2"/>
    <w:rsid w:val="00312B45"/>
    <w:rsid w:val="00312F4B"/>
    <w:rsid w:val="00313DB0"/>
    <w:rsid w:val="0031412D"/>
    <w:rsid w:val="00314368"/>
    <w:rsid w:val="00314446"/>
    <w:rsid w:val="00314520"/>
    <w:rsid w:val="00314A71"/>
    <w:rsid w:val="00314E08"/>
    <w:rsid w:val="00314F15"/>
    <w:rsid w:val="0031559A"/>
    <w:rsid w:val="003157BE"/>
    <w:rsid w:val="00315ECA"/>
    <w:rsid w:val="00316162"/>
    <w:rsid w:val="003163BB"/>
    <w:rsid w:val="00316D58"/>
    <w:rsid w:val="003172F5"/>
    <w:rsid w:val="003177F8"/>
    <w:rsid w:val="00317AA2"/>
    <w:rsid w:val="00317BBB"/>
    <w:rsid w:val="003204C2"/>
    <w:rsid w:val="003206AD"/>
    <w:rsid w:val="003207C4"/>
    <w:rsid w:val="00320ACE"/>
    <w:rsid w:val="00320C62"/>
    <w:rsid w:val="003211BF"/>
    <w:rsid w:val="003211D5"/>
    <w:rsid w:val="003212D6"/>
    <w:rsid w:val="00321B4C"/>
    <w:rsid w:val="00321EF7"/>
    <w:rsid w:val="00321FAC"/>
    <w:rsid w:val="00322046"/>
    <w:rsid w:val="003221CD"/>
    <w:rsid w:val="00322437"/>
    <w:rsid w:val="003228C5"/>
    <w:rsid w:val="003229F3"/>
    <w:rsid w:val="00322C55"/>
    <w:rsid w:val="00322C70"/>
    <w:rsid w:val="00322D3E"/>
    <w:rsid w:val="00323096"/>
    <w:rsid w:val="003235AC"/>
    <w:rsid w:val="0032370C"/>
    <w:rsid w:val="0032370D"/>
    <w:rsid w:val="00323AFE"/>
    <w:rsid w:val="00323D07"/>
    <w:rsid w:val="0032409C"/>
    <w:rsid w:val="003241E0"/>
    <w:rsid w:val="0032439E"/>
    <w:rsid w:val="003246C1"/>
    <w:rsid w:val="0032495B"/>
    <w:rsid w:val="00324F18"/>
    <w:rsid w:val="00324FAE"/>
    <w:rsid w:val="0032524B"/>
    <w:rsid w:val="003253F2"/>
    <w:rsid w:val="003258DE"/>
    <w:rsid w:val="00325F61"/>
    <w:rsid w:val="00326870"/>
    <w:rsid w:val="00326BA5"/>
    <w:rsid w:val="00326BD5"/>
    <w:rsid w:val="00326C2C"/>
    <w:rsid w:val="00326CA0"/>
    <w:rsid w:val="003273C5"/>
    <w:rsid w:val="0032788E"/>
    <w:rsid w:val="00327AF8"/>
    <w:rsid w:val="003302DA"/>
    <w:rsid w:val="00330BF1"/>
    <w:rsid w:val="003314DE"/>
    <w:rsid w:val="003317F5"/>
    <w:rsid w:val="0033184E"/>
    <w:rsid w:val="00331CC0"/>
    <w:rsid w:val="00331DD8"/>
    <w:rsid w:val="0033218C"/>
    <w:rsid w:val="003321A5"/>
    <w:rsid w:val="0033239F"/>
    <w:rsid w:val="003326A1"/>
    <w:rsid w:val="00332C1E"/>
    <w:rsid w:val="00333197"/>
    <w:rsid w:val="00333383"/>
    <w:rsid w:val="00333B88"/>
    <w:rsid w:val="00333F56"/>
    <w:rsid w:val="00334B81"/>
    <w:rsid w:val="00334DC3"/>
    <w:rsid w:val="00334DD8"/>
    <w:rsid w:val="00334ED2"/>
    <w:rsid w:val="00335649"/>
    <w:rsid w:val="00335666"/>
    <w:rsid w:val="00335B49"/>
    <w:rsid w:val="00335BFF"/>
    <w:rsid w:val="00335CB4"/>
    <w:rsid w:val="003363AB"/>
    <w:rsid w:val="00336487"/>
    <w:rsid w:val="0033648F"/>
    <w:rsid w:val="003370BC"/>
    <w:rsid w:val="00337353"/>
    <w:rsid w:val="003405A7"/>
    <w:rsid w:val="003405FF"/>
    <w:rsid w:val="003415B0"/>
    <w:rsid w:val="003415E0"/>
    <w:rsid w:val="00341936"/>
    <w:rsid w:val="00341B0E"/>
    <w:rsid w:val="00342366"/>
    <w:rsid w:val="00342405"/>
    <w:rsid w:val="00343948"/>
    <w:rsid w:val="00343AB6"/>
    <w:rsid w:val="00343D17"/>
    <w:rsid w:val="0034438A"/>
    <w:rsid w:val="003447FE"/>
    <w:rsid w:val="00344B54"/>
    <w:rsid w:val="00344C31"/>
    <w:rsid w:val="00344F6A"/>
    <w:rsid w:val="00345372"/>
    <w:rsid w:val="00345961"/>
    <w:rsid w:val="00345966"/>
    <w:rsid w:val="00346329"/>
    <w:rsid w:val="00346CD0"/>
    <w:rsid w:val="003470EB"/>
    <w:rsid w:val="003472DF"/>
    <w:rsid w:val="0034773C"/>
    <w:rsid w:val="00347A85"/>
    <w:rsid w:val="00347B22"/>
    <w:rsid w:val="00347DC3"/>
    <w:rsid w:val="00347E72"/>
    <w:rsid w:val="003503DA"/>
    <w:rsid w:val="00351B90"/>
    <w:rsid w:val="00351FA1"/>
    <w:rsid w:val="00352062"/>
    <w:rsid w:val="00352A91"/>
    <w:rsid w:val="003537E8"/>
    <w:rsid w:val="00354A1A"/>
    <w:rsid w:val="00355046"/>
    <w:rsid w:val="0035509C"/>
    <w:rsid w:val="00355195"/>
    <w:rsid w:val="00355A06"/>
    <w:rsid w:val="00355C5C"/>
    <w:rsid w:val="00355EF4"/>
    <w:rsid w:val="00356133"/>
    <w:rsid w:val="00356261"/>
    <w:rsid w:val="003562F1"/>
    <w:rsid w:val="0035674F"/>
    <w:rsid w:val="003568AA"/>
    <w:rsid w:val="0035691F"/>
    <w:rsid w:val="00356C04"/>
    <w:rsid w:val="00356CC0"/>
    <w:rsid w:val="0035711B"/>
    <w:rsid w:val="003575F6"/>
    <w:rsid w:val="003577BD"/>
    <w:rsid w:val="00357A18"/>
    <w:rsid w:val="00357CC0"/>
    <w:rsid w:val="00357D51"/>
    <w:rsid w:val="0036069C"/>
    <w:rsid w:val="003608CB"/>
    <w:rsid w:val="00360B66"/>
    <w:rsid w:val="00361CC8"/>
    <w:rsid w:val="00362535"/>
    <w:rsid w:val="003627FB"/>
    <w:rsid w:val="0036296B"/>
    <w:rsid w:val="00362A11"/>
    <w:rsid w:val="00363573"/>
    <w:rsid w:val="00363907"/>
    <w:rsid w:val="00363F4E"/>
    <w:rsid w:val="00363F66"/>
    <w:rsid w:val="0036460E"/>
    <w:rsid w:val="00365FD1"/>
    <w:rsid w:val="0036659F"/>
    <w:rsid w:val="00366A9B"/>
    <w:rsid w:val="00366B31"/>
    <w:rsid w:val="00366D82"/>
    <w:rsid w:val="0036734D"/>
    <w:rsid w:val="003673EF"/>
    <w:rsid w:val="003679FF"/>
    <w:rsid w:val="003703C0"/>
    <w:rsid w:val="003707D0"/>
    <w:rsid w:val="00370946"/>
    <w:rsid w:val="003709F4"/>
    <w:rsid w:val="00371007"/>
    <w:rsid w:val="0037108D"/>
    <w:rsid w:val="00371A35"/>
    <w:rsid w:val="00371DE2"/>
    <w:rsid w:val="003723D9"/>
    <w:rsid w:val="00372549"/>
    <w:rsid w:val="003725CC"/>
    <w:rsid w:val="0037277D"/>
    <w:rsid w:val="003727CF"/>
    <w:rsid w:val="00372B15"/>
    <w:rsid w:val="00373337"/>
    <w:rsid w:val="0037350A"/>
    <w:rsid w:val="0037365D"/>
    <w:rsid w:val="00373750"/>
    <w:rsid w:val="00373904"/>
    <w:rsid w:val="003744BF"/>
    <w:rsid w:val="00374B03"/>
    <w:rsid w:val="00374B5E"/>
    <w:rsid w:val="00374D30"/>
    <w:rsid w:val="0037535E"/>
    <w:rsid w:val="00375585"/>
    <w:rsid w:val="00375622"/>
    <w:rsid w:val="00375666"/>
    <w:rsid w:val="00375688"/>
    <w:rsid w:val="00375708"/>
    <w:rsid w:val="00375783"/>
    <w:rsid w:val="0037598E"/>
    <w:rsid w:val="00375996"/>
    <w:rsid w:val="00375CD3"/>
    <w:rsid w:val="00375D9C"/>
    <w:rsid w:val="003761B2"/>
    <w:rsid w:val="003765F3"/>
    <w:rsid w:val="003768F6"/>
    <w:rsid w:val="0037692C"/>
    <w:rsid w:val="00376950"/>
    <w:rsid w:val="00376C7D"/>
    <w:rsid w:val="00376E77"/>
    <w:rsid w:val="00376E88"/>
    <w:rsid w:val="00377076"/>
    <w:rsid w:val="003771AD"/>
    <w:rsid w:val="0037756B"/>
    <w:rsid w:val="0037799E"/>
    <w:rsid w:val="00380088"/>
    <w:rsid w:val="00380177"/>
    <w:rsid w:val="003808D0"/>
    <w:rsid w:val="00380933"/>
    <w:rsid w:val="00380BAE"/>
    <w:rsid w:val="00380CA9"/>
    <w:rsid w:val="00380EB5"/>
    <w:rsid w:val="0038157D"/>
    <w:rsid w:val="003818A6"/>
    <w:rsid w:val="00382112"/>
    <w:rsid w:val="00382146"/>
    <w:rsid w:val="003821F7"/>
    <w:rsid w:val="00382487"/>
    <w:rsid w:val="00382607"/>
    <w:rsid w:val="00383222"/>
    <w:rsid w:val="00383726"/>
    <w:rsid w:val="00383C33"/>
    <w:rsid w:val="00383C9B"/>
    <w:rsid w:val="00383FE8"/>
    <w:rsid w:val="00384262"/>
    <w:rsid w:val="003847FA"/>
    <w:rsid w:val="0038481F"/>
    <w:rsid w:val="0038487D"/>
    <w:rsid w:val="00384946"/>
    <w:rsid w:val="00384948"/>
    <w:rsid w:val="0038499E"/>
    <w:rsid w:val="00384D85"/>
    <w:rsid w:val="0038515F"/>
    <w:rsid w:val="0038528F"/>
    <w:rsid w:val="0038586D"/>
    <w:rsid w:val="00385F7E"/>
    <w:rsid w:val="00385FFE"/>
    <w:rsid w:val="003865B8"/>
    <w:rsid w:val="003866BD"/>
    <w:rsid w:val="00386A5C"/>
    <w:rsid w:val="00387253"/>
    <w:rsid w:val="0038750A"/>
    <w:rsid w:val="00387AE3"/>
    <w:rsid w:val="00387D18"/>
    <w:rsid w:val="00387DD5"/>
    <w:rsid w:val="0039006F"/>
    <w:rsid w:val="0039086C"/>
    <w:rsid w:val="00390ACE"/>
    <w:rsid w:val="00390D35"/>
    <w:rsid w:val="00390E02"/>
    <w:rsid w:val="00390F3B"/>
    <w:rsid w:val="0039115D"/>
    <w:rsid w:val="003912A2"/>
    <w:rsid w:val="00391331"/>
    <w:rsid w:val="00391678"/>
    <w:rsid w:val="00392798"/>
    <w:rsid w:val="00392B3E"/>
    <w:rsid w:val="00392D35"/>
    <w:rsid w:val="00392E89"/>
    <w:rsid w:val="0039386C"/>
    <w:rsid w:val="00393A17"/>
    <w:rsid w:val="00394444"/>
    <w:rsid w:val="00395222"/>
    <w:rsid w:val="003955A2"/>
    <w:rsid w:val="00395BD8"/>
    <w:rsid w:val="00396400"/>
    <w:rsid w:val="003965FE"/>
    <w:rsid w:val="003967C8"/>
    <w:rsid w:val="00396858"/>
    <w:rsid w:val="00396862"/>
    <w:rsid w:val="003968B1"/>
    <w:rsid w:val="00396E39"/>
    <w:rsid w:val="003973A7"/>
    <w:rsid w:val="00397689"/>
    <w:rsid w:val="00397D39"/>
    <w:rsid w:val="00397DAB"/>
    <w:rsid w:val="003A0129"/>
    <w:rsid w:val="003A0237"/>
    <w:rsid w:val="003A06DD"/>
    <w:rsid w:val="003A080F"/>
    <w:rsid w:val="003A17B9"/>
    <w:rsid w:val="003A1DB4"/>
    <w:rsid w:val="003A264F"/>
    <w:rsid w:val="003A2E0A"/>
    <w:rsid w:val="003A2FC8"/>
    <w:rsid w:val="003A347A"/>
    <w:rsid w:val="003A3F5D"/>
    <w:rsid w:val="003A417F"/>
    <w:rsid w:val="003A44D7"/>
    <w:rsid w:val="003A4639"/>
    <w:rsid w:val="003A4CD5"/>
    <w:rsid w:val="003A55B1"/>
    <w:rsid w:val="003A5A74"/>
    <w:rsid w:val="003A5C5C"/>
    <w:rsid w:val="003A5C7C"/>
    <w:rsid w:val="003A5E4B"/>
    <w:rsid w:val="003A6272"/>
    <w:rsid w:val="003A683D"/>
    <w:rsid w:val="003A687B"/>
    <w:rsid w:val="003A68A3"/>
    <w:rsid w:val="003A6BF7"/>
    <w:rsid w:val="003A7721"/>
    <w:rsid w:val="003A7E20"/>
    <w:rsid w:val="003B0143"/>
    <w:rsid w:val="003B05A8"/>
    <w:rsid w:val="003B09EC"/>
    <w:rsid w:val="003B0B82"/>
    <w:rsid w:val="003B0E9A"/>
    <w:rsid w:val="003B15D5"/>
    <w:rsid w:val="003B1ADF"/>
    <w:rsid w:val="003B23B4"/>
    <w:rsid w:val="003B2676"/>
    <w:rsid w:val="003B27C2"/>
    <w:rsid w:val="003B2EF1"/>
    <w:rsid w:val="003B33F3"/>
    <w:rsid w:val="003B4704"/>
    <w:rsid w:val="003B4C81"/>
    <w:rsid w:val="003B4ED4"/>
    <w:rsid w:val="003B50A5"/>
    <w:rsid w:val="003B514F"/>
    <w:rsid w:val="003B522F"/>
    <w:rsid w:val="003B57BA"/>
    <w:rsid w:val="003B57E0"/>
    <w:rsid w:val="003B57E7"/>
    <w:rsid w:val="003B5802"/>
    <w:rsid w:val="003B58A0"/>
    <w:rsid w:val="003B5A9F"/>
    <w:rsid w:val="003B5C0B"/>
    <w:rsid w:val="003B5C99"/>
    <w:rsid w:val="003B5D6D"/>
    <w:rsid w:val="003B5E56"/>
    <w:rsid w:val="003B66A6"/>
    <w:rsid w:val="003B6AC5"/>
    <w:rsid w:val="003B701A"/>
    <w:rsid w:val="003B737F"/>
    <w:rsid w:val="003B7508"/>
    <w:rsid w:val="003B75FB"/>
    <w:rsid w:val="003B768B"/>
    <w:rsid w:val="003B79F5"/>
    <w:rsid w:val="003B7F55"/>
    <w:rsid w:val="003C093B"/>
    <w:rsid w:val="003C0D90"/>
    <w:rsid w:val="003C0E5E"/>
    <w:rsid w:val="003C0FB9"/>
    <w:rsid w:val="003C176B"/>
    <w:rsid w:val="003C19BF"/>
    <w:rsid w:val="003C1B50"/>
    <w:rsid w:val="003C220D"/>
    <w:rsid w:val="003C2814"/>
    <w:rsid w:val="003C2B62"/>
    <w:rsid w:val="003C2B9C"/>
    <w:rsid w:val="003C3425"/>
    <w:rsid w:val="003C36C1"/>
    <w:rsid w:val="003C3A14"/>
    <w:rsid w:val="003C3B3D"/>
    <w:rsid w:val="003C3D76"/>
    <w:rsid w:val="003C3E5C"/>
    <w:rsid w:val="003C3F0C"/>
    <w:rsid w:val="003C415C"/>
    <w:rsid w:val="003C42F5"/>
    <w:rsid w:val="003C43F1"/>
    <w:rsid w:val="003C4465"/>
    <w:rsid w:val="003C45D0"/>
    <w:rsid w:val="003C50AE"/>
    <w:rsid w:val="003C5151"/>
    <w:rsid w:val="003C5176"/>
    <w:rsid w:val="003C55EF"/>
    <w:rsid w:val="003C5819"/>
    <w:rsid w:val="003C5BC4"/>
    <w:rsid w:val="003C5FCC"/>
    <w:rsid w:val="003C6504"/>
    <w:rsid w:val="003C665D"/>
    <w:rsid w:val="003C67EB"/>
    <w:rsid w:val="003C6F14"/>
    <w:rsid w:val="003C7135"/>
    <w:rsid w:val="003C7248"/>
    <w:rsid w:val="003C7AB8"/>
    <w:rsid w:val="003C7F58"/>
    <w:rsid w:val="003C7FB7"/>
    <w:rsid w:val="003D0583"/>
    <w:rsid w:val="003D0B06"/>
    <w:rsid w:val="003D0E4B"/>
    <w:rsid w:val="003D0F82"/>
    <w:rsid w:val="003D17AE"/>
    <w:rsid w:val="003D19A0"/>
    <w:rsid w:val="003D1EF6"/>
    <w:rsid w:val="003D2114"/>
    <w:rsid w:val="003D2535"/>
    <w:rsid w:val="003D2795"/>
    <w:rsid w:val="003D2B0A"/>
    <w:rsid w:val="003D320B"/>
    <w:rsid w:val="003D3585"/>
    <w:rsid w:val="003D411A"/>
    <w:rsid w:val="003D4D57"/>
    <w:rsid w:val="003D4EC0"/>
    <w:rsid w:val="003D5029"/>
    <w:rsid w:val="003D5258"/>
    <w:rsid w:val="003D5498"/>
    <w:rsid w:val="003D56F5"/>
    <w:rsid w:val="003D5AEC"/>
    <w:rsid w:val="003D640C"/>
    <w:rsid w:val="003D6A1E"/>
    <w:rsid w:val="003D7622"/>
    <w:rsid w:val="003D7E98"/>
    <w:rsid w:val="003E0207"/>
    <w:rsid w:val="003E03B3"/>
    <w:rsid w:val="003E0408"/>
    <w:rsid w:val="003E0682"/>
    <w:rsid w:val="003E07A4"/>
    <w:rsid w:val="003E0C70"/>
    <w:rsid w:val="003E10C0"/>
    <w:rsid w:val="003E1FC6"/>
    <w:rsid w:val="003E20D1"/>
    <w:rsid w:val="003E26AD"/>
    <w:rsid w:val="003E26E9"/>
    <w:rsid w:val="003E2AF1"/>
    <w:rsid w:val="003E2DEA"/>
    <w:rsid w:val="003E4032"/>
    <w:rsid w:val="003E4307"/>
    <w:rsid w:val="003E4397"/>
    <w:rsid w:val="003E4650"/>
    <w:rsid w:val="003E4CAA"/>
    <w:rsid w:val="003E545F"/>
    <w:rsid w:val="003E55D6"/>
    <w:rsid w:val="003E560D"/>
    <w:rsid w:val="003E600F"/>
    <w:rsid w:val="003E6CFD"/>
    <w:rsid w:val="003E7008"/>
    <w:rsid w:val="003E7191"/>
    <w:rsid w:val="003E7313"/>
    <w:rsid w:val="003E7A7F"/>
    <w:rsid w:val="003F0058"/>
    <w:rsid w:val="003F0189"/>
    <w:rsid w:val="003F01A0"/>
    <w:rsid w:val="003F03AF"/>
    <w:rsid w:val="003F0429"/>
    <w:rsid w:val="003F048A"/>
    <w:rsid w:val="003F0542"/>
    <w:rsid w:val="003F0599"/>
    <w:rsid w:val="003F0668"/>
    <w:rsid w:val="003F0CE1"/>
    <w:rsid w:val="003F0DE2"/>
    <w:rsid w:val="003F0F25"/>
    <w:rsid w:val="003F0F65"/>
    <w:rsid w:val="003F0FC0"/>
    <w:rsid w:val="003F143D"/>
    <w:rsid w:val="003F1562"/>
    <w:rsid w:val="003F15A7"/>
    <w:rsid w:val="003F1A2D"/>
    <w:rsid w:val="003F1E0A"/>
    <w:rsid w:val="003F1F0C"/>
    <w:rsid w:val="003F2206"/>
    <w:rsid w:val="003F296C"/>
    <w:rsid w:val="003F2B24"/>
    <w:rsid w:val="003F2DA6"/>
    <w:rsid w:val="003F3145"/>
    <w:rsid w:val="003F32E6"/>
    <w:rsid w:val="003F3459"/>
    <w:rsid w:val="003F3870"/>
    <w:rsid w:val="003F4541"/>
    <w:rsid w:val="003F5467"/>
    <w:rsid w:val="003F54F7"/>
    <w:rsid w:val="003F5824"/>
    <w:rsid w:val="003F5F5E"/>
    <w:rsid w:val="003F60CA"/>
    <w:rsid w:val="003F70D2"/>
    <w:rsid w:val="003F79F2"/>
    <w:rsid w:val="003F7BEA"/>
    <w:rsid w:val="003F7C11"/>
    <w:rsid w:val="003F7C7D"/>
    <w:rsid w:val="003F7E1D"/>
    <w:rsid w:val="00400420"/>
    <w:rsid w:val="004006A6"/>
    <w:rsid w:val="004007F7"/>
    <w:rsid w:val="0040082C"/>
    <w:rsid w:val="00400ADF"/>
    <w:rsid w:val="00400CB2"/>
    <w:rsid w:val="00400D0D"/>
    <w:rsid w:val="00400E04"/>
    <w:rsid w:val="0040168D"/>
    <w:rsid w:val="00401773"/>
    <w:rsid w:val="00401D86"/>
    <w:rsid w:val="00401FA4"/>
    <w:rsid w:val="004020A3"/>
    <w:rsid w:val="004020BD"/>
    <w:rsid w:val="004033E2"/>
    <w:rsid w:val="0040355A"/>
    <w:rsid w:val="004037B4"/>
    <w:rsid w:val="00403A64"/>
    <w:rsid w:val="00404A84"/>
    <w:rsid w:val="00404F32"/>
    <w:rsid w:val="00405AE6"/>
    <w:rsid w:val="00405B6D"/>
    <w:rsid w:val="00405E4C"/>
    <w:rsid w:val="004063BD"/>
    <w:rsid w:val="00406764"/>
    <w:rsid w:val="004067D6"/>
    <w:rsid w:val="004067E5"/>
    <w:rsid w:val="004068B2"/>
    <w:rsid w:val="00407406"/>
    <w:rsid w:val="0040744B"/>
    <w:rsid w:val="004075C4"/>
    <w:rsid w:val="004075EE"/>
    <w:rsid w:val="0040781F"/>
    <w:rsid w:val="00407A6A"/>
    <w:rsid w:val="0041064E"/>
    <w:rsid w:val="004107E4"/>
    <w:rsid w:val="00410914"/>
    <w:rsid w:val="00410BD0"/>
    <w:rsid w:val="004112D0"/>
    <w:rsid w:val="00411562"/>
    <w:rsid w:val="004116C1"/>
    <w:rsid w:val="00411B6A"/>
    <w:rsid w:val="00411D80"/>
    <w:rsid w:val="00412776"/>
    <w:rsid w:val="0041289D"/>
    <w:rsid w:val="00412C5D"/>
    <w:rsid w:val="00412CA8"/>
    <w:rsid w:val="00412F01"/>
    <w:rsid w:val="004136F0"/>
    <w:rsid w:val="00413A44"/>
    <w:rsid w:val="00414479"/>
    <w:rsid w:val="00414547"/>
    <w:rsid w:val="0041473A"/>
    <w:rsid w:val="0041489E"/>
    <w:rsid w:val="004150C0"/>
    <w:rsid w:val="004159BB"/>
    <w:rsid w:val="0041696F"/>
    <w:rsid w:val="00416D93"/>
    <w:rsid w:val="0041727F"/>
    <w:rsid w:val="004172C7"/>
    <w:rsid w:val="004173DE"/>
    <w:rsid w:val="00417863"/>
    <w:rsid w:val="00417A61"/>
    <w:rsid w:val="00417E9E"/>
    <w:rsid w:val="00417F2A"/>
    <w:rsid w:val="00420346"/>
    <w:rsid w:val="00420408"/>
    <w:rsid w:val="00420638"/>
    <w:rsid w:val="0042073F"/>
    <w:rsid w:val="00420860"/>
    <w:rsid w:val="00420940"/>
    <w:rsid w:val="00420950"/>
    <w:rsid w:val="00420CA8"/>
    <w:rsid w:val="00420CD4"/>
    <w:rsid w:val="004214E3"/>
    <w:rsid w:val="00421BB3"/>
    <w:rsid w:val="00421C8A"/>
    <w:rsid w:val="00422198"/>
    <w:rsid w:val="0042248B"/>
    <w:rsid w:val="00422848"/>
    <w:rsid w:val="00422B33"/>
    <w:rsid w:val="00422F86"/>
    <w:rsid w:val="00422FB3"/>
    <w:rsid w:val="0042349C"/>
    <w:rsid w:val="00423C32"/>
    <w:rsid w:val="00423D8F"/>
    <w:rsid w:val="00424342"/>
    <w:rsid w:val="00424559"/>
    <w:rsid w:val="0042498F"/>
    <w:rsid w:val="00424B15"/>
    <w:rsid w:val="0042592C"/>
    <w:rsid w:val="00425A23"/>
    <w:rsid w:val="00425AB2"/>
    <w:rsid w:val="00425B7C"/>
    <w:rsid w:val="00425EC9"/>
    <w:rsid w:val="004265E2"/>
    <w:rsid w:val="00426694"/>
    <w:rsid w:val="00426A6B"/>
    <w:rsid w:val="004276F9"/>
    <w:rsid w:val="004278FB"/>
    <w:rsid w:val="00427BCD"/>
    <w:rsid w:val="00427C4C"/>
    <w:rsid w:val="00427F02"/>
    <w:rsid w:val="004303F6"/>
    <w:rsid w:val="00430814"/>
    <w:rsid w:val="00430981"/>
    <w:rsid w:val="00430FB4"/>
    <w:rsid w:val="00431844"/>
    <w:rsid w:val="00431D85"/>
    <w:rsid w:val="00432922"/>
    <w:rsid w:val="00432E1A"/>
    <w:rsid w:val="0043317C"/>
    <w:rsid w:val="00433291"/>
    <w:rsid w:val="00433581"/>
    <w:rsid w:val="00433988"/>
    <w:rsid w:val="00434618"/>
    <w:rsid w:val="00434D98"/>
    <w:rsid w:val="00434E37"/>
    <w:rsid w:val="00435380"/>
    <w:rsid w:val="00435B16"/>
    <w:rsid w:val="00435ECC"/>
    <w:rsid w:val="0043666B"/>
    <w:rsid w:val="00436CAD"/>
    <w:rsid w:val="00436E72"/>
    <w:rsid w:val="00437091"/>
    <w:rsid w:val="00437231"/>
    <w:rsid w:val="0043771D"/>
    <w:rsid w:val="004379AF"/>
    <w:rsid w:val="00437BB7"/>
    <w:rsid w:val="00437E2E"/>
    <w:rsid w:val="00437E77"/>
    <w:rsid w:val="0044063B"/>
    <w:rsid w:val="00440B77"/>
    <w:rsid w:val="00440FB6"/>
    <w:rsid w:val="004415CA"/>
    <w:rsid w:val="004418B5"/>
    <w:rsid w:val="00441AB8"/>
    <w:rsid w:val="00441EDE"/>
    <w:rsid w:val="00441F2E"/>
    <w:rsid w:val="0044201A"/>
    <w:rsid w:val="0044227B"/>
    <w:rsid w:val="00442287"/>
    <w:rsid w:val="0044230B"/>
    <w:rsid w:val="004428F8"/>
    <w:rsid w:val="00443514"/>
    <w:rsid w:val="0044354C"/>
    <w:rsid w:val="004437F8"/>
    <w:rsid w:val="00443898"/>
    <w:rsid w:val="00443A80"/>
    <w:rsid w:val="00443B9A"/>
    <w:rsid w:val="00443D30"/>
    <w:rsid w:val="00443E79"/>
    <w:rsid w:val="00444474"/>
    <w:rsid w:val="00444B49"/>
    <w:rsid w:val="00445343"/>
    <w:rsid w:val="00445393"/>
    <w:rsid w:val="00445BCE"/>
    <w:rsid w:val="00445C3A"/>
    <w:rsid w:val="00446855"/>
    <w:rsid w:val="00446989"/>
    <w:rsid w:val="004469F5"/>
    <w:rsid w:val="0044703A"/>
    <w:rsid w:val="0044758F"/>
    <w:rsid w:val="0044784B"/>
    <w:rsid w:val="0044793E"/>
    <w:rsid w:val="00447A72"/>
    <w:rsid w:val="00447E06"/>
    <w:rsid w:val="00447F99"/>
    <w:rsid w:val="00447FEA"/>
    <w:rsid w:val="0045003E"/>
    <w:rsid w:val="00450533"/>
    <w:rsid w:val="00450784"/>
    <w:rsid w:val="00450A70"/>
    <w:rsid w:val="00450BDF"/>
    <w:rsid w:val="00450FB8"/>
    <w:rsid w:val="004515E2"/>
    <w:rsid w:val="00451934"/>
    <w:rsid w:val="00451A71"/>
    <w:rsid w:val="00451E07"/>
    <w:rsid w:val="004524FD"/>
    <w:rsid w:val="00452810"/>
    <w:rsid w:val="0045288C"/>
    <w:rsid w:val="00452C74"/>
    <w:rsid w:val="00452D8B"/>
    <w:rsid w:val="00452D8C"/>
    <w:rsid w:val="004531AA"/>
    <w:rsid w:val="0045330D"/>
    <w:rsid w:val="0045345F"/>
    <w:rsid w:val="004538C6"/>
    <w:rsid w:val="00453A8D"/>
    <w:rsid w:val="00453BAF"/>
    <w:rsid w:val="00453F2C"/>
    <w:rsid w:val="004542EB"/>
    <w:rsid w:val="00454328"/>
    <w:rsid w:val="004546D6"/>
    <w:rsid w:val="004548D8"/>
    <w:rsid w:val="00454B67"/>
    <w:rsid w:val="00454EC2"/>
    <w:rsid w:val="00455272"/>
    <w:rsid w:val="0045570A"/>
    <w:rsid w:val="00455771"/>
    <w:rsid w:val="0045581D"/>
    <w:rsid w:val="00455BE2"/>
    <w:rsid w:val="0045614D"/>
    <w:rsid w:val="004562BD"/>
    <w:rsid w:val="00456683"/>
    <w:rsid w:val="004569BC"/>
    <w:rsid w:val="00456FFA"/>
    <w:rsid w:val="0045709C"/>
    <w:rsid w:val="00457248"/>
    <w:rsid w:val="00457C62"/>
    <w:rsid w:val="0046059A"/>
    <w:rsid w:val="00460FA2"/>
    <w:rsid w:val="00461394"/>
    <w:rsid w:val="00461594"/>
    <w:rsid w:val="004616E6"/>
    <w:rsid w:val="0046180A"/>
    <w:rsid w:val="00461E98"/>
    <w:rsid w:val="004625B7"/>
    <w:rsid w:val="00462765"/>
    <w:rsid w:val="00462A88"/>
    <w:rsid w:val="00462AD9"/>
    <w:rsid w:val="00463734"/>
    <w:rsid w:val="004637FA"/>
    <w:rsid w:val="00463C1D"/>
    <w:rsid w:val="0046439B"/>
    <w:rsid w:val="0046460E"/>
    <w:rsid w:val="00464A3B"/>
    <w:rsid w:val="00464D7E"/>
    <w:rsid w:val="00464F50"/>
    <w:rsid w:val="00465237"/>
    <w:rsid w:val="004656F4"/>
    <w:rsid w:val="004657B5"/>
    <w:rsid w:val="00465BB0"/>
    <w:rsid w:val="00465D47"/>
    <w:rsid w:val="00465DFB"/>
    <w:rsid w:val="004665EF"/>
    <w:rsid w:val="004666A9"/>
    <w:rsid w:val="00466B0C"/>
    <w:rsid w:val="004674B5"/>
    <w:rsid w:val="004674C3"/>
    <w:rsid w:val="00467ABB"/>
    <w:rsid w:val="0047036F"/>
    <w:rsid w:val="004703BF"/>
    <w:rsid w:val="00470506"/>
    <w:rsid w:val="00470D23"/>
    <w:rsid w:val="00470F94"/>
    <w:rsid w:val="004714E8"/>
    <w:rsid w:val="00471C61"/>
    <w:rsid w:val="00471DA1"/>
    <w:rsid w:val="00471FF2"/>
    <w:rsid w:val="00472387"/>
    <w:rsid w:val="00472555"/>
    <w:rsid w:val="0047259E"/>
    <w:rsid w:val="00472612"/>
    <w:rsid w:val="004729B5"/>
    <w:rsid w:val="004729B6"/>
    <w:rsid w:val="00472F27"/>
    <w:rsid w:val="0047303F"/>
    <w:rsid w:val="00473349"/>
    <w:rsid w:val="00474AA4"/>
    <w:rsid w:val="00474AAD"/>
    <w:rsid w:val="00474D20"/>
    <w:rsid w:val="00475533"/>
    <w:rsid w:val="00475B37"/>
    <w:rsid w:val="00476064"/>
    <w:rsid w:val="004765C5"/>
    <w:rsid w:val="004770AA"/>
    <w:rsid w:val="0047717A"/>
    <w:rsid w:val="0047754E"/>
    <w:rsid w:val="00477924"/>
    <w:rsid w:val="00477D97"/>
    <w:rsid w:val="00477DCF"/>
    <w:rsid w:val="00477EB1"/>
    <w:rsid w:val="00480805"/>
    <w:rsid w:val="004808F8"/>
    <w:rsid w:val="00480DD6"/>
    <w:rsid w:val="00481011"/>
    <w:rsid w:val="00481246"/>
    <w:rsid w:val="0048153D"/>
    <w:rsid w:val="00481862"/>
    <w:rsid w:val="0048189A"/>
    <w:rsid w:val="00481C7A"/>
    <w:rsid w:val="00481CD5"/>
    <w:rsid w:val="0048232B"/>
    <w:rsid w:val="00482716"/>
    <w:rsid w:val="00482737"/>
    <w:rsid w:val="00482CF5"/>
    <w:rsid w:val="00483614"/>
    <w:rsid w:val="004836B6"/>
    <w:rsid w:val="004836CB"/>
    <w:rsid w:val="00483B13"/>
    <w:rsid w:val="00483B2B"/>
    <w:rsid w:val="00483B70"/>
    <w:rsid w:val="00483FE3"/>
    <w:rsid w:val="004843E2"/>
    <w:rsid w:val="00484918"/>
    <w:rsid w:val="00484D0D"/>
    <w:rsid w:val="004850A3"/>
    <w:rsid w:val="004852E9"/>
    <w:rsid w:val="004853BF"/>
    <w:rsid w:val="00485579"/>
    <w:rsid w:val="0048564E"/>
    <w:rsid w:val="00485758"/>
    <w:rsid w:val="004861A6"/>
    <w:rsid w:val="004862C2"/>
    <w:rsid w:val="00486478"/>
    <w:rsid w:val="00486C91"/>
    <w:rsid w:val="00486D5A"/>
    <w:rsid w:val="00487354"/>
    <w:rsid w:val="004874B3"/>
    <w:rsid w:val="00487E21"/>
    <w:rsid w:val="00487EE9"/>
    <w:rsid w:val="00490040"/>
    <w:rsid w:val="0049065D"/>
    <w:rsid w:val="004907E4"/>
    <w:rsid w:val="00490ABE"/>
    <w:rsid w:val="00490AFA"/>
    <w:rsid w:val="00490BCA"/>
    <w:rsid w:val="00490EDB"/>
    <w:rsid w:val="0049119B"/>
    <w:rsid w:val="004911F3"/>
    <w:rsid w:val="00491470"/>
    <w:rsid w:val="004914F0"/>
    <w:rsid w:val="004919ED"/>
    <w:rsid w:val="00492391"/>
    <w:rsid w:val="004925C8"/>
    <w:rsid w:val="004925DB"/>
    <w:rsid w:val="004927CD"/>
    <w:rsid w:val="00492C3C"/>
    <w:rsid w:val="00492CC6"/>
    <w:rsid w:val="00492D78"/>
    <w:rsid w:val="00492FE8"/>
    <w:rsid w:val="00493400"/>
    <w:rsid w:val="00493439"/>
    <w:rsid w:val="00493C87"/>
    <w:rsid w:val="00493D92"/>
    <w:rsid w:val="00493FAB"/>
    <w:rsid w:val="004945A1"/>
    <w:rsid w:val="0049524C"/>
    <w:rsid w:val="00495297"/>
    <w:rsid w:val="00495466"/>
    <w:rsid w:val="0049546C"/>
    <w:rsid w:val="004959DC"/>
    <w:rsid w:val="00495E5D"/>
    <w:rsid w:val="004962F1"/>
    <w:rsid w:val="00496535"/>
    <w:rsid w:val="00496B03"/>
    <w:rsid w:val="00496B2C"/>
    <w:rsid w:val="00496E8C"/>
    <w:rsid w:val="00496F51"/>
    <w:rsid w:val="004970CE"/>
    <w:rsid w:val="004972A1"/>
    <w:rsid w:val="00497489"/>
    <w:rsid w:val="004979D5"/>
    <w:rsid w:val="00497AB5"/>
    <w:rsid w:val="00497DD7"/>
    <w:rsid w:val="00497E16"/>
    <w:rsid w:val="004A03F7"/>
    <w:rsid w:val="004A061F"/>
    <w:rsid w:val="004A0676"/>
    <w:rsid w:val="004A09BE"/>
    <w:rsid w:val="004A0B3E"/>
    <w:rsid w:val="004A1032"/>
    <w:rsid w:val="004A105E"/>
    <w:rsid w:val="004A12D3"/>
    <w:rsid w:val="004A14A8"/>
    <w:rsid w:val="004A14C9"/>
    <w:rsid w:val="004A1725"/>
    <w:rsid w:val="004A1791"/>
    <w:rsid w:val="004A1A98"/>
    <w:rsid w:val="004A27DC"/>
    <w:rsid w:val="004A2880"/>
    <w:rsid w:val="004A2D04"/>
    <w:rsid w:val="004A2D83"/>
    <w:rsid w:val="004A30C9"/>
    <w:rsid w:val="004A33D0"/>
    <w:rsid w:val="004A3846"/>
    <w:rsid w:val="004A39B0"/>
    <w:rsid w:val="004A39EF"/>
    <w:rsid w:val="004A497A"/>
    <w:rsid w:val="004A4C05"/>
    <w:rsid w:val="004A4C25"/>
    <w:rsid w:val="004A4C99"/>
    <w:rsid w:val="004A4EA0"/>
    <w:rsid w:val="004A5462"/>
    <w:rsid w:val="004A62F2"/>
    <w:rsid w:val="004A6324"/>
    <w:rsid w:val="004A64F2"/>
    <w:rsid w:val="004A7154"/>
    <w:rsid w:val="004A73AF"/>
    <w:rsid w:val="004A795A"/>
    <w:rsid w:val="004A79EE"/>
    <w:rsid w:val="004A7DFF"/>
    <w:rsid w:val="004B0028"/>
    <w:rsid w:val="004B02BE"/>
    <w:rsid w:val="004B061B"/>
    <w:rsid w:val="004B08D4"/>
    <w:rsid w:val="004B0CE0"/>
    <w:rsid w:val="004B0E12"/>
    <w:rsid w:val="004B0E84"/>
    <w:rsid w:val="004B1070"/>
    <w:rsid w:val="004B11BF"/>
    <w:rsid w:val="004B2F1E"/>
    <w:rsid w:val="004B33C8"/>
    <w:rsid w:val="004B3965"/>
    <w:rsid w:val="004B3CC9"/>
    <w:rsid w:val="004B3F6E"/>
    <w:rsid w:val="004B401E"/>
    <w:rsid w:val="004B4050"/>
    <w:rsid w:val="004B4337"/>
    <w:rsid w:val="004B43BA"/>
    <w:rsid w:val="004B442B"/>
    <w:rsid w:val="004B4702"/>
    <w:rsid w:val="004B4966"/>
    <w:rsid w:val="004B5136"/>
    <w:rsid w:val="004B5315"/>
    <w:rsid w:val="004B5399"/>
    <w:rsid w:val="004B5ECD"/>
    <w:rsid w:val="004B61CF"/>
    <w:rsid w:val="004B628F"/>
    <w:rsid w:val="004B69CD"/>
    <w:rsid w:val="004B6DE4"/>
    <w:rsid w:val="004B7165"/>
    <w:rsid w:val="004B721B"/>
    <w:rsid w:val="004B75DC"/>
    <w:rsid w:val="004C102A"/>
    <w:rsid w:val="004C102C"/>
    <w:rsid w:val="004C1607"/>
    <w:rsid w:val="004C191B"/>
    <w:rsid w:val="004C2378"/>
    <w:rsid w:val="004C2C90"/>
    <w:rsid w:val="004C2E1B"/>
    <w:rsid w:val="004C3090"/>
    <w:rsid w:val="004C310E"/>
    <w:rsid w:val="004C3923"/>
    <w:rsid w:val="004C3B3E"/>
    <w:rsid w:val="004C3EE2"/>
    <w:rsid w:val="004C441C"/>
    <w:rsid w:val="004C483D"/>
    <w:rsid w:val="004C4C2F"/>
    <w:rsid w:val="004C4FEB"/>
    <w:rsid w:val="004C5421"/>
    <w:rsid w:val="004C56B5"/>
    <w:rsid w:val="004C5808"/>
    <w:rsid w:val="004C5933"/>
    <w:rsid w:val="004C5A78"/>
    <w:rsid w:val="004C5F88"/>
    <w:rsid w:val="004C6783"/>
    <w:rsid w:val="004C6DCD"/>
    <w:rsid w:val="004C6F51"/>
    <w:rsid w:val="004C73DE"/>
    <w:rsid w:val="004D01A4"/>
    <w:rsid w:val="004D02DC"/>
    <w:rsid w:val="004D146C"/>
    <w:rsid w:val="004D1B73"/>
    <w:rsid w:val="004D20BA"/>
    <w:rsid w:val="004D2B09"/>
    <w:rsid w:val="004D2CCB"/>
    <w:rsid w:val="004D2DEB"/>
    <w:rsid w:val="004D30F7"/>
    <w:rsid w:val="004D334A"/>
    <w:rsid w:val="004D36F5"/>
    <w:rsid w:val="004D3FDD"/>
    <w:rsid w:val="004D4B38"/>
    <w:rsid w:val="004D4C37"/>
    <w:rsid w:val="004D5322"/>
    <w:rsid w:val="004D55C5"/>
    <w:rsid w:val="004D5775"/>
    <w:rsid w:val="004D5A2C"/>
    <w:rsid w:val="004D5A82"/>
    <w:rsid w:val="004D60B0"/>
    <w:rsid w:val="004D6340"/>
    <w:rsid w:val="004D693B"/>
    <w:rsid w:val="004D695C"/>
    <w:rsid w:val="004D69FC"/>
    <w:rsid w:val="004D6B38"/>
    <w:rsid w:val="004D6D97"/>
    <w:rsid w:val="004D7E57"/>
    <w:rsid w:val="004D7F37"/>
    <w:rsid w:val="004D7FF4"/>
    <w:rsid w:val="004E0703"/>
    <w:rsid w:val="004E0755"/>
    <w:rsid w:val="004E08EF"/>
    <w:rsid w:val="004E0BEF"/>
    <w:rsid w:val="004E0F3E"/>
    <w:rsid w:val="004E1281"/>
    <w:rsid w:val="004E1501"/>
    <w:rsid w:val="004E16B9"/>
    <w:rsid w:val="004E1793"/>
    <w:rsid w:val="004E1AAB"/>
    <w:rsid w:val="004E1C85"/>
    <w:rsid w:val="004E1F3A"/>
    <w:rsid w:val="004E1F78"/>
    <w:rsid w:val="004E2132"/>
    <w:rsid w:val="004E259E"/>
    <w:rsid w:val="004E2632"/>
    <w:rsid w:val="004E265E"/>
    <w:rsid w:val="004E2A95"/>
    <w:rsid w:val="004E2B37"/>
    <w:rsid w:val="004E2BA3"/>
    <w:rsid w:val="004E2BA9"/>
    <w:rsid w:val="004E3078"/>
    <w:rsid w:val="004E30F0"/>
    <w:rsid w:val="004E31FB"/>
    <w:rsid w:val="004E3C4A"/>
    <w:rsid w:val="004E42F8"/>
    <w:rsid w:val="004E4315"/>
    <w:rsid w:val="004E4D20"/>
    <w:rsid w:val="004E5106"/>
    <w:rsid w:val="004E52F1"/>
    <w:rsid w:val="004E55A2"/>
    <w:rsid w:val="004E55EA"/>
    <w:rsid w:val="004E5806"/>
    <w:rsid w:val="004E5812"/>
    <w:rsid w:val="004E5AB4"/>
    <w:rsid w:val="004E5CDB"/>
    <w:rsid w:val="004E62FC"/>
    <w:rsid w:val="004E6684"/>
    <w:rsid w:val="004E781F"/>
    <w:rsid w:val="004F0199"/>
    <w:rsid w:val="004F0342"/>
    <w:rsid w:val="004F05EF"/>
    <w:rsid w:val="004F0F77"/>
    <w:rsid w:val="004F18A2"/>
    <w:rsid w:val="004F1A0F"/>
    <w:rsid w:val="004F2390"/>
    <w:rsid w:val="004F2A00"/>
    <w:rsid w:val="004F2AC2"/>
    <w:rsid w:val="004F3024"/>
    <w:rsid w:val="004F3154"/>
    <w:rsid w:val="004F329F"/>
    <w:rsid w:val="004F34CC"/>
    <w:rsid w:val="004F3996"/>
    <w:rsid w:val="004F3997"/>
    <w:rsid w:val="004F3B9B"/>
    <w:rsid w:val="004F3C31"/>
    <w:rsid w:val="004F3D39"/>
    <w:rsid w:val="004F3EFF"/>
    <w:rsid w:val="004F4437"/>
    <w:rsid w:val="004F45B0"/>
    <w:rsid w:val="004F4A98"/>
    <w:rsid w:val="004F50A5"/>
    <w:rsid w:val="004F5484"/>
    <w:rsid w:val="004F5CDE"/>
    <w:rsid w:val="004F6111"/>
    <w:rsid w:val="004F617C"/>
    <w:rsid w:val="004F6553"/>
    <w:rsid w:val="004F6743"/>
    <w:rsid w:val="004F686A"/>
    <w:rsid w:val="004F7EE8"/>
    <w:rsid w:val="00500135"/>
    <w:rsid w:val="00500591"/>
    <w:rsid w:val="0050060D"/>
    <w:rsid w:val="00500BD3"/>
    <w:rsid w:val="00500C5B"/>
    <w:rsid w:val="0050101D"/>
    <w:rsid w:val="00501022"/>
    <w:rsid w:val="0050190F"/>
    <w:rsid w:val="00501E99"/>
    <w:rsid w:val="0050237D"/>
    <w:rsid w:val="005025D0"/>
    <w:rsid w:val="00502906"/>
    <w:rsid w:val="00502A2B"/>
    <w:rsid w:val="0050369A"/>
    <w:rsid w:val="00503ECE"/>
    <w:rsid w:val="0050426A"/>
    <w:rsid w:val="005043E5"/>
    <w:rsid w:val="00504504"/>
    <w:rsid w:val="00504D53"/>
    <w:rsid w:val="0050594A"/>
    <w:rsid w:val="0050670E"/>
    <w:rsid w:val="00506732"/>
    <w:rsid w:val="005067AE"/>
    <w:rsid w:val="00506ABC"/>
    <w:rsid w:val="00506FFB"/>
    <w:rsid w:val="00507159"/>
    <w:rsid w:val="00507D76"/>
    <w:rsid w:val="00507F48"/>
    <w:rsid w:val="00510044"/>
    <w:rsid w:val="005108B5"/>
    <w:rsid w:val="00510D23"/>
    <w:rsid w:val="00510F0D"/>
    <w:rsid w:val="0051136A"/>
    <w:rsid w:val="00511489"/>
    <w:rsid w:val="00512727"/>
    <w:rsid w:val="00512B80"/>
    <w:rsid w:val="00512BBE"/>
    <w:rsid w:val="00513A60"/>
    <w:rsid w:val="00513C7B"/>
    <w:rsid w:val="00513D6C"/>
    <w:rsid w:val="00513E24"/>
    <w:rsid w:val="005142AB"/>
    <w:rsid w:val="00514340"/>
    <w:rsid w:val="005146A5"/>
    <w:rsid w:val="00514F10"/>
    <w:rsid w:val="00515023"/>
    <w:rsid w:val="00516060"/>
    <w:rsid w:val="0051620C"/>
    <w:rsid w:val="0051627B"/>
    <w:rsid w:val="0051664E"/>
    <w:rsid w:val="00516A01"/>
    <w:rsid w:val="00516BDC"/>
    <w:rsid w:val="005170BD"/>
    <w:rsid w:val="005177B5"/>
    <w:rsid w:val="005177FD"/>
    <w:rsid w:val="00517CD2"/>
    <w:rsid w:val="00517E31"/>
    <w:rsid w:val="00520546"/>
    <w:rsid w:val="00520F1F"/>
    <w:rsid w:val="00520F77"/>
    <w:rsid w:val="00520FBC"/>
    <w:rsid w:val="00521415"/>
    <w:rsid w:val="005219F9"/>
    <w:rsid w:val="00522230"/>
    <w:rsid w:val="005226B6"/>
    <w:rsid w:val="005226C9"/>
    <w:rsid w:val="00522833"/>
    <w:rsid w:val="0052297B"/>
    <w:rsid w:val="00522AF3"/>
    <w:rsid w:val="00522FF4"/>
    <w:rsid w:val="005230B0"/>
    <w:rsid w:val="005238FA"/>
    <w:rsid w:val="0052418A"/>
    <w:rsid w:val="0052445E"/>
    <w:rsid w:val="00524481"/>
    <w:rsid w:val="0052468D"/>
    <w:rsid w:val="0052490C"/>
    <w:rsid w:val="00524D07"/>
    <w:rsid w:val="00524DA3"/>
    <w:rsid w:val="00524DE0"/>
    <w:rsid w:val="005253C3"/>
    <w:rsid w:val="005256A9"/>
    <w:rsid w:val="00525988"/>
    <w:rsid w:val="00526788"/>
    <w:rsid w:val="005268BD"/>
    <w:rsid w:val="005274B2"/>
    <w:rsid w:val="00527787"/>
    <w:rsid w:val="005302CD"/>
    <w:rsid w:val="00530AE1"/>
    <w:rsid w:val="00530E06"/>
    <w:rsid w:val="00531105"/>
    <w:rsid w:val="00531299"/>
    <w:rsid w:val="005312F8"/>
    <w:rsid w:val="00531AD0"/>
    <w:rsid w:val="00532135"/>
    <w:rsid w:val="005323CA"/>
    <w:rsid w:val="00532D90"/>
    <w:rsid w:val="005337A1"/>
    <w:rsid w:val="00533DBA"/>
    <w:rsid w:val="0053408A"/>
    <w:rsid w:val="005348FB"/>
    <w:rsid w:val="00534F00"/>
    <w:rsid w:val="0053513D"/>
    <w:rsid w:val="005356D2"/>
    <w:rsid w:val="00535D68"/>
    <w:rsid w:val="0053610E"/>
    <w:rsid w:val="0053637A"/>
    <w:rsid w:val="00536917"/>
    <w:rsid w:val="005376CF"/>
    <w:rsid w:val="00537D30"/>
    <w:rsid w:val="0054018D"/>
    <w:rsid w:val="00540275"/>
    <w:rsid w:val="00540442"/>
    <w:rsid w:val="00540573"/>
    <w:rsid w:val="005405FF"/>
    <w:rsid w:val="0054069C"/>
    <w:rsid w:val="00540C35"/>
    <w:rsid w:val="00541BB6"/>
    <w:rsid w:val="00541EFF"/>
    <w:rsid w:val="005424A8"/>
    <w:rsid w:val="0054275C"/>
    <w:rsid w:val="00542BCE"/>
    <w:rsid w:val="00542C13"/>
    <w:rsid w:val="00543B64"/>
    <w:rsid w:val="00543BA8"/>
    <w:rsid w:val="00543C2D"/>
    <w:rsid w:val="00543FC1"/>
    <w:rsid w:val="005446A9"/>
    <w:rsid w:val="0054497B"/>
    <w:rsid w:val="00544B37"/>
    <w:rsid w:val="00545FEE"/>
    <w:rsid w:val="0054640D"/>
    <w:rsid w:val="00546A34"/>
    <w:rsid w:val="00546D55"/>
    <w:rsid w:val="00546F0E"/>
    <w:rsid w:val="005471E8"/>
    <w:rsid w:val="00547398"/>
    <w:rsid w:val="00547F49"/>
    <w:rsid w:val="005501A7"/>
    <w:rsid w:val="005501D1"/>
    <w:rsid w:val="00550671"/>
    <w:rsid w:val="005506C6"/>
    <w:rsid w:val="0055081F"/>
    <w:rsid w:val="00551A57"/>
    <w:rsid w:val="0055225A"/>
    <w:rsid w:val="005523D8"/>
    <w:rsid w:val="00552652"/>
    <w:rsid w:val="00552D18"/>
    <w:rsid w:val="005534A6"/>
    <w:rsid w:val="00553E91"/>
    <w:rsid w:val="005542EB"/>
    <w:rsid w:val="00554AFC"/>
    <w:rsid w:val="00554C63"/>
    <w:rsid w:val="00554E29"/>
    <w:rsid w:val="00554E2B"/>
    <w:rsid w:val="00555035"/>
    <w:rsid w:val="00555561"/>
    <w:rsid w:val="005555E1"/>
    <w:rsid w:val="00555733"/>
    <w:rsid w:val="005562C6"/>
    <w:rsid w:val="005565D0"/>
    <w:rsid w:val="00557106"/>
    <w:rsid w:val="005572F1"/>
    <w:rsid w:val="00557772"/>
    <w:rsid w:val="00557BC3"/>
    <w:rsid w:val="00557F2F"/>
    <w:rsid w:val="0056036D"/>
    <w:rsid w:val="005604C1"/>
    <w:rsid w:val="005607F8"/>
    <w:rsid w:val="00560D37"/>
    <w:rsid w:val="00560EEE"/>
    <w:rsid w:val="00560FBC"/>
    <w:rsid w:val="00561367"/>
    <w:rsid w:val="0056148A"/>
    <w:rsid w:val="005615BC"/>
    <w:rsid w:val="00561927"/>
    <w:rsid w:val="00561AAA"/>
    <w:rsid w:val="00561F72"/>
    <w:rsid w:val="00561F97"/>
    <w:rsid w:val="005620EE"/>
    <w:rsid w:val="005628A2"/>
    <w:rsid w:val="00562F8B"/>
    <w:rsid w:val="00562FB4"/>
    <w:rsid w:val="0056311E"/>
    <w:rsid w:val="005637C5"/>
    <w:rsid w:val="00564142"/>
    <w:rsid w:val="00564287"/>
    <w:rsid w:val="0056428B"/>
    <w:rsid w:val="0056457E"/>
    <w:rsid w:val="00564648"/>
    <w:rsid w:val="00564F99"/>
    <w:rsid w:val="00564FC0"/>
    <w:rsid w:val="00564FE0"/>
    <w:rsid w:val="00565259"/>
    <w:rsid w:val="005653C6"/>
    <w:rsid w:val="005654FA"/>
    <w:rsid w:val="0056556C"/>
    <w:rsid w:val="005655AA"/>
    <w:rsid w:val="005659AB"/>
    <w:rsid w:val="00566210"/>
    <w:rsid w:val="005665B6"/>
    <w:rsid w:val="00566A8F"/>
    <w:rsid w:val="00567144"/>
    <w:rsid w:val="00567310"/>
    <w:rsid w:val="005674E7"/>
    <w:rsid w:val="00567629"/>
    <w:rsid w:val="0056781B"/>
    <w:rsid w:val="00567A46"/>
    <w:rsid w:val="00570266"/>
    <w:rsid w:val="00570DCB"/>
    <w:rsid w:val="005711C6"/>
    <w:rsid w:val="005718C3"/>
    <w:rsid w:val="00571DA5"/>
    <w:rsid w:val="00572580"/>
    <w:rsid w:val="0057325C"/>
    <w:rsid w:val="00573510"/>
    <w:rsid w:val="00573604"/>
    <w:rsid w:val="005737CF"/>
    <w:rsid w:val="005749C9"/>
    <w:rsid w:val="00574BD7"/>
    <w:rsid w:val="00574E93"/>
    <w:rsid w:val="00574EA4"/>
    <w:rsid w:val="00575327"/>
    <w:rsid w:val="0057535E"/>
    <w:rsid w:val="00575616"/>
    <w:rsid w:val="00575F5C"/>
    <w:rsid w:val="005760E1"/>
    <w:rsid w:val="005761BE"/>
    <w:rsid w:val="00576232"/>
    <w:rsid w:val="005763EC"/>
    <w:rsid w:val="005769C0"/>
    <w:rsid w:val="00576ADF"/>
    <w:rsid w:val="00576DAE"/>
    <w:rsid w:val="00577AD9"/>
    <w:rsid w:val="00580162"/>
    <w:rsid w:val="005804C9"/>
    <w:rsid w:val="005807BA"/>
    <w:rsid w:val="0058081A"/>
    <w:rsid w:val="00580882"/>
    <w:rsid w:val="00580AB4"/>
    <w:rsid w:val="0058103F"/>
    <w:rsid w:val="005812C4"/>
    <w:rsid w:val="00581AFB"/>
    <w:rsid w:val="0058208D"/>
    <w:rsid w:val="00582572"/>
    <w:rsid w:val="0058292F"/>
    <w:rsid w:val="00582AFC"/>
    <w:rsid w:val="00582E18"/>
    <w:rsid w:val="00582E73"/>
    <w:rsid w:val="00583A49"/>
    <w:rsid w:val="00583D8A"/>
    <w:rsid w:val="005842E5"/>
    <w:rsid w:val="005846FD"/>
    <w:rsid w:val="00584785"/>
    <w:rsid w:val="005856E3"/>
    <w:rsid w:val="0058599A"/>
    <w:rsid w:val="00585CBD"/>
    <w:rsid w:val="00585E94"/>
    <w:rsid w:val="00586275"/>
    <w:rsid w:val="005862C2"/>
    <w:rsid w:val="005864BC"/>
    <w:rsid w:val="0058677C"/>
    <w:rsid w:val="005867E1"/>
    <w:rsid w:val="00586C98"/>
    <w:rsid w:val="00587043"/>
    <w:rsid w:val="00587F36"/>
    <w:rsid w:val="0059003F"/>
    <w:rsid w:val="005900CD"/>
    <w:rsid w:val="00590461"/>
    <w:rsid w:val="00590597"/>
    <w:rsid w:val="00590EF8"/>
    <w:rsid w:val="0059148F"/>
    <w:rsid w:val="00591E88"/>
    <w:rsid w:val="00592325"/>
    <w:rsid w:val="00592A57"/>
    <w:rsid w:val="00592A68"/>
    <w:rsid w:val="00592CD1"/>
    <w:rsid w:val="00593100"/>
    <w:rsid w:val="00593714"/>
    <w:rsid w:val="005937CB"/>
    <w:rsid w:val="00593982"/>
    <w:rsid w:val="00593DA3"/>
    <w:rsid w:val="005948B8"/>
    <w:rsid w:val="005948C0"/>
    <w:rsid w:val="00594B85"/>
    <w:rsid w:val="00594BC5"/>
    <w:rsid w:val="0059572D"/>
    <w:rsid w:val="005957B7"/>
    <w:rsid w:val="00595F5D"/>
    <w:rsid w:val="00595FF1"/>
    <w:rsid w:val="0059620D"/>
    <w:rsid w:val="0059623B"/>
    <w:rsid w:val="0059645F"/>
    <w:rsid w:val="005969E0"/>
    <w:rsid w:val="00596AB1"/>
    <w:rsid w:val="005971CD"/>
    <w:rsid w:val="00597390"/>
    <w:rsid w:val="00597430"/>
    <w:rsid w:val="0059787B"/>
    <w:rsid w:val="00597B3A"/>
    <w:rsid w:val="00597E6D"/>
    <w:rsid w:val="005A030E"/>
    <w:rsid w:val="005A0337"/>
    <w:rsid w:val="005A040E"/>
    <w:rsid w:val="005A0518"/>
    <w:rsid w:val="005A088F"/>
    <w:rsid w:val="005A0D63"/>
    <w:rsid w:val="005A0D9D"/>
    <w:rsid w:val="005A118D"/>
    <w:rsid w:val="005A18AE"/>
    <w:rsid w:val="005A2325"/>
    <w:rsid w:val="005A26C7"/>
    <w:rsid w:val="005A2992"/>
    <w:rsid w:val="005A2C72"/>
    <w:rsid w:val="005A2DB4"/>
    <w:rsid w:val="005A3767"/>
    <w:rsid w:val="005A394B"/>
    <w:rsid w:val="005A3D10"/>
    <w:rsid w:val="005A408F"/>
    <w:rsid w:val="005A41FD"/>
    <w:rsid w:val="005A4446"/>
    <w:rsid w:val="005A4C25"/>
    <w:rsid w:val="005A4C58"/>
    <w:rsid w:val="005A55A1"/>
    <w:rsid w:val="005A6086"/>
    <w:rsid w:val="005A6665"/>
    <w:rsid w:val="005A6D39"/>
    <w:rsid w:val="005A6E04"/>
    <w:rsid w:val="005A701B"/>
    <w:rsid w:val="005A710B"/>
    <w:rsid w:val="005A7235"/>
    <w:rsid w:val="005A72C5"/>
    <w:rsid w:val="005A75D2"/>
    <w:rsid w:val="005A7815"/>
    <w:rsid w:val="005A7CED"/>
    <w:rsid w:val="005B18AE"/>
    <w:rsid w:val="005B19F0"/>
    <w:rsid w:val="005B1F2E"/>
    <w:rsid w:val="005B20CE"/>
    <w:rsid w:val="005B217C"/>
    <w:rsid w:val="005B21DD"/>
    <w:rsid w:val="005B2D2D"/>
    <w:rsid w:val="005B2D96"/>
    <w:rsid w:val="005B2E92"/>
    <w:rsid w:val="005B363B"/>
    <w:rsid w:val="005B3649"/>
    <w:rsid w:val="005B36C4"/>
    <w:rsid w:val="005B3822"/>
    <w:rsid w:val="005B3A9C"/>
    <w:rsid w:val="005B3D0C"/>
    <w:rsid w:val="005B3FC5"/>
    <w:rsid w:val="005B4302"/>
    <w:rsid w:val="005B44B9"/>
    <w:rsid w:val="005B45DD"/>
    <w:rsid w:val="005B4C21"/>
    <w:rsid w:val="005B4DC7"/>
    <w:rsid w:val="005B4F76"/>
    <w:rsid w:val="005B54BB"/>
    <w:rsid w:val="005B59D3"/>
    <w:rsid w:val="005B5DA8"/>
    <w:rsid w:val="005B60A0"/>
    <w:rsid w:val="005B6577"/>
    <w:rsid w:val="005B79A3"/>
    <w:rsid w:val="005B7C33"/>
    <w:rsid w:val="005C0482"/>
    <w:rsid w:val="005C06EE"/>
    <w:rsid w:val="005C07A4"/>
    <w:rsid w:val="005C1142"/>
    <w:rsid w:val="005C14CA"/>
    <w:rsid w:val="005C153D"/>
    <w:rsid w:val="005C1804"/>
    <w:rsid w:val="005C1957"/>
    <w:rsid w:val="005C1A33"/>
    <w:rsid w:val="005C1A49"/>
    <w:rsid w:val="005C1D2F"/>
    <w:rsid w:val="005C1F7A"/>
    <w:rsid w:val="005C1FD2"/>
    <w:rsid w:val="005C228E"/>
    <w:rsid w:val="005C267D"/>
    <w:rsid w:val="005C2B21"/>
    <w:rsid w:val="005C2E9D"/>
    <w:rsid w:val="005C34C4"/>
    <w:rsid w:val="005C35B0"/>
    <w:rsid w:val="005C3C20"/>
    <w:rsid w:val="005C3E20"/>
    <w:rsid w:val="005C4059"/>
    <w:rsid w:val="005C43A5"/>
    <w:rsid w:val="005C46A2"/>
    <w:rsid w:val="005C4950"/>
    <w:rsid w:val="005C4E08"/>
    <w:rsid w:val="005C5135"/>
    <w:rsid w:val="005C5320"/>
    <w:rsid w:val="005C57F6"/>
    <w:rsid w:val="005C5807"/>
    <w:rsid w:val="005C5C65"/>
    <w:rsid w:val="005C62BB"/>
    <w:rsid w:val="005C6ABF"/>
    <w:rsid w:val="005C76D4"/>
    <w:rsid w:val="005C76F8"/>
    <w:rsid w:val="005C7816"/>
    <w:rsid w:val="005C7985"/>
    <w:rsid w:val="005C7C4F"/>
    <w:rsid w:val="005C7CA4"/>
    <w:rsid w:val="005C7E06"/>
    <w:rsid w:val="005D0084"/>
    <w:rsid w:val="005D00E5"/>
    <w:rsid w:val="005D0187"/>
    <w:rsid w:val="005D05D0"/>
    <w:rsid w:val="005D0920"/>
    <w:rsid w:val="005D0F15"/>
    <w:rsid w:val="005D15D2"/>
    <w:rsid w:val="005D2182"/>
    <w:rsid w:val="005D21AE"/>
    <w:rsid w:val="005D2227"/>
    <w:rsid w:val="005D23C9"/>
    <w:rsid w:val="005D260D"/>
    <w:rsid w:val="005D2968"/>
    <w:rsid w:val="005D2DB0"/>
    <w:rsid w:val="005D2FD0"/>
    <w:rsid w:val="005D3AA8"/>
    <w:rsid w:val="005D430C"/>
    <w:rsid w:val="005D4317"/>
    <w:rsid w:val="005D4398"/>
    <w:rsid w:val="005D43BA"/>
    <w:rsid w:val="005D44E9"/>
    <w:rsid w:val="005D4D62"/>
    <w:rsid w:val="005D4EE0"/>
    <w:rsid w:val="005D5B56"/>
    <w:rsid w:val="005D5DB2"/>
    <w:rsid w:val="005D638C"/>
    <w:rsid w:val="005D6658"/>
    <w:rsid w:val="005D7224"/>
    <w:rsid w:val="005D7366"/>
    <w:rsid w:val="005D748B"/>
    <w:rsid w:val="005D76E4"/>
    <w:rsid w:val="005D7ABD"/>
    <w:rsid w:val="005D7D49"/>
    <w:rsid w:val="005D7F89"/>
    <w:rsid w:val="005E0465"/>
    <w:rsid w:val="005E056C"/>
    <w:rsid w:val="005E069C"/>
    <w:rsid w:val="005E10EE"/>
    <w:rsid w:val="005E1231"/>
    <w:rsid w:val="005E1271"/>
    <w:rsid w:val="005E138A"/>
    <w:rsid w:val="005E15EC"/>
    <w:rsid w:val="005E2471"/>
    <w:rsid w:val="005E2C81"/>
    <w:rsid w:val="005E2D44"/>
    <w:rsid w:val="005E4054"/>
    <w:rsid w:val="005E4F2A"/>
    <w:rsid w:val="005E52C1"/>
    <w:rsid w:val="005E565E"/>
    <w:rsid w:val="005E568D"/>
    <w:rsid w:val="005E5769"/>
    <w:rsid w:val="005E65C3"/>
    <w:rsid w:val="005E6977"/>
    <w:rsid w:val="005E69DD"/>
    <w:rsid w:val="005E73B6"/>
    <w:rsid w:val="005E7732"/>
    <w:rsid w:val="005E7742"/>
    <w:rsid w:val="005E7D90"/>
    <w:rsid w:val="005E7DC0"/>
    <w:rsid w:val="005E7F61"/>
    <w:rsid w:val="005F0485"/>
    <w:rsid w:val="005F08AF"/>
    <w:rsid w:val="005F0E31"/>
    <w:rsid w:val="005F1324"/>
    <w:rsid w:val="005F1FFA"/>
    <w:rsid w:val="005F232B"/>
    <w:rsid w:val="005F2A3E"/>
    <w:rsid w:val="005F2B56"/>
    <w:rsid w:val="005F3097"/>
    <w:rsid w:val="005F3E99"/>
    <w:rsid w:val="005F46BD"/>
    <w:rsid w:val="005F4C85"/>
    <w:rsid w:val="005F55E7"/>
    <w:rsid w:val="005F5722"/>
    <w:rsid w:val="005F5E37"/>
    <w:rsid w:val="005F60ED"/>
    <w:rsid w:val="005F639E"/>
    <w:rsid w:val="005F64C1"/>
    <w:rsid w:val="005F65CE"/>
    <w:rsid w:val="005F69A6"/>
    <w:rsid w:val="005F6E81"/>
    <w:rsid w:val="005F7F7B"/>
    <w:rsid w:val="006002F8"/>
    <w:rsid w:val="006003B8"/>
    <w:rsid w:val="00600A4C"/>
    <w:rsid w:val="00601225"/>
    <w:rsid w:val="006015BB"/>
    <w:rsid w:val="0060164A"/>
    <w:rsid w:val="006017CC"/>
    <w:rsid w:val="00601FF2"/>
    <w:rsid w:val="00602438"/>
    <w:rsid w:val="00602467"/>
    <w:rsid w:val="00602645"/>
    <w:rsid w:val="00602B26"/>
    <w:rsid w:val="00602C22"/>
    <w:rsid w:val="00602C5D"/>
    <w:rsid w:val="00602E45"/>
    <w:rsid w:val="00602F58"/>
    <w:rsid w:val="00603133"/>
    <w:rsid w:val="006036FA"/>
    <w:rsid w:val="00603FCF"/>
    <w:rsid w:val="0060439C"/>
    <w:rsid w:val="00604E7E"/>
    <w:rsid w:val="006055F3"/>
    <w:rsid w:val="00605616"/>
    <w:rsid w:val="00605622"/>
    <w:rsid w:val="00605B1F"/>
    <w:rsid w:val="00605D8A"/>
    <w:rsid w:val="00606356"/>
    <w:rsid w:val="006063A4"/>
    <w:rsid w:val="006064AF"/>
    <w:rsid w:val="00606B5A"/>
    <w:rsid w:val="00606E65"/>
    <w:rsid w:val="00606E67"/>
    <w:rsid w:val="00606F9D"/>
    <w:rsid w:val="006070B0"/>
    <w:rsid w:val="00607312"/>
    <w:rsid w:val="006073D1"/>
    <w:rsid w:val="0060745C"/>
    <w:rsid w:val="006078D2"/>
    <w:rsid w:val="006078FC"/>
    <w:rsid w:val="00607A16"/>
    <w:rsid w:val="00607B68"/>
    <w:rsid w:val="00607E3D"/>
    <w:rsid w:val="00607EAF"/>
    <w:rsid w:val="006105D6"/>
    <w:rsid w:val="00610908"/>
    <w:rsid w:val="00610D5F"/>
    <w:rsid w:val="0061108C"/>
    <w:rsid w:val="006112E1"/>
    <w:rsid w:val="00611926"/>
    <w:rsid w:val="00611B9A"/>
    <w:rsid w:val="00611C83"/>
    <w:rsid w:val="00611D26"/>
    <w:rsid w:val="00611E01"/>
    <w:rsid w:val="00611E55"/>
    <w:rsid w:val="006121DD"/>
    <w:rsid w:val="0061254C"/>
    <w:rsid w:val="0061282D"/>
    <w:rsid w:val="00612967"/>
    <w:rsid w:val="00612D45"/>
    <w:rsid w:val="00612F74"/>
    <w:rsid w:val="006130A5"/>
    <w:rsid w:val="006131FB"/>
    <w:rsid w:val="0061340B"/>
    <w:rsid w:val="00613522"/>
    <w:rsid w:val="00613678"/>
    <w:rsid w:val="00613D04"/>
    <w:rsid w:val="00614142"/>
    <w:rsid w:val="00614158"/>
    <w:rsid w:val="00614D2C"/>
    <w:rsid w:val="00614F33"/>
    <w:rsid w:val="00615090"/>
    <w:rsid w:val="0061559A"/>
    <w:rsid w:val="00615CDA"/>
    <w:rsid w:val="00615DC8"/>
    <w:rsid w:val="00615E74"/>
    <w:rsid w:val="00615EFC"/>
    <w:rsid w:val="00615F0D"/>
    <w:rsid w:val="00615F22"/>
    <w:rsid w:val="00615FF6"/>
    <w:rsid w:val="00616308"/>
    <w:rsid w:val="006167EC"/>
    <w:rsid w:val="00616990"/>
    <w:rsid w:val="00616CDC"/>
    <w:rsid w:val="00617208"/>
    <w:rsid w:val="00617271"/>
    <w:rsid w:val="006172CF"/>
    <w:rsid w:val="00617A0C"/>
    <w:rsid w:val="00617C93"/>
    <w:rsid w:val="00617CB1"/>
    <w:rsid w:val="00617F2A"/>
    <w:rsid w:val="006200B5"/>
    <w:rsid w:val="006200EA"/>
    <w:rsid w:val="00620116"/>
    <w:rsid w:val="0062027F"/>
    <w:rsid w:val="006207A3"/>
    <w:rsid w:val="00620D75"/>
    <w:rsid w:val="0062136C"/>
    <w:rsid w:val="00621C8E"/>
    <w:rsid w:val="0062276A"/>
    <w:rsid w:val="00622A84"/>
    <w:rsid w:val="00622BB7"/>
    <w:rsid w:val="00622ECA"/>
    <w:rsid w:val="006233B5"/>
    <w:rsid w:val="00623446"/>
    <w:rsid w:val="00623C6A"/>
    <w:rsid w:val="00623EAA"/>
    <w:rsid w:val="00624051"/>
    <w:rsid w:val="006243B9"/>
    <w:rsid w:val="006245BE"/>
    <w:rsid w:val="006245D6"/>
    <w:rsid w:val="006246ED"/>
    <w:rsid w:val="0062477F"/>
    <w:rsid w:val="00624CFD"/>
    <w:rsid w:val="00624E7E"/>
    <w:rsid w:val="006252B9"/>
    <w:rsid w:val="00625415"/>
    <w:rsid w:val="006255BD"/>
    <w:rsid w:val="00625C52"/>
    <w:rsid w:val="00625D36"/>
    <w:rsid w:val="0062617E"/>
    <w:rsid w:val="006263BF"/>
    <w:rsid w:val="0062675C"/>
    <w:rsid w:val="0062696B"/>
    <w:rsid w:val="006272C8"/>
    <w:rsid w:val="00627401"/>
    <w:rsid w:val="00627512"/>
    <w:rsid w:val="006276C5"/>
    <w:rsid w:val="0062790D"/>
    <w:rsid w:val="00627F5F"/>
    <w:rsid w:val="006309D6"/>
    <w:rsid w:val="00630A4F"/>
    <w:rsid w:val="00630B9A"/>
    <w:rsid w:val="00630CDF"/>
    <w:rsid w:val="00631814"/>
    <w:rsid w:val="00631D3E"/>
    <w:rsid w:val="00632327"/>
    <w:rsid w:val="00632957"/>
    <w:rsid w:val="00632AFB"/>
    <w:rsid w:val="00632F6A"/>
    <w:rsid w:val="00633516"/>
    <w:rsid w:val="00633849"/>
    <w:rsid w:val="00633F20"/>
    <w:rsid w:val="0063406A"/>
    <w:rsid w:val="0063460D"/>
    <w:rsid w:val="006346A0"/>
    <w:rsid w:val="006348DB"/>
    <w:rsid w:val="006349FE"/>
    <w:rsid w:val="00635326"/>
    <w:rsid w:val="0063533D"/>
    <w:rsid w:val="00635A9B"/>
    <w:rsid w:val="00635E45"/>
    <w:rsid w:val="006364AE"/>
    <w:rsid w:val="00636A8D"/>
    <w:rsid w:val="00636ABD"/>
    <w:rsid w:val="00637AA8"/>
    <w:rsid w:val="00637ACC"/>
    <w:rsid w:val="00637EDF"/>
    <w:rsid w:val="00640D9D"/>
    <w:rsid w:val="00641119"/>
    <w:rsid w:val="00641947"/>
    <w:rsid w:val="00641A6A"/>
    <w:rsid w:val="00641BD1"/>
    <w:rsid w:val="0064220E"/>
    <w:rsid w:val="00642375"/>
    <w:rsid w:val="00642740"/>
    <w:rsid w:val="00642949"/>
    <w:rsid w:val="006434DA"/>
    <w:rsid w:val="00643CC2"/>
    <w:rsid w:val="00643EF7"/>
    <w:rsid w:val="00643FEF"/>
    <w:rsid w:val="006444D0"/>
    <w:rsid w:val="00644C8D"/>
    <w:rsid w:val="0064522F"/>
    <w:rsid w:val="006452BA"/>
    <w:rsid w:val="0064573B"/>
    <w:rsid w:val="006459B0"/>
    <w:rsid w:val="00645AC1"/>
    <w:rsid w:val="00645CDD"/>
    <w:rsid w:val="0064650D"/>
    <w:rsid w:val="00646819"/>
    <w:rsid w:val="006469D1"/>
    <w:rsid w:val="00646A47"/>
    <w:rsid w:val="0065004D"/>
    <w:rsid w:val="0065005E"/>
    <w:rsid w:val="006502E8"/>
    <w:rsid w:val="006505EB"/>
    <w:rsid w:val="00650ADA"/>
    <w:rsid w:val="00650D59"/>
    <w:rsid w:val="006511CB"/>
    <w:rsid w:val="0065162E"/>
    <w:rsid w:val="0065174F"/>
    <w:rsid w:val="006519EC"/>
    <w:rsid w:val="00651BA5"/>
    <w:rsid w:val="00651C8F"/>
    <w:rsid w:val="00651D15"/>
    <w:rsid w:val="006520DB"/>
    <w:rsid w:val="0065216C"/>
    <w:rsid w:val="00652812"/>
    <w:rsid w:val="00652A7A"/>
    <w:rsid w:val="00652B71"/>
    <w:rsid w:val="00652C6B"/>
    <w:rsid w:val="00652CBC"/>
    <w:rsid w:val="00652D91"/>
    <w:rsid w:val="00652EF3"/>
    <w:rsid w:val="0065308B"/>
    <w:rsid w:val="00653746"/>
    <w:rsid w:val="00653B84"/>
    <w:rsid w:val="00653C50"/>
    <w:rsid w:val="00653F29"/>
    <w:rsid w:val="006542B9"/>
    <w:rsid w:val="0065463F"/>
    <w:rsid w:val="00654B6E"/>
    <w:rsid w:val="00655399"/>
    <w:rsid w:val="00655BD7"/>
    <w:rsid w:val="00655C51"/>
    <w:rsid w:val="006566FA"/>
    <w:rsid w:val="00656728"/>
    <w:rsid w:val="006568E9"/>
    <w:rsid w:val="00656900"/>
    <w:rsid w:val="00656A5A"/>
    <w:rsid w:val="00656BB0"/>
    <w:rsid w:val="00656BD4"/>
    <w:rsid w:val="00656C0B"/>
    <w:rsid w:val="0065718E"/>
    <w:rsid w:val="00657359"/>
    <w:rsid w:val="00657513"/>
    <w:rsid w:val="0065767F"/>
    <w:rsid w:val="0065784E"/>
    <w:rsid w:val="006604C9"/>
    <w:rsid w:val="00660597"/>
    <w:rsid w:val="006609DE"/>
    <w:rsid w:val="00662023"/>
    <w:rsid w:val="006626A4"/>
    <w:rsid w:val="00662AD4"/>
    <w:rsid w:val="00663109"/>
    <w:rsid w:val="0066336B"/>
    <w:rsid w:val="00663523"/>
    <w:rsid w:val="0066383D"/>
    <w:rsid w:val="00663B2D"/>
    <w:rsid w:val="00663C42"/>
    <w:rsid w:val="00663E36"/>
    <w:rsid w:val="006643CE"/>
    <w:rsid w:val="0066487D"/>
    <w:rsid w:val="00664E7A"/>
    <w:rsid w:val="00664FC6"/>
    <w:rsid w:val="0066512A"/>
    <w:rsid w:val="00665741"/>
    <w:rsid w:val="00665CA0"/>
    <w:rsid w:val="00665DCE"/>
    <w:rsid w:val="00666AD1"/>
    <w:rsid w:val="00666B06"/>
    <w:rsid w:val="00666F49"/>
    <w:rsid w:val="006670AD"/>
    <w:rsid w:val="006672C3"/>
    <w:rsid w:val="00667335"/>
    <w:rsid w:val="006675DA"/>
    <w:rsid w:val="00667787"/>
    <w:rsid w:val="006677B3"/>
    <w:rsid w:val="00667B0B"/>
    <w:rsid w:val="0067007B"/>
    <w:rsid w:val="00670130"/>
    <w:rsid w:val="00670288"/>
    <w:rsid w:val="00670649"/>
    <w:rsid w:val="00670CD1"/>
    <w:rsid w:val="00670FC0"/>
    <w:rsid w:val="00670FDF"/>
    <w:rsid w:val="006710A8"/>
    <w:rsid w:val="00671378"/>
    <w:rsid w:val="00671A39"/>
    <w:rsid w:val="00671FD2"/>
    <w:rsid w:val="00672366"/>
    <w:rsid w:val="00672AAA"/>
    <w:rsid w:val="00672B75"/>
    <w:rsid w:val="00672E8A"/>
    <w:rsid w:val="00673365"/>
    <w:rsid w:val="006734EC"/>
    <w:rsid w:val="00673555"/>
    <w:rsid w:val="00673945"/>
    <w:rsid w:val="006743AE"/>
    <w:rsid w:val="00674452"/>
    <w:rsid w:val="00674C39"/>
    <w:rsid w:val="00674D64"/>
    <w:rsid w:val="0067511C"/>
    <w:rsid w:val="0067511D"/>
    <w:rsid w:val="0067517F"/>
    <w:rsid w:val="006758BB"/>
    <w:rsid w:val="00675CCC"/>
    <w:rsid w:val="00675D17"/>
    <w:rsid w:val="006761FD"/>
    <w:rsid w:val="00676343"/>
    <w:rsid w:val="00676347"/>
    <w:rsid w:val="00676387"/>
    <w:rsid w:val="00676989"/>
    <w:rsid w:val="00676AB3"/>
    <w:rsid w:val="00676E4D"/>
    <w:rsid w:val="0067712E"/>
    <w:rsid w:val="00677373"/>
    <w:rsid w:val="00677720"/>
    <w:rsid w:val="00677860"/>
    <w:rsid w:val="006779D2"/>
    <w:rsid w:val="00677A45"/>
    <w:rsid w:val="00677FB8"/>
    <w:rsid w:val="006801F4"/>
    <w:rsid w:val="00680354"/>
    <w:rsid w:val="00680A46"/>
    <w:rsid w:val="00680BA9"/>
    <w:rsid w:val="00681103"/>
    <w:rsid w:val="006812C7"/>
    <w:rsid w:val="00681495"/>
    <w:rsid w:val="00681F0D"/>
    <w:rsid w:val="006828A9"/>
    <w:rsid w:val="0068307A"/>
    <w:rsid w:val="00683080"/>
    <w:rsid w:val="00683126"/>
    <w:rsid w:val="00683604"/>
    <w:rsid w:val="006839F9"/>
    <w:rsid w:val="006840E9"/>
    <w:rsid w:val="00684442"/>
    <w:rsid w:val="00684669"/>
    <w:rsid w:val="0068467B"/>
    <w:rsid w:val="00684A1B"/>
    <w:rsid w:val="00684C23"/>
    <w:rsid w:val="00684C64"/>
    <w:rsid w:val="00684D2F"/>
    <w:rsid w:val="00684DCF"/>
    <w:rsid w:val="00684EA0"/>
    <w:rsid w:val="006852EB"/>
    <w:rsid w:val="0068546A"/>
    <w:rsid w:val="0068595C"/>
    <w:rsid w:val="00685D1E"/>
    <w:rsid w:val="006867BE"/>
    <w:rsid w:val="006869EA"/>
    <w:rsid w:val="00687679"/>
    <w:rsid w:val="00687826"/>
    <w:rsid w:val="00687AC4"/>
    <w:rsid w:val="00687FB6"/>
    <w:rsid w:val="006900C7"/>
    <w:rsid w:val="00690729"/>
    <w:rsid w:val="00690BFF"/>
    <w:rsid w:val="00690DF3"/>
    <w:rsid w:val="006912CD"/>
    <w:rsid w:val="0069165F"/>
    <w:rsid w:val="0069171F"/>
    <w:rsid w:val="006920A6"/>
    <w:rsid w:val="0069267E"/>
    <w:rsid w:val="00692917"/>
    <w:rsid w:val="006929E7"/>
    <w:rsid w:val="00693001"/>
    <w:rsid w:val="00693872"/>
    <w:rsid w:val="00695022"/>
    <w:rsid w:val="006954F1"/>
    <w:rsid w:val="00695F7D"/>
    <w:rsid w:val="00695FE3"/>
    <w:rsid w:val="00696180"/>
    <w:rsid w:val="0069639A"/>
    <w:rsid w:val="00696D69"/>
    <w:rsid w:val="006971F5"/>
    <w:rsid w:val="006974B8"/>
    <w:rsid w:val="0069767E"/>
    <w:rsid w:val="006978D3"/>
    <w:rsid w:val="00697BE9"/>
    <w:rsid w:val="00697DA1"/>
    <w:rsid w:val="00697F60"/>
    <w:rsid w:val="006A04A4"/>
    <w:rsid w:val="006A0632"/>
    <w:rsid w:val="006A092F"/>
    <w:rsid w:val="006A17F2"/>
    <w:rsid w:val="006A1A04"/>
    <w:rsid w:val="006A1BB6"/>
    <w:rsid w:val="006A1BCC"/>
    <w:rsid w:val="006A1E52"/>
    <w:rsid w:val="006A2073"/>
    <w:rsid w:val="006A2723"/>
    <w:rsid w:val="006A2C81"/>
    <w:rsid w:val="006A2E69"/>
    <w:rsid w:val="006A2FEC"/>
    <w:rsid w:val="006A319E"/>
    <w:rsid w:val="006A3362"/>
    <w:rsid w:val="006A372D"/>
    <w:rsid w:val="006A3A46"/>
    <w:rsid w:val="006A4BC8"/>
    <w:rsid w:val="006A4BE8"/>
    <w:rsid w:val="006A51D0"/>
    <w:rsid w:val="006A6486"/>
    <w:rsid w:val="006A667E"/>
    <w:rsid w:val="006A6FBC"/>
    <w:rsid w:val="006A72B7"/>
    <w:rsid w:val="006A73F8"/>
    <w:rsid w:val="006A7EC1"/>
    <w:rsid w:val="006B0099"/>
    <w:rsid w:val="006B01C2"/>
    <w:rsid w:val="006B08A4"/>
    <w:rsid w:val="006B1FA3"/>
    <w:rsid w:val="006B2159"/>
    <w:rsid w:val="006B216C"/>
    <w:rsid w:val="006B2352"/>
    <w:rsid w:val="006B25D5"/>
    <w:rsid w:val="006B28DB"/>
    <w:rsid w:val="006B295E"/>
    <w:rsid w:val="006B2D99"/>
    <w:rsid w:val="006B2EC5"/>
    <w:rsid w:val="006B3049"/>
    <w:rsid w:val="006B32A2"/>
    <w:rsid w:val="006B38A4"/>
    <w:rsid w:val="006B39DB"/>
    <w:rsid w:val="006B3C0C"/>
    <w:rsid w:val="006B420D"/>
    <w:rsid w:val="006B4264"/>
    <w:rsid w:val="006B45D7"/>
    <w:rsid w:val="006B48C9"/>
    <w:rsid w:val="006B4C4F"/>
    <w:rsid w:val="006B51B8"/>
    <w:rsid w:val="006B5612"/>
    <w:rsid w:val="006B5A39"/>
    <w:rsid w:val="006B5C6F"/>
    <w:rsid w:val="006B5C97"/>
    <w:rsid w:val="006B63C1"/>
    <w:rsid w:val="006B693B"/>
    <w:rsid w:val="006B7520"/>
    <w:rsid w:val="006B7580"/>
    <w:rsid w:val="006B7748"/>
    <w:rsid w:val="006B7BB9"/>
    <w:rsid w:val="006B7C15"/>
    <w:rsid w:val="006C004C"/>
    <w:rsid w:val="006C009F"/>
    <w:rsid w:val="006C0680"/>
    <w:rsid w:val="006C0975"/>
    <w:rsid w:val="006C0DAE"/>
    <w:rsid w:val="006C10B6"/>
    <w:rsid w:val="006C172C"/>
    <w:rsid w:val="006C1DF1"/>
    <w:rsid w:val="006C23CA"/>
    <w:rsid w:val="006C2444"/>
    <w:rsid w:val="006C2A96"/>
    <w:rsid w:val="006C2BC1"/>
    <w:rsid w:val="006C2ECE"/>
    <w:rsid w:val="006C3187"/>
    <w:rsid w:val="006C32EA"/>
    <w:rsid w:val="006C3367"/>
    <w:rsid w:val="006C33D1"/>
    <w:rsid w:val="006C360E"/>
    <w:rsid w:val="006C3816"/>
    <w:rsid w:val="006C3C4D"/>
    <w:rsid w:val="006C3C52"/>
    <w:rsid w:val="006C43DA"/>
    <w:rsid w:val="006C48EF"/>
    <w:rsid w:val="006C54AE"/>
    <w:rsid w:val="006C5657"/>
    <w:rsid w:val="006C5864"/>
    <w:rsid w:val="006C58F3"/>
    <w:rsid w:val="006C5A09"/>
    <w:rsid w:val="006C679D"/>
    <w:rsid w:val="006C6E5F"/>
    <w:rsid w:val="006C744B"/>
    <w:rsid w:val="006C768C"/>
    <w:rsid w:val="006C7943"/>
    <w:rsid w:val="006C7A71"/>
    <w:rsid w:val="006C7C44"/>
    <w:rsid w:val="006D03F3"/>
    <w:rsid w:val="006D0509"/>
    <w:rsid w:val="006D08E9"/>
    <w:rsid w:val="006D0AF6"/>
    <w:rsid w:val="006D1ECE"/>
    <w:rsid w:val="006D23B3"/>
    <w:rsid w:val="006D23F3"/>
    <w:rsid w:val="006D2450"/>
    <w:rsid w:val="006D25A3"/>
    <w:rsid w:val="006D2968"/>
    <w:rsid w:val="006D2990"/>
    <w:rsid w:val="006D2E6F"/>
    <w:rsid w:val="006D36D7"/>
    <w:rsid w:val="006D3A83"/>
    <w:rsid w:val="006D3AC7"/>
    <w:rsid w:val="006D3C17"/>
    <w:rsid w:val="006D3D3C"/>
    <w:rsid w:val="006D3D4F"/>
    <w:rsid w:val="006D3E73"/>
    <w:rsid w:val="006D40C7"/>
    <w:rsid w:val="006D41E6"/>
    <w:rsid w:val="006D4EC9"/>
    <w:rsid w:val="006D552C"/>
    <w:rsid w:val="006D57BE"/>
    <w:rsid w:val="006D5930"/>
    <w:rsid w:val="006D599A"/>
    <w:rsid w:val="006D5B3F"/>
    <w:rsid w:val="006D5B9C"/>
    <w:rsid w:val="006D6823"/>
    <w:rsid w:val="006D697A"/>
    <w:rsid w:val="006D6A81"/>
    <w:rsid w:val="006D6C39"/>
    <w:rsid w:val="006D6C68"/>
    <w:rsid w:val="006D6CB3"/>
    <w:rsid w:val="006D6DA1"/>
    <w:rsid w:val="006D70E3"/>
    <w:rsid w:val="006D72C8"/>
    <w:rsid w:val="006D76E9"/>
    <w:rsid w:val="006D7E58"/>
    <w:rsid w:val="006D7FAD"/>
    <w:rsid w:val="006E0879"/>
    <w:rsid w:val="006E0EBB"/>
    <w:rsid w:val="006E114F"/>
    <w:rsid w:val="006E1161"/>
    <w:rsid w:val="006E1228"/>
    <w:rsid w:val="006E1285"/>
    <w:rsid w:val="006E1488"/>
    <w:rsid w:val="006E1ACD"/>
    <w:rsid w:val="006E1D16"/>
    <w:rsid w:val="006E1DD2"/>
    <w:rsid w:val="006E23A6"/>
    <w:rsid w:val="006E29FC"/>
    <w:rsid w:val="006E2CDE"/>
    <w:rsid w:val="006E2EB2"/>
    <w:rsid w:val="006E2FBD"/>
    <w:rsid w:val="006E325D"/>
    <w:rsid w:val="006E3673"/>
    <w:rsid w:val="006E38ED"/>
    <w:rsid w:val="006E3CEF"/>
    <w:rsid w:val="006E4288"/>
    <w:rsid w:val="006E4EBE"/>
    <w:rsid w:val="006E502F"/>
    <w:rsid w:val="006E5808"/>
    <w:rsid w:val="006E5D1E"/>
    <w:rsid w:val="006E5DFC"/>
    <w:rsid w:val="006E5F82"/>
    <w:rsid w:val="006E622E"/>
    <w:rsid w:val="006E62C2"/>
    <w:rsid w:val="006E6315"/>
    <w:rsid w:val="006E68E9"/>
    <w:rsid w:val="006E6A69"/>
    <w:rsid w:val="006E6E78"/>
    <w:rsid w:val="006E778C"/>
    <w:rsid w:val="006E7EA3"/>
    <w:rsid w:val="006E7EB8"/>
    <w:rsid w:val="006F06CF"/>
    <w:rsid w:val="006F0735"/>
    <w:rsid w:val="006F1627"/>
    <w:rsid w:val="006F16E3"/>
    <w:rsid w:val="006F1DE4"/>
    <w:rsid w:val="006F2967"/>
    <w:rsid w:val="006F2991"/>
    <w:rsid w:val="006F2C90"/>
    <w:rsid w:val="006F36E8"/>
    <w:rsid w:val="006F375E"/>
    <w:rsid w:val="006F4193"/>
    <w:rsid w:val="006F4235"/>
    <w:rsid w:val="006F423C"/>
    <w:rsid w:val="006F4288"/>
    <w:rsid w:val="006F4291"/>
    <w:rsid w:val="006F4353"/>
    <w:rsid w:val="006F4494"/>
    <w:rsid w:val="006F460C"/>
    <w:rsid w:val="006F4998"/>
    <w:rsid w:val="006F5151"/>
    <w:rsid w:val="006F55F0"/>
    <w:rsid w:val="006F569A"/>
    <w:rsid w:val="006F5F85"/>
    <w:rsid w:val="006F6A05"/>
    <w:rsid w:val="006F6CF9"/>
    <w:rsid w:val="006F6D06"/>
    <w:rsid w:val="006F6D8E"/>
    <w:rsid w:val="006F6DFD"/>
    <w:rsid w:val="006F7018"/>
    <w:rsid w:val="006F76EF"/>
    <w:rsid w:val="006F77AE"/>
    <w:rsid w:val="006F7871"/>
    <w:rsid w:val="006F7CAD"/>
    <w:rsid w:val="006F7E7E"/>
    <w:rsid w:val="0070010A"/>
    <w:rsid w:val="00700136"/>
    <w:rsid w:val="0070013F"/>
    <w:rsid w:val="0070025A"/>
    <w:rsid w:val="0070029D"/>
    <w:rsid w:val="007002CC"/>
    <w:rsid w:val="007003A8"/>
    <w:rsid w:val="00700733"/>
    <w:rsid w:val="00700911"/>
    <w:rsid w:val="00700C14"/>
    <w:rsid w:val="00700E1E"/>
    <w:rsid w:val="00700EB8"/>
    <w:rsid w:val="007011A0"/>
    <w:rsid w:val="00701287"/>
    <w:rsid w:val="007017AF"/>
    <w:rsid w:val="0070182C"/>
    <w:rsid w:val="00701AD2"/>
    <w:rsid w:val="00701CB4"/>
    <w:rsid w:val="00701D6C"/>
    <w:rsid w:val="00702CA6"/>
    <w:rsid w:val="00702CB4"/>
    <w:rsid w:val="00702DC8"/>
    <w:rsid w:val="0070348E"/>
    <w:rsid w:val="00703716"/>
    <w:rsid w:val="00703839"/>
    <w:rsid w:val="00703B3E"/>
    <w:rsid w:val="00704063"/>
    <w:rsid w:val="00704C09"/>
    <w:rsid w:val="00704CCA"/>
    <w:rsid w:val="007050EC"/>
    <w:rsid w:val="0070548C"/>
    <w:rsid w:val="007054DB"/>
    <w:rsid w:val="00705ADB"/>
    <w:rsid w:val="00705D92"/>
    <w:rsid w:val="007061AF"/>
    <w:rsid w:val="00706EDE"/>
    <w:rsid w:val="00707013"/>
    <w:rsid w:val="007076F8"/>
    <w:rsid w:val="00710042"/>
    <w:rsid w:val="007100DE"/>
    <w:rsid w:val="00710A1B"/>
    <w:rsid w:val="00711348"/>
    <w:rsid w:val="0071139A"/>
    <w:rsid w:val="00711743"/>
    <w:rsid w:val="0071185C"/>
    <w:rsid w:val="00711A6E"/>
    <w:rsid w:val="00711B40"/>
    <w:rsid w:val="00711D8E"/>
    <w:rsid w:val="00711EA8"/>
    <w:rsid w:val="007120B0"/>
    <w:rsid w:val="007120D8"/>
    <w:rsid w:val="00712946"/>
    <w:rsid w:val="007132E5"/>
    <w:rsid w:val="0071348A"/>
    <w:rsid w:val="007138D3"/>
    <w:rsid w:val="007141D0"/>
    <w:rsid w:val="00714643"/>
    <w:rsid w:val="00714C07"/>
    <w:rsid w:val="00714C6B"/>
    <w:rsid w:val="00714FE2"/>
    <w:rsid w:val="00715585"/>
    <w:rsid w:val="00715DF1"/>
    <w:rsid w:val="00716153"/>
    <w:rsid w:val="007162FB"/>
    <w:rsid w:val="007166A2"/>
    <w:rsid w:val="007166A9"/>
    <w:rsid w:val="00716895"/>
    <w:rsid w:val="007169B8"/>
    <w:rsid w:val="007172A6"/>
    <w:rsid w:val="00717515"/>
    <w:rsid w:val="0071783B"/>
    <w:rsid w:val="0071798A"/>
    <w:rsid w:val="00717FE3"/>
    <w:rsid w:val="0072026F"/>
    <w:rsid w:val="007203A2"/>
    <w:rsid w:val="007208E1"/>
    <w:rsid w:val="007210E3"/>
    <w:rsid w:val="0072119D"/>
    <w:rsid w:val="007211C6"/>
    <w:rsid w:val="007211F7"/>
    <w:rsid w:val="007215F7"/>
    <w:rsid w:val="0072178B"/>
    <w:rsid w:val="007219FC"/>
    <w:rsid w:val="00721C0A"/>
    <w:rsid w:val="007220E3"/>
    <w:rsid w:val="00722B57"/>
    <w:rsid w:val="00723422"/>
    <w:rsid w:val="007238DA"/>
    <w:rsid w:val="007239A9"/>
    <w:rsid w:val="00724785"/>
    <w:rsid w:val="007248CB"/>
    <w:rsid w:val="0072490D"/>
    <w:rsid w:val="007254AC"/>
    <w:rsid w:val="00725C36"/>
    <w:rsid w:val="00725E01"/>
    <w:rsid w:val="0072613A"/>
    <w:rsid w:val="00726CB5"/>
    <w:rsid w:val="00726FA3"/>
    <w:rsid w:val="0072710C"/>
    <w:rsid w:val="007275EF"/>
    <w:rsid w:val="0072760D"/>
    <w:rsid w:val="00727615"/>
    <w:rsid w:val="007277E0"/>
    <w:rsid w:val="00727A58"/>
    <w:rsid w:val="00727CA9"/>
    <w:rsid w:val="00730093"/>
    <w:rsid w:val="007303E0"/>
    <w:rsid w:val="007308AE"/>
    <w:rsid w:val="00730C58"/>
    <w:rsid w:val="00730F7B"/>
    <w:rsid w:val="00731025"/>
    <w:rsid w:val="007310D9"/>
    <w:rsid w:val="0073131A"/>
    <w:rsid w:val="00731745"/>
    <w:rsid w:val="00731A71"/>
    <w:rsid w:val="00731BE8"/>
    <w:rsid w:val="0073208B"/>
    <w:rsid w:val="0073297F"/>
    <w:rsid w:val="00732B2C"/>
    <w:rsid w:val="00732C90"/>
    <w:rsid w:val="00732CEB"/>
    <w:rsid w:val="00732FB0"/>
    <w:rsid w:val="00733991"/>
    <w:rsid w:val="007339AE"/>
    <w:rsid w:val="007339DD"/>
    <w:rsid w:val="007343CB"/>
    <w:rsid w:val="00734486"/>
    <w:rsid w:val="0073448A"/>
    <w:rsid w:val="007347D9"/>
    <w:rsid w:val="00736001"/>
    <w:rsid w:val="007361C9"/>
    <w:rsid w:val="007364BF"/>
    <w:rsid w:val="0073654D"/>
    <w:rsid w:val="00736A7D"/>
    <w:rsid w:val="00736BCC"/>
    <w:rsid w:val="00736EA6"/>
    <w:rsid w:val="0073718E"/>
    <w:rsid w:val="007375E5"/>
    <w:rsid w:val="00737A1C"/>
    <w:rsid w:val="00737F36"/>
    <w:rsid w:val="00740316"/>
    <w:rsid w:val="00740470"/>
    <w:rsid w:val="00740AF3"/>
    <w:rsid w:val="00740E5A"/>
    <w:rsid w:val="00740EFD"/>
    <w:rsid w:val="00741019"/>
    <w:rsid w:val="007414C4"/>
    <w:rsid w:val="00741992"/>
    <w:rsid w:val="00741A59"/>
    <w:rsid w:val="00741BB4"/>
    <w:rsid w:val="00741CCF"/>
    <w:rsid w:val="00742028"/>
    <w:rsid w:val="0074279C"/>
    <w:rsid w:val="007428E0"/>
    <w:rsid w:val="00742950"/>
    <w:rsid w:val="00742952"/>
    <w:rsid w:val="00742ABC"/>
    <w:rsid w:val="00742B06"/>
    <w:rsid w:val="0074315A"/>
    <w:rsid w:val="00743DCA"/>
    <w:rsid w:val="00744283"/>
    <w:rsid w:val="00744670"/>
    <w:rsid w:val="00744786"/>
    <w:rsid w:val="007447C6"/>
    <w:rsid w:val="00744E99"/>
    <w:rsid w:val="00745CF0"/>
    <w:rsid w:val="00746421"/>
    <w:rsid w:val="00746A27"/>
    <w:rsid w:val="007473AA"/>
    <w:rsid w:val="00747A42"/>
    <w:rsid w:val="00747A92"/>
    <w:rsid w:val="00747B87"/>
    <w:rsid w:val="00750076"/>
    <w:rsid w:val="0075040C"/>
    <w:rsid w:val="00750A4F"/>
    <w:rsid w:val="00750EBE"/>
    <w:rsid w:val="00751223"/>
    <w:rsid w:val="00751343"/>
    <w:rsid w:val="00751CAC"/>
    <w:rsid w:val="00752561"/>
    <w:rsid w:val="00752811"/>
    <w:rsid w:val="007530F6"/>
    <w:rsid w:val="0075345C"/>
    <w:rsid w:val="00753781"/>
    <w:rsid w:val="00753EB9"/>
    <w:rsid w:val="00753EBE"/>
    <w:rsid w:val="007552F6"/>
    <w:rsid w:val="007559B1"/>
    <w:rsid w:val="00755DB3"/>
    <w:rsid w:val="00755F8D"/>
    <w:rsid w:val="0075616C"/>
    <w:rsid w:val="00756417"/>
    <w:rsid w:val="00756443"/>
    <w:rsid w:val="00756EE0"/>
    <w:rsid w:val="007578CA"/>
    <w:rsid w:val="0075795C"/>
    <w:rsid w:val="00757E1C"/>
    <w:rsid w:val="007604A5"/>
    <w:rsid w:val="007609AF"/>
    <w:rsid w:val="00760B77"/>
    <w:rsid w:val="00760CF5"/>
    <w:rsid w:val="00761261"/>
    <w:rsid w:val="007615BE"/>
    <w:rsid w:val="00762262"/>
    <w:rsid w:val="00762B8E"/>
    <w:rsid w:val="00762C9A"/>
    <w:rsid w:val="007631C4"/>
    <w:rsid w:val="00763617"/>
    <w:rsid w:val="00763706"/>
    <w:rsid w:val="00763B47"/>
    <w:rsid w:val="00763CA2"/>
    <w:rsid w:val="00763EC9"/>
    <w:rsid w:val="0076438B"/>
    <w:rsid w:val="007646F6"/>
    <w:rsid w:val="00764D2D"/>
    <w:rsid w:val="007650A2"/>
    <w:rsid w:val="0076594A"/>
    <w:rsid w:val="00765CE1"/>
    <w:rsid w:val="00766132"/>
    <w:rsid w:val="007663CD"/>
    <w:rsid w:val="007665F5"/>
    <w:rsid w:val="007666FB"/>
    <w:rsid w:val="00766902"/>
    <w:rsid w:val="00766DAE"/>
    <w:rsid w:val="007671EE"/>
    <w:rsid w:val="0076731F"/>
    <w:rsid w:val="007674BF"/>
    <w:rsid w:val="00767B25"/>
    <w:rsid w:val="00767BD9"/>
    <w:rsid w:val="00767CD5"/>
    <w:rsid w:val="00767D3C"/>
    <w:rsid w:val="00767E5C"/>
    <w:rsid w:val="00770CEB"/>
    <w:rsid w:val="00771717"/>
    <w:rsid w:val="007717CE"/>
    <w:rsid w:val="00771C45"/>
    <w:rsid w:val="00771CB9"/>
    <w:rsid w:val="00771CE2"/>
    <w:rsid w:val="00771D6D"/>
    <w:rsid w:val="00771E5A"/>
    <w:rsid w:val="00772164"/>
    <w:rsid w:val="007721DC"/>
    <w:rsid w:val="00772631"/>
    <w:rsid w:val="00772BCF"/>
    <w:rsid w:val="007731C6"/>
    <w:rsid w:val="00773450"/>
    <w:rsid w:val="007735FD"/>
    <w:rsid w:val="0077391D"/>
    <w:rsid w:val="00773F48"/>
    <w:rsid w:val="007741BC"/>
    <w:rsid w:val="00774420"/>
    <w:rsid w:val="007744F5"/>
    <w:rsid w:val="0077457F"/>
    <w:rsid w:val="00774F94"/>
    <w:rsid w:val="007750E8"/>
    <w:rsid w:val="00775383"/>
    <w:rsid w:val="007755B5"/>
    <w:rsid w:val="00775BF7"/>
    <w:rsid w:val="00775DA1"/>
    <w:rsid w:val="00776BDC"/>
    <w:rsid w:val="0077708A"/>
    <w:rsid w:val="007771A8"/>
    <w:rsid w:val="007776C5"/>
    <w:rsid w:val="00777BC3"/>
    <w:rsid w:val="00777FC3"/>
    <w:rsid w:val="00780577"/>
    <w:rsid w:val="0078083D"/>
    <w:rsid w:val="00780B06"/>
    <w:rsid w:val="00780FFD"/>
    <w:rsid w:val="007818B4"/>
    <w:rsid w:val="007818EF"/>
    <w:rsid w:val="00781C6B"/>
    <w:rsid w:val="00782312"/>
    <w:rsid w:val="007823DE"/>
    <w:rsid w:val="00782552"/>
    <w:rsid w:val="007827B3"/>
    <w:rsid w:val="00783625"/>
    <w:rsid w:val="00783850"/>
    <w:rsid w:val="00783852"/>
    <w:rsid w:val="00783BE6"/>
    <w:rsid w:val="00783D56"/>
    <w:rsid w:val="00783D78"/>
    <w:rsid w:val="007847C0"/>
    <w:rsid w:val="007849F6"/>
    <w:rsid w:val="00784A19"/>
    <w:rsid w:val="00784D17"/>
    <w:rsid w:val="00785B7F"/>
    <w:rsid w:val="00785C46"/>
    <w:rsid w:val="00785D58"/>
    <w:rsid w:val="0078619A"/>
    <w:rsid w:val="00786271"/>
    <w:rsid w:val="007864BB"/>
    <w:rsid w:val="007865ED"/>
    <w:rsid w:val="007866D9"/>
    <w:rsid w:val="0078687F"/>
    <w:rsid w:val="007869D5"/>
    <w:rsid w:val="00786EA1"/>
    <w:rsid w:val="007871F4"/>
    <w:rsid w:val="007874DF"/>
    <w:rsid w:val="007878C1"/>
    <w:rsid w:val="00787CDF"/>
    <w:rsid w:val="00787E9B"/>
    <w:rsid w:val="00787FAF"/>
    <w:rsid w:val="0079003F"/>
    <w:rsid w:val="00790549"/>
    <w:rsid w:val="00790687"/>
    <w:rsid w:val="00790ACC"/>
    <w:rsid w:val="00790BCF"/>
    <w:rsid w:val="00790D0C"/>
    <w:rsid w:val="00791081"/>
    <w:rsid w:val="00791C33"/>
    <w:rsid w:val="00792BE3"/>
    <w:rsid w:val="00792FD2"/>
    <w:rsid w:val="007934BA"/>
    <w:rsid w:val="0079381D"/>
    <w:rsid w:val="00793E3A"/>
    <w:rsid w:val="00793FA5"/>
    <w:rsid w:val="007946A9"/>
    <w:rsid w:val="00794ADF"/>
    <w:rsid w:val="00794BFF"/>
    <w:rsid w:val="00794F43"/>
    <w:rsid w:val="00795AA2"/>
    <w:rsid w:val="00795D86"/>
    <w:rsid w:val="00795DA6"/>
    <w:rsid w:val="00795F27"/>
    <w:rsid w:val="007960C9"/>
    <w:rsid w:val="007965B7"/>
    <w:rsid w:val="00796AC5"/>
    <w:rsid w:val="007971A3"/>
    <w:rsid w:val="007976FA"/>
    <w:rsid w:val="00797A19"/>
    <w:rsid w:val="00797D13"/>
    <w:rsid w:val="007A050C"/>
    <w:rsid w:val="007A0905"/>
    <w:rsid w:val="007A0A34"/>
    <w:rsid w:val="007A1031"/>
    <w:rsid w:val="007A1161"/>
    <w:rsid w:val="007A1470"/>
    <w:rsid w:val="007A1ABC"/>
    <w:rsid w:val="007A1F8B"/>
    <w:rsid w:val="007A2339"/>
    <w:rsid w:val="007A2DE5"/>
    <w:rsid w:val="007A3017"/>
    <w:rsid w:val="007A309D"/>
    <w:rsid w:val="007A317E"/>
    <w:rsid w:val="007A31E9"/>
    <w:rsid w:val="007A321E"/>
    <w:rsid w:val="007A3540"/>
    <w:rsid w:val="007A3555"/>
    <w:rsid w:val="007A35D9"/>
    <w:rsid w:val="007A37F0"/>
    <w:rsid w:val="007A3A01"/>
    <w:rsid w:val="007A3D59"/>
    <w:rsid w:val="007A3E78"/>
    <w:rsid w:val="007A43A9"/>
    <w:rsid w:val="007A466C"/>
    <w:rsid w:val="007A4767"/>
    <w:rsid w:val="007A47F5"/>
    <w:rsid w:val="007A4DBF"/>
    <w:rsid w:val="007A4FEE"/>
    <w:rsid w:val="007A5134"/>
    <w:rsid w:val="007A51EB"/>
    <w:rsid w:val="007A5B9A"/>
    <w:rsid w:val="007A5EB0"/>
    <w:rsid w:val="007A6665"/>
    <w:rsid w:val="007A6A57"/>
    <w:rsid w:val="007A6B9A"/>
    <w:rsid w:val="007A6CC8"/>
    <w:rsid w:val="007A6F3E"/>
    <w:rsid w:val="007A7251"/>
    <w:rsid w:val="007B046C"/>
    <w:rsid w:val="007B07EB"/>
    <w:rsid w:val="007B08B3"/>
    <w:rsid w:val="007B0D46"/>
    <w:rsid w:val="007B18B2"/>
    <w:rsid w:val="007B1952"/>
    <w:rsid w:val="007B1E42"/>
    <w:rsid w:val="007B1F1B"/>
    <w:rsid w:val="007B1F46"/>
    <w:rsid w:val="007B1F7D"/>
    <w:rsid w:val="007B1F86"/>
    <w:rsid w:val="007B2121"/>
    <w:rsid w:val="007B247C"/>
    <w:rsid w:val="007B24EF"/>
    <w:rsid w:val="007B275D"/>
    <w:rsid w:val="007B30F5"/>
    <w:rsid w:val="007B3718"/>
    <w:rsid w:val="007B3A72"/>
    <w:rsid w:val="007B472B"/>
    <w:rsid w:val="007B4AB4"/>
    <w:rsid w:val="007B5035"/>
    <w:rsid w:val="007B5327"/>
    <w:rsid w:val="007B568C"/>
    <w:rsid w:val="007B6389"/>
    <w:rsid w:val="007B65E7"/>
    <w:rsid w:val="007B688F"/>
    <w:rsid w:val="007B69FF"/>
    <w:rsid w:val="007B6D0F"/>
    <w:rsid w:val="007B725F"/>
    <w:rsid w:val="007B735E"/>
    <w:rsid w:val="007B790C"/>
    <w:rsid w:val="007B7F28"/>
    <w:rsid w:val="007B7FC0"/>
    <w:rsid w:val="007C0BB6"/>
    <w:rsid w:val="007C0CB7"/>
    <w:rsid w:val="007C0CC2"/>
    <w:rsid w:val="007C0E29"/>
    <w:rsid w:val="007C0F9B"/>
    <w:rsid w:val="007C113B"/>
    <w:rsid w:val="007C1F2A"/>
    <w:rsid w:val="007C2310"/>
    <w:rsid w:val="007C2320"/>
    <w:rsid w:val="007C236E"/>
    <w:rsid w:val="007C327A"/>
    <w:rsid w:val="007C33FB"/>
    <w:rsid w:val="007C36C9"/>
    <w:rsid w:val="007C3AFD"/>
    <w:rsid w:val="007C3F5D"/>
    <w:rsid w:val="007C420F"/>
    <w:rsid w:val="007C44AE"/>
    <w:rsid w:val="007C4B62"/>
    <w:rsid w:val="007C4D44"/>
    <w:rsid w:val="007C5032"/>
    <w:rsid w:val="007C58B8"/>
    <w:rsid w:val="007C5937"/>
    <w:rsid w:val="007C59CE"/>
    <w:rsid w:val="007C5B1F"/>
    <w:rsid w:val="007C5CE0"/>
    <w:rsid w:val="007C6011"/>
    <w:rsid w:val="007C60EA"/>
    <w:rsid w:val="007C65CA"/>
    <w:rsid w:val="007C6714"/>
    <w:rsid w:val="007C6781"/>
    <w:rsid w:val="007C6972"/>
    <w:rsid w:val="007C6E67"/>
    <w:rsid w:val="007C709A"/>
    <w:rsid w:val="007C72A2"/>
    <w:rsid w:val="007C7CE8"/>
    <w:rsid w:val="007C7E0C"/>
    <w:rsid w:val="007C7E5D"/>
    <w:rsid w:val="007D026B"/>
    <w:rsid w:val="007D043E"/>
    <w:rsid w:val="007D065C"/>
    <w:rsid w:val="007D0694"/>
    <w:rsid w:val="007D06FB"/>
    <w:rsid w:val="007D09CD"/>
    <w:rsid w:val="007D17D4"/>
    <w:rsid w:val="007D1BF9"/>
    <w:rsid w:val="007D2073"/>
    <w:rsid w:val="007D2525"/>
    <w:rsid w:val="007D25B5"/>
    <w:rsid w:val="007D2CF3"/>
    <w:rsid w:val="007D2F73"/>
    <w:rsid w:val="007D2FB0"/>
    <w:rsid w:val="007D3C7B"/>
    <w:rsid w:val="007D3EC3"/>
    <w:rsid w:val="007D4264"/>
    <w:rsid w:val="007D46A0"/>
    <w:rsid w:val="007D4C53"/>
    <w:rsid w:val="007D53F5"/>
    <w:rsid w:val="007D548F"/>
    <w:rsid w:val="007D5626"/>
    <w:rsid w:val="007D56D4"/>
    <w:rsid w:val="007D6573"/>
    <w:rsid w:val="007D6875"/>
    <w:rsid w:val="007D6A82"/>
    <w:rsid w:val="007D6E65"/>
    <w:rsid w:val="007D6ED8"/>
    <w:rsid w:val="007D74A0"/>
    <w:rsid w:val="007D7697"/>
    <w:rsid w:val="007D7D8A"/>
    <w:rsid w:val="007E068F"/>
    <w:rsid w:val="007E0794"/>
    <w:rsid w:val="007E0828"/>
    <w:rsid w:val="007E0B5A"/>
    <w:rsid w:val="007E0C38"/>
    <w:rsid w:val="007E0D9E"/>
    <w:rsid w:val="007E12D4"/>
    <w:rsid w:val="007E1579"/>
    <w:rsid w:val="007E1600"/>
    <w:rsid w:val="007E1D74"/>
    <w:rsid w:val="007E2361"/>
    <w:rsid w:val="007E2824"/>
    <w:rsid w:val="007E30A0"/>
    <w:rsid w:val="007E346C"/>
    <w:rsid w:val="007E392A"/>
    <w:rsid w:val="007E4CDD"/>
    <w:rsid w:val="007E4EB3"/>
    <w:rsid w:val="007E52F2"/>
    <w:rsid w:val="007E548A"/>
    <w:rsid w:val="007E57B9"/>
    <w:rsid w:val="007E6354"/>
    <w:rsid w:val="007E67B4"/>
    <w:rsid w:val="007E6BD2"/>
    <w:rsid w:val="007E6CD2"/>
    <w:rsid w:val="007E6D63"/>
    <w:rsid w:val="007E6EB3"/>
    <w:rsid w:val="007E6F63"/>
    <w:rsid w:val="007E6F92"/>
    <w:rsid w:val="007E6FD0"/>
    <w:rsid w:val="007E74AD"/>
    <w:rsid w:val="007E74EB"/>
    <w:rsid w:val="007E754F"/>
    <w:rsid w:val="007E7887"/>
    <w:rsid w:val="007E79B6"/>
    <w:rsid w:val="007E7B19"/>
    <w:rsid w:val="007E7E1D"/>
    <w:rsid w:val="007F0463"/>
    <w:rsid w:val="007F04A6"/>
    <w:rsid w:val="007F04AD"/>
    <w:rsid w:val="007F04EC"/>
    <w:rsid w:val="007F04F3"/>
    <w:rsid w:val="007F0E1F"/>
    <w:rsid w:val="007F1934"/>
    <w:rsid w:val="007F1A4E"/>
    <w:rsid w:val="007F1B73"/>
    <w:rsid w:val="007F1BDC"/>
    <w:rsid w:val="007F20A8"/>
    <w:rsid w:val="007F22CB"/>
    <w:rsid w:val="007F258E"/>
    <w:rsid w:val="007F25BB"/>
    <w:rsid w:val="007F272E"/>
    <w:rsid w:val="007F2736"/>
    <w:rsid w:val="007F3DC8"/>
    <w:rsid w:val="007F433F"/>
    <w:rsid w:val="007F44C5"/>
    <w:rsid w:val="007F4C20"/>
    <w:rsid w:val="007F4C62"/>
    <w:rsid w:val="007F5299"/>
    <w:rsid w:val="007F535D"/>
    <w:rsid w:val="007F543E"/>
    <w:rsid w:val="007F589A"/>
    <w:rsid w:val="007F58C2"/>
    <w:rsid w:val="007F5937"/>
    <w:rsid w:val="007F5AA1"/>
    <w:rsid w:val="007F5B6A"/>
    <w:rsid w:val="007F5CA9"/>
    <w:rsid w:val="007F6366"/>
    <w:rsid w:val="007F64B2"/>
    <w:rsid w:val="007F65A6"/>
    <w:rsid w:val="007F66CE"/>
    <w:rsid w:val="007F6968"/>
    <w:rsid w:val="007F6CB7"/>
    <w:rsid w:val="007F6CBD"/>
    <w:rsid w:val="007F7350"/>
    <w:rsid w:val="007F7738"/>
    <w:rsid w:val="007F7952"/>
    <w:rsid w:val="007F7FCD"/>
    <w:rsid w:val="00800681"/>
    <w:rsid w:val="008006B0"/>
    <w:rsid w:val="00800AB3"/>
    <w:rsid w:val="00800C96"/>
    <w:rsid w:val="00800DF5"/>
    <w:rsid w:val="0080135A"/>
    <w:rsid w:val="008015E6"/>
    <w:rsid w:val="00801866"/>
    <w:rsid w:val="008019D5"/>
    <w:rsid w:val="00801CE4"/>
    <w:rsid w:val="00801D00"/>
    <w:rsid w:val="00802045"/>
    <w:rsid w:val="0080220E"/>
    <w:rsid w:val="008026EB"/>
    <w:rsid w:val="0080274D"/>
    <w:rsid w:val="0080309A"/>
    <w:rsid w:val="00803390"/>
    <w:rsid w:val="008039AF"/>
    <w:rsid w:val="00803C14"/>
    <w:rsid w:val="00803CC3"/>
    <w:rsid w:val="00804AD7"/>
    <w:rsid w:val="00804D0B"/>
    <w:rsid w:val="00804DD4"/>
    <w:rsid w:val="0080524F"/>
    <w:rsid w:val="008057CD"/>
    <w:rsid w:val="00805BB3"/>
    <w:rsid w:val="00805F66"/>
    <w:rsid w:val="008073EA"/>
    <w:rsid w:val="00807A08"/>
    <w:rsid w:val="00807C69"/>
    <w:rsid w:val="00807EAC"/>
    <w:rsid w:val="00807FE4"/>
    <w:rsid w:val="00810069"/>
    <w:rsid w:val="008100F8"/>
    <w:rsid w:val="0081010A"/>
    <w:rsid w:val="0081031B"/>
    <w:rsid w:val="00810560"/>
    <w:rsid w:val="00810D87"/>
    <w:rsid w:val="008111C6"/>
    <w:rsid w:val="00811468"/>
    <w:rsid w:val="00811B29"/>
    <w:rsid w:val="00811B41"/>
    <w:rsid w:val="00811D3A"/>
    <w:rsid w:val="00812F82"/>
    <w:rsid w:val="00813653"/>
    <w:rsid w:val="008138E4"/>
    <w:rsid w:val="008141D6"/>
    <w:rsid w:val="008141E3"/>
    <w:rsid w:val="0081448A"/>
    <w:rsid w:val="008144F4"/>
    <w:rsid w:val="00814D42"/>
    <w:rsid w:val="008150E0"/>
    <w:rsid w:val="00815229"/>
    <w:rsid w:val="00815814"/>
    <w:rsid w:val="00815C6D"/>
    <w:rsid w:val="00816745"/>
    <w:rsid w:val="00816E9C"/>
    <w:rsid w:val="0081720E"/>
    <w:rsid w:val="008208F7"/>
    <w:rsid w:val="00820A54"/>
    <w:rsid w:val="00820C0E"/>
    <w:rsid w:val="00820FC0"/>
    <w:rsid w:val="008211C6"/>
    <w:rsid w:val="00821B7D"/>
    <w:rsid w:val="00821D95"/>
    <w:rsid w:val="00821FC5"/>
    <w:rsid w:val="00822404"/>
    <w:rsid w:val="008224B8"/>
    <w:rsid w:val="0082256B"/>
    <w:rsid w:val="00822699"/>
    <w:rsid w:val="0082272A"/>
    <w:rsid w:val="00822964"/>
    <w:rsid w:val="008232E5"/>
    <w:rsid w:val="008237F8"/>
    <w:rsid w:val="00823EE8"/>
    <w:rsid w:val="00824968"/>
    <w:rsid w:val="008250B4"/>
    <w:rsid w:val="00825A7E"/>
    <w:rsid w:val="00825F75"/>
    <w:rsid w:val="008262B6"/>
    <w:rsid w:val="00826325"/>
    <w:rsid w:val="00826447"/>
    <w:rsid w:val="00827722"/>
    <w:rsid w:val="0082776D"/>
    <w:rsid w:val="0082789D"/>
    <w:rsid w:val="00827945"/>
    <w:rsid w:val="00827F4E"/>
    <w:rsid w:val="0083008F"/>
    <w:rsid w:val="008303F6"/>
    <w:rsid w:val="00830574"/>
    <w:rsid w:val="00830850"/>
    <w:rsid w:val="00830883"/>
    <w:rsid w:val="00831316"/>
    <w:rsid w:val="00831A6F"/>
    <w:rsid w:val="00832420"/>
    <w:rsid w:val="00832473"/>
    <w:rsid w:val="008329D5"/>
    <w:rsid w:val="00832A6F"/>
    <w:rsid w:val="008332BA"/>
    <w:rsid w:val="008334B0"/>
    <w:rsid w:val="0083376F"/>
    <w:rsid w:val="00833925"/>
    <w:rsid w:val="00833976"/>
    <w:rsid w:val="00833A03"/>
    <w:rsid w:val="00833FA3"/>
    <w:rsid w:val="00834119"/>
    <w:rsid w:val="00834A10"/>
    <w:rsid w:val="00834DBB"/>
    <w:rsid w:val="00834E3F"/>
    <w:rsid w:val="008353BD"/>
    <w:rsid w:val="00835C2B"/>
    <w:rsid w:val="00835DC6"/>
    <w:rsid w:val="008366CA"/>
    <w:rsid w:val="00836EDD"/>
    <w:rsid w:val="008373F5"/>
    <w:rsid w:val="008376B4"/>
    <w:rsid w:val="00837895"/>
    <w:rsid w:val="00837968"/>
    <w:rsid w:val="00837CF8"/>
    <w:rsid w:val="0084160D"/>
    <w:rsid w:val="00842EEC"/>
    <w:rsid w:val="008432F1"/>
    <w:rsid w:val="008432FF"/>
    <w:rsid w:val="008433A3"/>
    <w:rsid w:val="0084355E"/>
    <w:rsid w:val="00843F67"/>
    <w:rsid w:val="0084406A"/>
    <w:rsid w:val="00844216"/>
    <w:rsid w:val="00844CA6"/>
    <w:rsid w:val="008452EF"/>
    <w:rsid w:val="00845524"/>
    <w:rsid w:val="00845638"/>
    <w:rsid w:val="008457FC"/>
    <w:rsid w:val="00845889"/>
    <w:rsid w:val="00845897"/>
    <w:rsid w:val="00845A56"/>
    <w:rsid w:val="00845C05"/>
    <w:rsid w:val="00845EB8"/>
    <w:rsid w:val="00845F3C"/>
    <w:rsid w:val="00846010"/>
    <w:rsid w:val="0084605B"/>
    <w:rsid w:val="0084658D"/>
    <w:rsid w:val="008465EE"/>
    <w:rsid w:val="008472BB"/>
    <w:rsid w:val="008477F6"/>
    <w:rsid w:val="00850E18"/>
    <w:rsid w:val="008514B0"/>
    <w:rsid w:val="00851E73"/>
    <w:rsid w:val="008528D3"/>
    <w:rsid w:val="00852A42"/>
    <w:rsid w:val="00852AB7"/>
    <w:rsid w:val="00852FA7"/>
    <w:rsid w:val="00853251"/>
    <w:rsid w:val="008537A7"/>
    <w:rsid w:val="00853B5B"/>
    <w:rsid w:val="00854A81"/>
    <w:rsid w:val="00854E37"/>
    <w:rsid w:val="00855406"/>
    <w:rsid w:val="00855470"/>
    <w:rsid w:val="008555F3"/>
    <w:rsid w:val="008556B9"/>
    <w:rsid w:val="00855915"/>
    <w:rsid w:val="008559ED"/>
    <w:rsid w:val="00855C6A"/>
    <w:rsid w:val="00855D71"/>
    <w:rsid w:val="00855E83"/>
    <w:rsid w:val="00856373"/>
    <w:rsid w:val="008564A2"/>
    <w:rsid w:val="008569F9"/>
    <w:rsid w:val="00856DDB"/>
    <w:rsid w:val="0085718E"/>
    <w:rsid w:val="008573BA"/>
    <w:rsid w:val="0085740F"/>
    <w:rsid w:val="00857DD5"/>
    <w:rsid w:val="0086022B"/>
    <w:rsid w:val="0086063A"/>
    <w:rsid w:val="00860AD5"/>
    <w:rsid w:val="00860BAF"/>
    <w:rsid w:val="00860F1D"/>
    <w:rsid w:val="00861046"/>
    <w:rsid w:val="00861183"/>
    <w:rsid w:val="008625D3"/>
    <w:rsid w:val="008627B9"/>
    <w:rsid w:val="0086287B"/>
    <w:rsid w:val="00862AB0"/>
    <w:rsid w:val="00862F38"/>
    <w:rsid w:val="00863416"/>
    <w:rsid w:val="0086345D"/>
    <w:rsid w:val="0086372C"/>
    <w:rsid w:val="00863E63"/>
    <w:rsid w:val="0086403A"/>
    <w:rsid w:val="00864171"/>
    <w:rsid w:val="008641DF"/>
    <w:rsid w:val="00864726"/>
    <w:rsid w:val="0086489E"/>
    <w:rsid w:val="00864E02"/>
    <w:rsid w:val="00864EDA"/>
    <w:rsid w:val="00865226"/>
    <w:rsid w:val="00865297"/>
    <w:rsid w:val="0086540C"/>
    <w:rsid w:val="00865461"/>
    <w:rsid w:val="008659EB"/>
    <w:rsid w:val="00865BB8"/>
    <w:rsid w:val="00865D8A"/>
    <w:rsid w:val="00865DBE"/>
    <w:rsid w:val="008660E5"/>
    <w:rsid w:val="008662CF"/>
    <w:rsid w:val="00866627"/>
    <w:rsid w:val="00866729"/>
    <w:rsid w:val="008667AE"/>
    <w:rsid w:val="00866BDE"/>
    <w:rsid w:val="00866E14"/>
    <w:rsid w:val="008671D2"/>
    <w:rsid w:val="00867294"/>
    <w:rsid w:val="00867721"/>
    <w:rsid w:val="00867920"/>
    <w:rsid w:val="00867990"/>
    <w:rsid w:val="008679E9"/>
    <w:rsid w:val="00870044"/>
    <w:rsid w:val="00870221"/>
    <w:rsid w:val="00870B29"/>
    <w:rsid w:val="00870E24"/>
    <w:rsid w:val="008715DB"/>
    <w:rsid w:val="008717A1"/>
    <w:rsid w:val="008718B8"/>
    <w:rsid w:val="00871E21"/>
    <w:rsid w:val="00871E88"/>
    <w:rsid w:val="0087209E"/>
    <w:rsid w:val="008721AB"/>
    <w:rsid w:val="00872AB8"/>
    <w:rsid w:val="00872EA0"/>
    <w:rsid w:val="00873397"/>
    <w:rsid w:val="00873398"/>
    <w:rsid w:val="00873731"/>
    <w:rsid w:val="0087374D"/>
    <w:rsid w:val="0087394F"/>
    <w:rsid w:val="00873D0A"/>
    <w:rsid w:val="0087437D"/>
    <w:rsid w:val="00874E14"/>
    <w:rsid w:val="00874FD1"/>
    <w:rsid w:val="00874FE9"/>
    <w:rsid w:val="008752DA"/>
    <w:rsid w:val="00875F6E"/>
    <w:rsid w:val="00876144"/>
    <w:rsid w:val="0087630A"/>
    <w:rsid w:val="0087641A"/>
    <w:rsid w:val="0087659C"/>
    <w:rsid w:val="00876713"/>
    <w:rsid w:val="00876C74"/>
    <w:rsid w:val="00876D7B"/>
    <w:rsid w:val="008770AE"/>
    <w:rsid w:val="008772F8"/>
    <w:rsid w:val="00877502"/>
    <w:rsid w:val="008777E0"/>
    <w:rsid w:val="00877B1E"/>
    <w:rsid w:val="00877E9D"/>
    <w:rsid w:val="0088017E"/>
    <w:rsid w:val="008804BA"/>
    <w:rsid w:val="008804E7"/>
    <w:rsid w:val="00881205"/>
    <w:rsid w:val="0088167E"/>
    <w:rsid w:val="00881683"/>
    <w:rsid w:val="00881A20"/>
    <w:rsid w:val="0088200A"/>
    <w:rsid w:val="00882040"/>
    <w:rsid w:val="00882B63"/>
    <w:rsid w:val="00882BA8"/>
    <w:rsid w:val="00882CC8"/>
    <w:rsid w:val="00882D58"/>
    <w:rsid w:val="00882EDC"/>
    <w:rsid w:val="008831C8"/>
    <w:rsid w:val="00883888"/>
    <w:rsid w:val="00883AFA"/>
    <w:rsid w:val="00884108"/>
    <w:rsid w:val="00884238"/>
    <w:rsid w:val="008842F4"/>
    <w:rsid w:val="0088450E"/>
    <w:rsid w:val="0088496F"/>
    <w:rsid w:val="0088517A"/>
    <w:rsid w:val="008852C6"/>
    <w:rsid w:val="008858E3"/>
    <w:rsid w:val="0088597E"/>
    <w:rsid w:val="00885C9C"/>
    <w:rsid w:val="00885E1E"/>
    <w:rsid w:val="00885E34"/>
    <w:rsid w:val="008862B5"/>
    <w:rsid w:val="00886CF9"/>
    <w:rsid w:val="00886F45"/>
    <w:rsid w:val="00887E88"/>
    <w:rsid w:val="0089032C"/>
    <w:rsid w:val="008905CB"/>
    <w:rsid w:val="0089121A"/>
    <w:rsid w:val="00891666"/>
    <w:rsid w:val="0089179C"/>
    <w:rsid w:val="00891F60"/>
    <w:rsid w:val="008921A2"/>
    <w:rsid w:val="00892352"/>
    <w:rsid w:val="008927EC"/>
    <w:rsid w:val="008929C9"/>
    <w:rsid w:val="008938BB"/>
    <w:rsid w:val="00893AFB"/>
    <w:rsid w:val="00894125"/>
    <w:rsid w:val="00894814"/>
    <w:rsid w:val="008954C3"/>
    <w:rsid w:val="00895548"/>
    <w:rsid w:val="00895AD1"/>
    <w:rsid w:val="00895C6A"/>
    <w:rsid w:val="00895FB9"/>
    <w:rsid w:val="0089668B"/>
    <w:rsid w:val="008968EA"/>
    <w:rsid w:val="00896919"/>
    <w:rsid w:val="00897536"/>
    <w:rsid w:val="0089767B"/>
    <w:rsid w:val="0089785B"/>
    <w:rsid w:val="00897965"/>
    <w:rsid w:val="00897A0E"/>
    <w:rsid w:val="00897C15"/>
    <w:rsid w:val="00897DA2"/>
    <w:rsid w:val="008A0539"/>
    <w:rsid w:val="008A08B8"/>
    <w:rsid w:val="008A09C9"/>
    <w:rsid w:val="008A19BB"/>
    <w:rsid w:val="008A1CB4"/>
    <w:rsid w:val="008A2065"/>
    <w:rsid w:val="008A20D0"/>
    <w:rsid w:val="008A23E0"/>
    <w:rsid w:val="008A2533"/>
    <w:rsid w:val="008A2743"/>
    <w:rsid w:val="008A2A7F"/>
    <w:rsid w:val="008A32E7"/>
    <w:rsid w:val="008A334B"/>
    <w:rsid w:val="008A3E5C"/>
    <w:rsid w:val="008A4022"/>
    <w:rsid w:val="008A45A0"/>
    <w:rsid w:val="008A5619"/>
    <w:rsid w:val="008A56FE"/>
    <w:rsid w:val="008A57E7"/>
    <w:rsid w:val="008A65CE"/>
    <w:rsid w:val="008A68D8"/>
    <w:rsid w:val="008A6F77"/>
    <w:rsid w:val="008A7080"/>
    <w:rsid w:val="008A70E5"/>
    <w:rsid w:val="008B098C"/>
    <w:rsid w:val="008B0C5C"/>
    <w:rsid w:val="008B122D"/>
    <w:rsid w:val="008B1447"/>
    <w:rsid w:val="008B19EC"/>
    <w:rsid w:val="008B1FEC"/>
    <w:rsid w:val="008B267C"/>
    <w:rsid w:val="008B268B"/>
    <w:rsid w:val="008B2965"/>
    <w:rsid w:val="008B2EF3"/>
    <w:rsid w:val="008B3272"/>
    <w:rsid w:val="008B332B"/>
    <w:rsid w:val="008B337A"/>
    <w:rsid w:val="008B3392"/>
    <w:rsid w:val="008B3449"/>
    <w:rsid w:val="008B35B5"/>
    <w:rsid w:val="008B35D7"/>
    <w:rsid w:val="008B3D61"/>
    <w:rsid w:val="008B3F80"/>
    <w:rsid w:val="008B4698"/>
    <w:rsid w:val="008B4EC0"/>
    <w:rsid w:val="008B547E"/>
    <w:rsid w:val="008B56BA"/>
    <w:rsid w:val="008B6186"/>
    <w:rsid w:val="008B699E"/>
    <w:rsid w:val="008B6DC2"/>
    <w:rsid w:val="008B6F38"/>
    <w:rsid w:val="008C0077"/>
    <w:rsid w:val="008C0321"/>
    <w:rsid w:val="008C095F"/>
    <w:rsid w:val="008C0F73"/>
    <w:rsid w:val="008C1A18"/>
    <w:rsid w:val="008C1CB9"/>
    <w:rsid w:val="008C26B8"/>
    <w:rsid w:val="008C27F7"/>
    <w:rsid w:val="008C2B94"/>
    <w:rsid w:val="008C30C4"/>
    <w:rsid w:val="008C385A"/>
    <w:rsid w:val="008C3D74"/>
    <w:rsid w:val="008C3DB5"/>
    <w:rsid w:val="008C46D5"/>
    <w:rsid w:val="008C47D2"/>
    <w:rsid w:val="008C4CE6"/>
    <w:rsid w:val="008C530D"/>
    <w:rsid w:val="008C54DC"/>
    <w:rsid w:val="008C5DFE"/>
    <w:rsid w:val="008C5E86"/>
    <w:rsid w:val="008C6194"/>
    <w:rsid w:val="008C6580"/>
    <w:rsid w:val="008C659F"/>
    <w:rsid w:val="008C770D"/>
    <w:rsid w:val="008C7957"/>
    <w:rsid w:val="008C7A5C"/>
    <w:rsid w:val="008D06E3"/>
    <w:rsid w:val="008D07A0"/>
    <w:rsid w:val="008D091D"/>
    <w:rsid w:val="008D0D26"/>
    <w:rsid w:val="008D12BD"/>
    <w:rsid w:val="008D1304"/>
    <w:rsid w:val="008D156A"/>
    <w:rsid w:val="008D1594"/>
    <w:rsid w:val="008D18BA"/>
    <w:rsid w:val="008D18E5"/>
    <w:rsid w:val="008D1E1A"/>
    <w:rsid w:val="008D2317"/>
    <w:rsid w:val="008D29B1"/>
    <w:rsid w:val="008D313C"/>
    <w:rsid w:val="008D32B7"/>
    <w:rsid w:val="008D36EE"/>
    <w:rsid w:val="008D3FD9"/>
    <w:rsid w:val="008D46A8"/>
    <w:rsid w:val="008D4E3D"/>
    <w:rsid w:val="008D5246"/>
    <w:rsid w:val="008D5387"/>
    <w:rsid w:val="008D579D"/>
    <w:rsid w:val="008D5920"/>
    <w:rsid w:val="008D6C9B"/>
    <w:rsid w:val="008D776F"/>
    <w:rsid w:val="008D779D"/>
    <w:rsid w:val="008D77F0"/>
    <w:rsid w:val="008D7AF8"/>
    <w:rsid w:val="008D7C1F"/>
    <w:rsid w:val="008D7CEC"/>
    <w:rsid w:val="008E005C"/>
    <w:rsid w:val="008E0155"/>
    <w:rsid w:val="008E0188"/>
    <w:rsid w:val="008E07BC"/>
    <w:rsid w:val="008E0F7E"/>
    <w:rsid w:val="008E14ED"/>
    <w:rsid w:val="008E167C"/>
    <w:rsid w:val="008E1812"/>
    <w:rsid w:val="008E1B6F"/>
    <w:rsid w:val="008E202A"/>
    <w:rsid w:val="008E245F"/>
    <w:rsid w:val="008E2A47"/>
    <w:rsid w:val="008E3E38"/>
    <w:rsid w:val="008E44C6"/>
    <w:rsid w:val="008E5169"/>
    <w:rsid w:val="008E533C"/>
    <w:rsid w:val="008E59E6"/>
    <w:rsid w:val="008E5D14"/>
    <w:rsid w:val="008E5D6E"/>
    <w:rsid w:val="008E5E09"/>
    <w:rsid w:val="008E61E0"/>
    <w:rsid w:val="008E6242"/>
    <w:rsid w:val="008E6268"/>
    <w:rsid w:val="008E6360"/>
    <w:rsid w:val="008E659C"/>
    <w:rsid w:val="008E6E53"/>
    <w:rsid w:val="008E6F65"/>
    <w:rsid w:val="008E7568"/>
    <w:rsid w:val="008E7EB5"/>
    <w:rsid w:val="008F0B49"/>
    <w:rsid w:val="008F0F60"/>
    <w:rsid w:val="008F0F7F"/>
    <w:rsid w:val="008F112A"/>
    <w:rsid w:val="008F172D"/>
    <w:rsid w:val="008F190D"/>
    <w:rsid w:val="008F210B"/>
    <w:rsid w:val="008F22A1"/>
    <w:rsid w:val="008F283D"/>
    <w:rsid w:val="008F28B8"/>
    <w:rsid w:val="008F2C78"/>
    <w:rsid w:val="008F2CD8"/>
    <w:rsid w:val="008F2EFF"/>
    <w:rsid w:val="008F32BA"/>
    <w:rsid w:val="008F3E41"/>
    <w:rsid w:val="008F4104"/>
    <w:rsid w:val="008F41BB"/>
    <w:rsid w:val="008F42C6"/>
    <w:rsid w:val="008F459A"/>
    <w:rsid w:val="008F4F0B"/>
    <w:rsid w:val="008F512D"/>
    <w:rsid w:val="008F5438"/>
    <w:rsid w:val="008F550C"/>
    <w:rsid w:val="008F5A28"/>
    <w:rsid w:val="008F5B3A"/>
    <w:rsid w:val="008F5C20"/>
    <w:rsid w:val="008F62A3"/>
    <w:rsid w:val="008F643C"/>
    <w:rsid w:val="008F686E"/>
    <w:rsid w:val="008F6FBB"/>
    <w:rsid w:val="008F70E9"/>
    <w:rsid w:val="008F777E"/>
    <w:rsid w:val="0090008D"/>
    <w:rsid w:val="009001F1"/>
    <w:rsid w:val="009002BC"/>
    <w:rsid w:val="00900741"/>
    <w:rsid w:val="00900A3B"/>
    <w:rsid w:val="00900B8F"/>
    <w:rsid w:val="00900BC4"/>
    <w:rsid w:val="00900DD1"/>
    <w:rsid w:val="00901185"/>
    <w:rsid w:val="0090155D"/>
    <w:rsid w:val="00902097"/>
    <w:rsid w:val="00902578"/>
    <w:rsid w:val="00902684"/>
    <w:rsid w:val="00902822"/>
    <w:rsid w:val="009029BA"/>
    <w:rsid w:val="009029E5"/>
    <w:rsid w:val="00902CC7"/>
    <w:rsid w:val="00902D19"/>
    <w:rsid w:val="00902E97"/>
    <w:rsid w:val="00903A21"/>
    <w:rsid w:val="00903A51"/>
    <w:rsid w:val="00903C2F"/>
    <w:rsid w:val="00903C78"/>
    <w:rsid w:val="00903D9F"/>
    <w:rsid w:val="009041C8"/>
    <w:rsid w:val="00904256"/>
    <w:rsid w:val="009042DE"/>
    <w:rsid w:val="0090458B"/>
    <w:rsid w:val="009046E3"/>
    <w:rsid w:val="00904B61"/>
    <w:rsid w:val="00904BD7"/>
    <w:rsid w:val="00904C19"/>
    <w:rsid w:val="0090525B"/>
    <w:rsid w:val="0090555E"/>
    <w:rsid w:val="00905AA9"/>
    <w:rsid w:val="00905AAC"/>
    <w:rsid w:val="00905E66"/>
    <w:rsid w:val="0090671C"/>
    <w:rsid w:val="00906A72"/>
    <w:rsid w:val="00906B30"/>
    <w:rsid w:val="00907334"/>
    <w:rsid w:val="0090757F"/>
    <w:rsid w:val="00907838"/>
    <w:rsid w:val="00907CB7"/>
    <w:rsid w:val="00907EA7"/>
    <w:rsid w:val="00907FAB"/>
    <w:rsid w:val="009102AC"/>
    <w:rsid w:val="009103B8"/>
    <w:rsid w:val="00910461"/>
    <w:rsid w:val="00910F78"/>
    <w:rsid w:val="00911029"/>
    <w:rsid w:val="00911608"/>
    <w:rsid w:val="00911C7E"/>
    <w:rsid w:val="00911D30"/>
    <w:rsid w:val="00911F11"/>
    <w:rsid w:val="009120B6"/>
    <w:rsid w:val="009122B7"/>
    <w:rsid w:val="00912439"/>
    <w:rsid w:val="0091263A"/>
    <w:rsid w:val="009128A1"/>
    <w:rsid w:val="00913394"/>
    <w:rsid w:val="00913D4C"/>
    <w:rsid w:val="00914FB5"/>
    <w:rsid w:val="009154F2"/>
    <w:rsid w:val="00915CD1"/>
    <w:rsid w:val="00915FFE"/>
    <w:rsid w:val="0091632E"/>
    <w:rsid w:val="00916593"/>
    <w:rsid w:val="0091680C"/>
    <w:rsid w:val="00916F72"/>
    <w:rsid w:val="00917100"/>
    <w:rsid w:val="0091722B"/>
    <w:rsid w:val="00917798"/>
    <w:rsid w:val="0091781D"/>
    <w:rsid w:val="00917A98"/>
    <w:rsid w:val="009204FD"/>
    <w:rsid w:val="0092094E"/>
    <w:rsid w:val="009214B3"/>
    <w:rsid w:val="00921696"/>
    <w:rsid w:val="00921B68"/>
    <w:rsid w:val="00921D63"/>
    <w:rsid w:val="00921E45"/>
    <w:rsid w:val="009221D5"/>
    <w:rsid w:val="009227FE"/>
    <w:rsid w:val="00922CE0"/>
    <w:rsid w:val="00922DF4"/>
    <w:rsid w:val="00923367"/>
    <w:rsid w:val="009234FE"/>
    <w:rsid w:val="0092357B"/>
    <w:rsid w:val="00923B40"/>
    <w:rsid w:val="00923C3E"/>
    <w:rsid w:val="00923DA8"/>
    <w:rsid w:val="009244F3"/>
    <w:rsid w:val="00924964"/>
    <w:rsid w:val="00924983"/>
    <w:rsid w:val="00924CD8"/>
    <w:rsid w:val="00924D8E"/>
    <w:rsid w:val="0092504F"/>
    <w:rsid w:val="00925161"/>
    <w:rsid w:val="0092516C"/>
    <w:rsid w:val="009256BF"/>
    <w:rsid w:val="0092595D"/>
    <w:rsid w:val="00925993"/>
    <w:rsid w:val="0092599C"/>
    <w:rsid w:val="00925AA2"/>
    <w:rsid w:val="00925D8B"/>
    <w:rsid w:val="00925E2B"/>
    <w:rsid w:val="009265FE"/>
    <w:rsid w:val="0092677E"/>
    <w:rsid w:val="00926DB0"/>
    <w:rsid w:val="00926E36"/>
    <w:rsid w:val="0092793B"/>
    <w:rsid w:val="009279EA"/>
    <w:rsid w:val="00927E87"/>
    <w:rsid w:val="00927F11"/>
    <w:rsid w:val="009302C3"/>
    <w:rsid w:val="00930603"/>
    <w:rsid w:val="009306BC"/>
    <w:rsid w:val="00930B3D"/>
    <w:rsid w:val="009314C4"/>
    <w:rsid w:val="00931847"/>
    <w:rsid w:val="00931B9B"/>
    <w:rsid w:val="009324A2"/>
    <w:rsid w:val="0093281C"/>
    <w:rsid w:val="009329B8"/>
    <w:rsid w:val="009352CD"/>
    <w:rsid w:val="00935E64"/>
    <w:rsid w:val="00936147"/>
    <w:rsid w:val="009363E6"/>
    <w:rsid w:val="0093689E"/>
    <w:rsid w:val="00937044"/>
    <w:rsid w:val="009371AB"/>
    <w:rsid w:val="009372CE"/>
    <w:rsid w:val="00937817"/>
    <w:rsid w:val="00937873"/>
    <w:rsid w:val="00937E43"/>
    <w:rsid w:val="0094011A"/>
    <w:rsid w:val="009401C9"/>
    <w:rsid w:val="009404BF"/>
    <w:rsid w:val="00940511"/>
    <w:rsid w:val="0094052E"/>
    <w:rsid w:val="00940872"/>
    <w:rsid w:val="00940A1A"/>
    <w:rsid w:val="00940F81"/>
    <w:rsid w:val="00941381"/>
    <w:rsid w:val="00941B0D"/>
    <w:rsid w:val="00941BA0"/>
    <w:rsid w:val="0094205C"/>
    <w:rsid w:val="00942201"/>
    <w:rsid w:val="00942205"/>
    <w:rsid w:val="009423A6"/>
    <w:rsid w:val="00942809"/>
    <w:rsid w:val="00942A38"/>
    <w:rsid w:val="00942D46"/>
    <w:rsid w:val="009435BE"/>
    <w:rsid w:val="009435E7"/>
    <w:rsid w:val="00943629"/>
    <w:rsid w:val="00943B62"/>
    <w:rsid w:val="00944097"/>
    <w:rsid w:val="009441EB"/>
    <w:rsid w:val="00944222"/>
    <w:rsid w:val="0094451E"/>
    <w:rsid w:val="00944701"/>
    <w:rsid w:val="00944828"/>
    <w:rsid w:val="00944B42"/>
    <w:rsid w:val="00944BE9"/>
    <w:rsid w:val="00944E02"/>
    <w:rsid w:val="009450A5"/>
    <w:rsid w:val="009453FB"/>
    <w:rsid w:val="00945568"/>
    <w:rsid w:val="00945807"/>
    <w:rsid w:val="00945AF5"/>
    <w:rsid w:val="009462BD"/>
    <w:rsid w:val="00946400"/>
    <w:rsid w:val="00946615"/>
    <w:rsid w:val="0094677E"/>
    <w:rsid w:val="00946E4F"/>
    <w:rsid w:val="009471DA"/>
    <w:rsid w:val="009473FD"/>
    <w:rsid w:val="0094790D"/>
    <w:rsid w:val="00947B8A"/>
    <w:rsid w:val="00947D27"/>
    <w:rsid w:val="0095069E"/>
    <w:rsid w:val="00950E66"/>
    <w:rsid w:val="0095218E"/>
    <w:rsid w:val="0095223B"/>
    <w:rsid w:val="00952658"/>
    <w:rsid w:val="0095284C"/>
    <w:rsid w:val="00952A4E"/>
    <w:rsid w:val="009530A1"/>
    <w:rsid w:val="00953256"/>
    <w:rsid w:val="00953C92"/>
    <w:rsid w:val="00953EBB"/>
    <w:rsid w:val="00953FF7"/>
    <w:rsid w:val="009542F6"/>
    <w:rsid w:val="009544EF"/>
    <w:rsid w:val="009547AE"/>
    <w:rsid w:val="00954887"/>
    <w:rsid w:val="00954B2C"/>
    <w:rsid w:val="00954F26"/>
    <w:rsid w:val="00955B15"/>
    <w:rsid w:val="009560D7"/>
    <w:rsid w:val="0095649A"/>
    <w:rsid w:val="009565DC"/>
    <w:rsid w:val="009566DE"/>
    <w:rsid w:val="009567D9"/>
    <w:rsid w:val="00956C56"/>
    <w:rsid w:val="0095705E"/>
    <w:rsid w:val="00957577"/>
    <w:rsid w:val="009577E1"/>
    <w:rsid w:val="00957C85"/>
    <w:rsid w:val="00957C93"/>
    <w:rsid w:val="00960A0D"/>
    <w:rsid w:val="009616BC"/>
    <w:rsid w:val="00961C5C"/>
    <w:rsid w:val="00961E79"/>
    <w:rsid w:val="00962ADD"/>
    <w:rsid w:val="00962C9B"/>
    <w:rsid w:val="00962ECD"/>
    <w:rsid w:val="009632EB"/>
    <w:rsid w:val="009636E7"/>
    <w:rsid w:val="00964BC4"/>
    <w:rsid w:val="00964E84"/>
    <w:rsid w:val="00965284"/>
    <w:rsid w:val="009652C4"/>
    <w:rsid w:val="00965621"/>
    <w:rsid w:val="00965759"/>
    <w:rsid w:val="00965A0B"/>
    <w:rsid w:val="00966538"/>
    <w:rsid w:val="00966756"/>
    <w:rsid w:val="00966822"/>
    <w:rsid w:val="00966D37"/>
    <w:rsid w:val="00966D65"/>
    <w:rsid w:val="009671F0"/>
    <w:rsid w:val="00967232"/>
    <w:rsid w:val="009674D5"/>
    <w:rsid w:val="0096761B"/>
    <w:rsid w:val="00967C03"/>
    <w:rsid w:val="00970825"/>
    <w:rsid w:val="00970B72"/>
    <w:rsid w:val="00970DD3"/>
    <w:rsid w:val="009719FE"/>
    <w:rsid w:val="00971BF7"/>
    <w:rsid w:val="00971E3D"/>
    <w:rsid w:val="00972210"/>
    <w:rsid w:val="0097240D"/>
    <w:rsid w:val="009726AE"/>
    <w:rsid w:val="00972AAE"/>
    <w:rsid w:val="00972B54"/>
    <w:rsid w:val="00972C75"/>
    <w:rsid w:val="00972D6A"/>
    <w:rsid w:val="00973747"/>
    <w:rsid w:val="009738AC"/>
    <w:rsid w:val="009739F7"/>
    <w:rsid w:val="00973AA4"/>
    <w:rsid w:val="00973D11"/>
    <w:rsid w:val="00973EB3"/>
    <w:rsid w:val="009742BB"/>
    <w:rsid w:val="00974496"/>
    <w:rsid w:val="009744BE"/>
    <w:rsid w:val="009744DD"/>
    <w:rsid w:val="00974BD0"/>
    <w:rsid w:val="00974C27"/>
    <w:rsid w:val="00974CCE"/>
    <w:rsid w:val="00974FE8"/>
    <w:rsid w:val="00974FFE"/>
    <w:rsid w:val="009755C9"/>
    <w:rsid w:val="00975756"/>
    <w:rsid w:val="00975780"/>
    <w:rsid w:val="00975BC5"/>
    <w:rsid w:val="00976073"/>
    <w:rsid w:val="00976736"/>
    <w:rsid w:val="00976A3A"/>
    <w:rsid w:val="00976A73"/>
    <w:rsid w:val="00976C27"/>
    <w:rsid w:val="00976CF0"/>
    <w:rsid w:val="00976FD2"/>
    <w:rsid w:val="00980500"/>
    <w:rsid w:val="009805DA"/>
    <w:rsid w:val="00980723"/>
    <w:rsid w:val="009807D5"/>
    <w:rsid w:val="00980815"/>
    <w:rsid w:val="00980E4E"/>
    <w:rsid w:val="00980F1B"/>
    <w:rsid w:val="00981021"/>
    <w:rsid w:val="0098142B"/>
    <w:rsid w:val="00981595"/>
    <w:rsid w:val="00981AF6"/>
    <w:rsid w:val="00982536"/>
    <w:rsid w:val="00982695"/>
    <w:rsid w:val="009826D6"/>
    <w:rsid w:val="0098299F"/>
    <w:rsid w:val="009829B9"/>
    <w:rsid w:val="00982B36"/>
    <w:rsid w:val="00982B92"/>
    <w:rsid w:val="009830DE"/>
    <w:rsid w:val="0098326F"/>
    <w:rsid w:val="0098347E"/>
    <w:rsid w:val="009836C9"/>
    <w:rsid w:val="0098387F"/>
    <w:rsid w:val="00983CD6"/>
    <w:rsid w:val="00983F14"/>
    <w:rsid w:val="009840DE"/>
    <w:rsid w:val="0098414A"/>
    <w:rsid w:val="009841E7"/>
    <w:rsid w:val="0098426D"/>
    <w:rsid w:val="00984623"/>
    <w:rsid w:val="00984A3D"/>
    <w:rsid w:val="00984AE3"/>
    <w:rsid w:val="00984D0F"/>
    <w:rsid w:val="00985400"/>
    <w:rsid w:val="009857BE"/>
    <w:rsid w:val="009859BF"/>
    <w:rsid w:val="00985BC8"/>
    <w:rsid w:val="00985DD8"/>
    <w:rsid w:val="00986310"/>
    <w:rsid w:val="009863E6"/>
    <w:rsid w:val="009866B0"/>
    <w:rsid w:val="00986CDC"/>
    <w:rsid w:val="00986D10"/>
    <w:rsid w:val="00986EE3"/>
    <w:rsid w:val="009871F2"/>
    <w:rsid w:val="00987646"/>
    <w:rsid w:val="0098788C"/>
    <w:rsid w:val="00987F55"/>
    <w:rsid w:val="009902C1"/>
    <w:rsid w:val="009907B9"/>
    <w:rsid w:val="009909DF"/>
    <w:rsid w:val="00990B63"/>
    <w:rsid w:val="00990DF7"/>
    <w:rsid w:val="009911A2"/>
    <w:rsid w:val="009911B6"/>
    <w:rsid w:val="009917F2"/>
    <w:rsid w:val="00991E21"/>
    <w:rsid w:val="00991F78"/>
    <w:rsid w:val="00992309"/>
    <w:rsid w:val="00993686"/>
    <w:rsid w:val="00993717"/>
    <w:rsid w:val="00993832"/>
    <w:rsid w:val="009938E9"/>
    <w:rsid w:val="00993CA2"/>
    <w:rsid w:val="00993ED9"/>
    <w:rsid w:val="009943B3"/>
    <w:rsid w:val="009943F4"/>
    <w:rsid w:val="009943F8"/>
    <w:rsid w:val="009945E6"/>
    <w:rsid w:val="0099471C"/>
    <w:rsid w:val="009947A2"/>
    <w:rsid w:val="0099515D"/>
    <w:rsid w:val="0099527B"/>
    <w:rsid w:val="00995AA2"/>
    <w:rsid w:val="00995D6A"/>
    <w:rsid w:val="00996332"/>
    <w:rsid w:val="009966A9"/>
    <w:rsid w:val="00996D21"/>
    <w:rsid w:val="00997472"/>
    <w:rsid w:val="009978C1"/>
    <w:rsid w:val="009A04CD"/>
    <w:rsid w:val="009A0804"/>
    <w:rsid w:val="009A09C0"/>
    <w:rsid w:val="009A0DD5"/>
    <w:rsid w:val="009A0EE8"/>
    <w:rsid w:val="009A154C"/>
    <w:rsid w:val="009A16DF"/>
    <w:rsid w:val="009A1708"/>
    <w:rsid w:val="009A17FD"/>
    <w:rsid w:val="009A1B67"/>
    <w:rsid w:val="009A1FA2"/>
    <w:rsid w:val="009A22A8"/>
    <w:rsid w:val="009A2B0B"/>
    <w:rsid w:val="009A2F02"/>
    <w:rsid w:val="009A30AC"/>
    <w:rsid w:val="009A34AB"/>
    <w:rsid w:val="009A3705"/>
    <w:rsid w:val="009A3A69"/>
    <w:rsid w:val="009A3EFD"/>
    <w:rsid w:val="009A3FCF"/>
    <w:rsid w:val="009A493A"/>
    <w:rsid w:val="009A49DA"/>
    <w:rsid w:val="009A52D1"/>
    <w:rsid w:val="009A52EA"/>
    <w:rsid w:val="009A5403"/>
    <w:rsid w:val="009A5AE7"/>
    <w:rsid w:val="009A5FA3"/>
    <w:rsid w:val="009A6ACD"/>
    <w:rsid w:val="009A6D01"/>
    <w:rsid w:val="009A6EF0"/>
    <w:rsid w:val="009A753D"/>
    <w:rsid w:val="009A75AC"/>
    <w:rsid w:val="009A7DAD"/>
    <w:rsid w:val="009B0260"/>
    <w:rsid w:val="009B0429"/>
    <w:rsid w:val="009B06DC"/>
    <w:rsid w:val="009B06FF"/>
    <w:rsid w:val="009B127E"/>
    <w:rsid w:val="009B1A8C"/>
    <w:rsid w:val="009B1CFD"/>
    <w:rsid w:val="009B2048"/>
    <w:rsid w:val="009B2902"/>
    <w:rsid w:val="009B3096"/>
    <w:rsid w:val="009B30E3"/>
    <w:rsid w:val="009B37DD"/>
    <w:rsid w:val="009B3C16"/>
    <w:rsid w:val="009B426E"/>
    <w:rsid w:val="009B515C"/>
    <w:rsid w:val="009B5228"/>
    <w:rsid w:val="009B56F8"/>
    <w:rsid w:val="009B57B6"/>
    <w:rsid w:val="009B5D26"/>
    <w:rsid w:val="009B6031"/>
    <w:rsid w:val="009B615D"/>
    <w:rsid w:val="009B6518"/>
    <w:rsid w:val="009B6847"/>
    <w:rsid w:val="009B69F7"/>
    <w:rsid w:val="009B6DFD"/>
    <w:rsid w:val="009B7041"/>
    <w:rsid w:val="009B7165"/>
    <w:rsid w:val="009B72CE"/>
    <w:rsid w:val="009B7613"/>
    <w:rsid w:val="009B779B"/>
    <w:rsid w:val="009C02AE"/>
    <w:rsid w:val="009C0326"/>
    <w:rsid w:val="009C03C2"/>
    <w:rsid w:val="009C06B5"/>
    <w:rsid w:val="009C08D5"/>
    <w:rsid w:val="009C0A52"/>
    <w:rsid w:val="009C10D8"/>
    <w:rsid w:val="009C1338"/>
    <w:rsid w:val="009C1B61"/>
    <w:rsid w:val="009C1C62"/>
    <w:rsid w:val="009C248E"/>
    <w:rsid w:val="009C29FA"/>
    <w:rsid w:val="009C2C74"/>
    <w:rsid w:val="009C2CE1"/>
    <w:rsid w:val="009C328F"/>
    <w:rsid w:val="009C3719"/>
    <w:rsid w:val="009C3C8B"/>
    <w:rsid w:val="009C3D03"/>
    <w:rsid w:val="009C3D19"/>
    <w:rsid w:val="009C3EA1"/>
    <w:rsid w:val="009C4018"/>
    <w:rsid w:val="009C4503"/>
    <w:rsid w:val="009C4557"/>
    <w:rsid w:val="009C45D0"/>
    <w:rsid w:val="009C4AD7"/>
    <w:rsid w:val="009C4C81"/>
    <w:rsid w:val="009C4D24"/>
    <w:rsid w:val="009C4F7E"/>
    <w:rsid w:val="009C584C"/>
    <w:rsid w:val="009C5D25"/>
    <w:rsid w:val="009C63EF"/>
    <w:rsid w:val="009C6A4A"/>
    <w:rsid w:val="009C6B5E"/>
    <w:rsid w:val="009C6B63"/>
    <w:rsid w:val="009C7166"/>
    <w:rsid w:val="009C7434"/>
    <w:rsid w:val="009C7DEB"/>
    <w:rsid w:val="009D04C9"/>
    <w:rsid w:val="009D071E"/>
    <w:rsid w:val="009D096D"/>
    <w:rsid w:val="009D0E7B"/>
    <w:rsid w:val="009D0ECE"/>
    <w:rsid w:val="009D10EE"/>
    <w:rsid w:val="009D150F"/>
    <w:rsid w:val="009D1787"/>
    <w:rsid w:val="009D1FBD"/>
    <w:rsid w:val="009D1FF0"/>
    <w:rsid w:val="009D20AE"/>
    <w:rsid w:val="009D20B6"/>
    <w:rsid w:val="009D2247"/>
    <w:rsid w:val="009D22C7"/>
    <w:rsid w:val="009D2571"/>
    <w:rsid w:val="009D27B8"/>
    <w:rsid w:val="009D2AB1"/>
    <w:rsid w:val="009D2B51"/>
    <w:rsid w:val="009D2B53"/>
    <w:rsid w:val="009D2DB6"/>
    <w:rsid w:val="009D2FC0"/>
    <w:rsid w:val="009D36F0"/>
    <w:rsid w:val="009D38FD"/>
    <w:rsid w:val="009D3D04"/>
    <w:rsid w:val="009D3D3F"/>
    <w:rsid w:val="009D4452"/>
    <w:rsid w:val="009D44A1"/>
    <w:rsid w:val="009D4B18"/>
    <w:rsid w:val="009D4BFF"/>
    <w:rsid w:val="009D4CCA"/>
    <w:rsid w:val="009D4F08"/>
    <w:rsid w:val="009D513F"/>
    <w:rsid w:val="009D5246"/>
    <w:rsid w:val="009D5309"/>
    <w:rsid w:val="009D5521"/>
    <w:rsid w:val="009D56FA"/>
    <w:rsid w:val="009D56FE"/>
    <w:rsid w:val="009D6632"/>
    <w:rsid w:val="009D6801"/>
    <w:rsid w:val="009D71B3"/>
    <w:rsid w:val="009D7445"/>
    <w:rsid w:val="009D761B"/>
    <w:rsid w:val="009D77A1"/>
    <w:rsid w:val="009D7A8E"/>
    <w:rsid w:val="009D7AB8"/>
    <w:rsid w:val="009D7ABF"/>
    <w:rsid w:val="009D7B16"/>
    <w:rsid w:val="009E00AB"/>
    <w:rsid w:val="009E0190"/>
    <w:rsid w:val="009E070C"/>
    <w:rsid w:val="009E0896"/>
    <w:rsid w:val="009E118B"/>
    <w:rsid w:val="009E164A"/>
    <w:rsid w:val="009E19D2"/>
    <w:rsid w:val="009E1E58"/>
    <w:rsid w:val="009E2A87"/>
    <w:rsid w:val="009E2DBD"/>
    <w:rsid w:val="009E3DE0"/>
    <w:rsid w:val="009E44E8"/>
    <w:rsid w:val="009E471E"/>
    <w:rsid w:val="009E4764"/>
    <w:rsid w:val="009E47D3"/>
    <w:rsid w:val="009E4EF7"/>
    <w:rsid w:val="009E509B"/>
    <w:rsid w:val="009E526D"/>
    <w:rsid w:val="009E556A"/>
    <w:rsid w:val="009E6009"/>
    <w:rsid w:val="009E6028"/>
    <w:rsid w:val="009E6C86"/>
    <w:rsid w:val="009E6E78"/>
    <w:rsid w:val="009E744C"/>
    <w:rsid w:val="009E7D0F"/>
    <w:rsid w:val="009F02E8"/>
    <w:rsid w:val="009F0BE8"/>
    <w:rsid w:val="009F0CF3"/>
    <w:rsid w:val="009F0D51"/>
    <w:rsid w:val="009F0F61"/>
    <w:rsid w:val="009F15DE"/>
    <w:rsid w:val="009F1B64"/>
    <w:rsid w:val="009F1DC4"/>
    <w:rsid w:val="009F26FC"/>
    <w:rsid w:val="009F2C7E"/>
    <w:rsid w:val="009F2CB5"/>
    <w:rsid w:val="009F35D4"/>
    <w:rsid w:val="009F3AF1"/>
    <w:rsid w:val="009F3C90"/>
    <w:rsid w:val="009F3E2C"/>
    <w:rsid w:val="009F4460"/>
    <w:rsid w:val="009F493B"/>
    <w:rsid w:val="009F4EF3"/>
    <w:rsid w:val="009F5BE8"/>
    <w:rsid w:val="009F5D93"/>
    <w:rsid w:val="009F6120"/>
    <w:rsid w:val="009F64EB"/>
    <w:rsid w:val="009F685C"/>
    <w:rsid w:val="009F6FD8"/>
    <w:rsid w:val="009F7BFC"/>
    <w:rsid w:val="009F7F3A"/>
    <w:rsid w:val="00A00EAC"/>
    <w:rsid w:val="00A0127B"/>
    <w:rsid w:val="00A01376"/>
    <w:rsid w:val="00A0184A"/>
    <w:rsid w:val="00A01856"/>
    <w:rsid w:val="00A01DD1"/>
    <w:rsid w:val="00A020C2"/>
    <w:rsid w:val="00A02115"/>
    <w:rsid w:val="00A02669"/>
    <w:rsid w:val="00A02732"/>
    <w:rsid w:val="00A02855"/>
    <w:rsid w:val="00A0293A"/>
    <w:rsid w:val="00A02AB5"/>
    <w:rsid w:val="00A02F11"/>
    <w:rsid w:val="00A03350"/>
    <w:rsid w:val="00A03422"/>
    <w:rsid w:val="00A0382F"/>
    <w:rsid w:val="00A038D9"/>
    <w:rsid w:val="00A0425F"/>
    <w:rsid w:val="00A043F6"/>
    <w:rsid w:val="00A04C71"/>
    <w:rsid w:val="00A04D6E"/>
    <w:rsid w:val="00A04E93"/>
    <w:rsid w:val="00A05483"/>
    <w:rsid w:val="00A054B2"/>
    <w:rsid w:val="00A0568E"/>
    <w:rsid w:val="00A05F84"/>
    <w:rsid w:val="00A060A8"/>
    <w:rsid w:val="00A067DC"/>
    <w:rsid w:val="00A068D0"/>
    <w:rsid w:val="00A06CF5"/>
    <w:rsid w:val="00A072AB"/>
    <w:rsid w:val="00A07379"/>
    <w:rsid w:val="00A07666"/>
    <w:rsid w:val="00A078E5"/>
    <w:rsid w:val="00A07C0A"/>
    <w:rsid w:val="00A07F11"/>
    <w:rsid w:val="00A10020"/>
    <w:rsid w:val="00A10147"/>
    <w:rsid w:val="00A10286"/>
    <w:rsid w:val="00A1033A"/>
    <w:rsid w:val="00A10525"/>
    <w:rsid w:val="00A105C0"/>
    <w:rsid w:val="00A108CA"/>
    <w:rsid w:val="00A10CE0"/>
    <w:rsid w:val="00A10DC5"/>
    <w:rsid w:val="00A1116A"/>
    <w:rsid w:val="00A1120D"/>
    <w:rsid w:val="00A115C9"/>
    <w:rsid w:val="00A11621"/>
    <w:rsid w:val="00A12352"/>
    <w:rsid w:val="00A12608"/>
    <w:rsid w:val="00A1261D"/>
    <w:rsid w:val="00A1293E"/>
    <w:rsid w:val="00A12967"/>
    <w:rsid w:val="00A12F38"/>
    <w:rsid w:val="00A12FE7"/>
    <w:rsid w:val="00A132A2"/>
    <w:rsid w:val="00A1340F"/>
    <w:rsid w:val="00A1364A"/>
    <w:rsid w:val="00A1392D"/>
    <w:rsid w:val="00A13E3C"/>
    <w:rsid w:val="00A1415E"/>
    <w:rsid w:val="00A14B33"/>
    <w:rsid w:val="00A14C49"/>
    <w:rsid w:val="00A14DA7"/>
    <w:rsid w:val="00A156ED"/>
    <w:rsid w:val="00A15EAC"/>
    <w:rsid w:val="00A162BE"/>
    <w:rsid w:val="00A16A35"/>
    <w:rsid w:val="00A16AA4"/>
    <w:rsid w:val="00A16AF0"/>
    <w:rsid w:val="00A16BC9"/>
    <w:rsid w:val="00A16C1C"/>
    <w:rsid w:val="00A16D79"/>
    <w:rsid w:val="00A17393"/>
    <w:rsid w:val="00A177EE"/>
    <w:rsid w:val="00A17CC9"/>
    <w:rsid w:val="00A204DD"/>
    <w:rsid w:val="00A20A06"/>
    <w:rsid w:val="00A20B57"/>
    <w:rsid w:val="00A21374"/>
    <w:rsid w:val="00A21B8D"/>
    <w:rsid w:val="00A21E90"/>
    <w:rsid w:val="00A2269E"/>
    <w:rsid w:val="00A22DA5"/>
    <w:rsid w:val="00A22DCF"/>
    <w:rsid w:val="00A23278"/>
    <w:rsid w:val="00A236E0"/>
    <w:rsid w:val="00A23E67"/>
    <w:rsid w:val="00A24267"/>
    <w:rsid w:val="00A2456A"/>
    <w:rsid w:val="00A2469E"/>
    <w:rsid w:val="00A2512F"/>
    <w:rsid w:val="00A2513A"/>
    <w:rsid w:val="00A251B5"/>
    <w:rsid w:val="00A25A00"/>
    <w:rsid w:val="00A25B8B"/>
    <w:rsid w:val="00A25FA8"/>
    <w:rsid w:val="00A26A47"/>
    <w:rsid w:val="00A273C4"/>
    <w:rsid w:val="00A278B4"/>
    <w:rsid w:val="00A279DF"/>
    <w:rsid w:val="00A27D2D"/>
    <w:rsid w:val="00A31195"/>
    <w:rsid w:val="00A311AF"/>
    <w:rsid w:val="00A3163F"/>
    <w:rsid w:val="00A31C44"/>
    <w:rsid w:val="00A31E20"/>
    <w:rsid w:val="00A32206"/>
    <w:rsid w:val="00A32464"/>
    <w:rsid w:val="00A33204"/>
    <w:rsid w:val="00A33A0D"/>
    <w:rsid w:val="00A346E2"/>
    <w:rsid w:val="00A3471A"/>
    <w:rsid w:val="00A3479B"/>
    <w:rsid w:val="00A34865"/>
    <w:rsid w:val="00A34D24"/>
    <w:rsid w:val="00A3535F"/>
    <w:rsid w:val="00A3562D"/>
    <w:rsid w:val="00A359CF"/>
    <w:rsid w:val="00A35A18"/>
    <w:rsid w:val="00A35E43"/>
    <w:rsid w:val="00A3613B"/>
    <w:rsid w:val="00A3637D"/>
    <w:rsid w:val="00A36718"/>
    <w:rsid w:val="00A37533"/>
    <w:rsid w:val="00A37789"/>
    <w:rsid w:val="00A37809"/>
    <w:rsid w:val="00A402CB"/>
    <w:rsid w:val="00A4052D"/>
    <w:rsid w:val="00A4063A"/>
    <w:rsid w:val="00A40972"/>
    <w:rsid w:val="00A4105E"/>
    <w:rsid w:val="00A41888"/>
    <w:rsid w:val="00A41BEB"/>
    <w:rsid w:val="00A41D43"/>
    <w:rsid w:val="00A41E23"/>
    <w:rsid w:val="00A41EBE"/>
    <w:rsid w:val="00A41F37"/>
    <w:rsid w:val="00A4242F"/>
    <w:rsid w:val="00A4272B"/>
    <w:rsid w:val="00A4298F"/>
    <w:rsid w:val="00A42A32"/>
    <w:rsid w:val="00A43100"/>
    <w:rsid w:val="00A4395C"/>
    <w:rsid w:val="00A4397C"/>
    <w:rsid w:val="00A43BD9"/>
    <w:rsid w:val="00A43C3D"/>
    <w:rsid w:val="00A447B6"/>
    <w:rsid w:val="00A44A20"/>
    <w:rsid w:val="00A44AAA"/>
    <w:rsid w:val="00A44F3B"/>
    <w:rsid w:val="00A44F42"/>
    <w:rsid w:val="00A4512F"/>
    <w:rsid w:val="00A45425"/>
    <w:rsid w:val="00A4566B"/>
    <w:rsid w:val="00A456B6"/>
    <w:rsid w:val="00A45A1A"/>
    <w:rsid w:val="00A4602F"/>
    <w:rsid w:val="00A46E20"/>
    <w:rsid w:val="00A46F8B"/>
    <w:rsid w:val="00A47504"/>
    <w:rsid w:val="00A47646"/>
    <w:rsid w:val="00A47807"/>
    <w:rsid w:val="00A47924"/>
    <w:rsid w:val="00A47B6D"/>
    <w:rsid w:val="00A47ECD"/>
    <w:rsid w:val="00A507A4"/>
    <w:rsid w:val="00A5097A"/>
    <w:rsid w:val="00A50A03"/>
    <w:rsid w:val="00A50D47"/>
    <w:rsid w:val="00A51404"/>
    <w:rsid w:val="00A51939"/>
    <w:rsid w:val="00A51F3F"/>
    <w:rsid w:val="00A5264C"/>
    <w:rsid w:val="00A52DF1"/>
    <w:rsid w:val="00A52E91"/>
    <w:rsid w:val="00A532AC"/>
    <w:rsid w:val="00A53416"/>
    <w:rsid w:val="00A54180"/>
    <w:rsid w:val="00A54250"/>
    <w:rsid w:val="00A54363"/>
    <w:rsid w:val="00A546D3"/>
    <w:rsid w:val="00A54803"/>
    <w:rsid w:val="00A54C63"/>
    <w:rsid w:val="00A55534"/>
    <w:rsid w:val="00A55A71"/>
    <w:rsid w:val="00A560BE"/>
    <w:rsid w:val="00A5643E"/>
    <w:rsid w:val="00A567A3"/>
    <w:rsid w:val="00A567F1"/>
    <w:rsid w:val="00A5683B"/>
    <w:rsid w:val="00A56882"/>
    <w:rsid w:val="00A56AE6"/>
    <w:rsid w:val="00A56F68"/>
    <w:rsid w:val="00A57028"/>
    <w:rsid w:val="00A574DA"/>
    <w:rsid w:val="00A57581"/>
    <w:rsid w:val="00A5776C"/>
    <w:rsid w:val="00A577BA"/>
    <w:rsid w:val="00A5792A"/>
    <w:rsid w:val="00A57A31"/>
    <w:rsid w:val="00A57F88"/>
    <w:rsid w:val="00A6025F"/>
    <w:rsid w:val="00A6026E"/>
    <w:rsid w:val="00A60435"/>
    <w:rsid w:val="00A60E02"/>
    <w:rsid w:val="00A6174D"/>
    <w:rsid w:val="00A61C64"/>
    <w:rsid w:val="00A61E4D"/>
    <w:rsid w:val="00A6250D"/>
    <w:rsid w:val="00A62AD1"/>
    <w:rsid w:val="00A62BA9"/>
    <w:rsid w:val="00A62CC7"/>
    <w:rsid w:val="00A62E27"/>
    <w:rsid w:val="00A630C7"/>
    <w:rsid w:val="00A634BC"/>
    <w:rsid w:val="00A6354E"/>
    <w:rsid w:val="00A63AA4"/>
    <w:rsid w:val="00A63E2C"/>
    <w:rsid w:val="00A642AD"/>
    <w:rsid w:val="00A64780"/>
    <w:rsid w:val="00A64E49"/>
    <w:rsid w:val="00A64F74"/>
    <w:rsid w:val="00A65146"/>
    <w:rsid w:val="00A651B2"/>
    <w:rsid w:val="00A6521A"/>
    <w:rsid w:val="00A653C6"/>
    <w:rsid w:val="00A658AB"/>
    <w:rsid w:val="00A65ED0"/>
    <w:rsid w:val="00A66136"/>
    <w:rsid w:val="00A66619"/>
    <w:rsid w:val="00A666BD"/>
    <w:rsid w:val="00A66775"/>
    <w:rsid w:val="00A66C06"/>
    <w:rsid w:val="00A67026"/>
    <w:rsid w:val="00A67600"/>
    <w:rsid w:val="00A70170"/>
    <w:rsid w:val="00A70205"/>
    <w:rsid w:val="00A705F9"/>
    <w:rsid w:val="00A70D24"/>
    <w:rsid w:val="00A711A2"/>
    <w:rsid w:val="00A71496"/>
    <w:rsid w:val="00A7162E"/>
    <w:rsid w:val="00A71A78"/>
    <w:rsid w:val="00A71D8E"/>
    <w:rsid w:val="00A726A1"/>
    <w:rsid w:val="00A72C19"/>
    <w:rsid w:val="00A72D47"/>
    <w:rsid w:val="00A73089"/>
    <w:rsid w:val="00A7310B"/>
    <w:rsid w:val="00A731DD"/>
    <w:rsid w:val="00A73A68"/>
    <w:rsid w:val="00A73ACD"/>
    <w:rsid w:val="00A73BD0"/>
    <w:rsid w:val="00A74705"/>
    <w:rsid w:val="00A74B7F"/>
    <w:rsid w:val="00A75211"/>
    <w:rsid w:val="00A75CB2"/>
    <w:rsid w:val="00A75D54"/>
    <w:rsid w:val="00A762AA"/>
    <w:rsid w:val="00A76AD2"/>
    <w:rsid w:val="00A76D02"/>
    <w:rsid w:val="00A7721F"/>
    <w:rsid w:val="00A7748E"/>
    <w:rsid w:val="00A77511"/>
    <w:rsid w:val="00A779B3"/>
    <w:rsid w:val="00A77A38"/>
    <w:rsid w:val="00A77DD3"/>
    <w:rsid w:val="00A80B2B"/>
    <w:rsid w:val="00A80BD6"/>
    <w:rsid w:val="00A80C96"/>
    <w:rsid w:val="00A80DFC"/>
    <w:rsid w:val="00A81054"/>
    <w:rsid w:val="00A81137"/>
    <w:rsid w:val="00A81248"/>
    <w:rsid w:val="00A81D68"/>
    <w:rsid w:val="00A832EA"/>
    <w:rsid w:val="00A83806"/>
    <w:rsid w:val="00A83BC7"/>
    <w:rsid w:val="00A8417F"/>
    <w:rsid w:val="00A84246"/>
    <w:rsid w:val="00A84500"/>
    <w:rsid w:val="00A84AE2"/>
    <w:rsid w:val="00A85023"/>
    <w:rsid w:val="00A8544D"/>
    <w:rsid w:val="00A8639D"/>
    <w:rsid w:val="00A868BB"/>
    <w:rsid w:val="00A869F7"/>
    <w:rsid w:val="00A86A70"/>
    <w:rsid w:val="00A86D68"/>
    <w:rsid w:val="00A86EB0"/>
    <w:rsid w:val="00A8785E"/>
    <w:rsid w:val="00A87D4F"/>
    <w:rsid w:val="00A900B4"/>
    <w:rsid w:val="00A90297"/>
    <w:rsid w:val="00A908A5"/>
    <w:rsid w:val="00A908A7"/>
    <w:rsid w:val="00A9145E"/>
    <w:rsid w:val="00A914AA"/>
    <w:rsid w:val="00A91613"/>
    <w:rsid w:val="00A91FD2"/>
    <w:rsid w:val="00A9219A"/>
    <w:rsid w:val="00A9240C"/>
    <w:rsid w:val="00A92994"/>
    <w:rsid w:val="00A93528"/>
    <w:rsid w:val="00A93932"/>
    <w:rsid w:val="00A93B31"/>
    <w:rsid w:val="00A93EC1"/>
    <w:rsid w:val="00A948DD"/>
    <w:rsid w:val="00A94A1F"/>
    <w:rsid w:val="00A94F95"/>
    <w:rsid w:val="00A9512D"/>
    <w:rsid w:val="00A9536D"/>
    <w:rsid w:val="00A9569F"/>
    <w:rsid w:val="00A95FCA"/>
    <w:rsid w:val="00A965C2"/>
    <w:rsid w:val="00A965D9"/>
    <w:rsid w:val="00A969F9"/>
    <w:rsid w:val="00A96E84"/>
    <w:rsid w:val="00A97238"/>
    <w:rsid w:val="00A97600"/>
    <w:rsid w:val="00A97B2B"/>
    <w:rsid w:val="00A97B8D"/>
    <w:rsid w:val="00AA03F5"/>
    <w:rsid w:val="00AA0799"/>
    <w:rsid w:val="00AA0D5A"/>
    <w:rsid w:val="00AA100C"/>
    <w:rsid w:val="00AA105D"/>
    <w:rsid w:val="00AA1590"/>
    <w:rsid w:val="00AA15F7"/>
    <w:rsid w:val="00AA1672"/>
    <w:rsid w:val="00AA1798"/>
    <w:rsid w:val="00AA17A6"/>
    <w:rsid w:val="00AA1BE1"/>
    <w:rsid w:val="00AA2135"/>
    <w:rsid w:val="00AA221F"/>
    <w:rsid w:val="00AA2816"/>
    <w:rsid w:val="00AA2B1E"/>
    <w:rsid w:val="00AA2EE4"/>
    <w:rsid w:val="00AA31EB"/>
    <w:rsid w:val="00AA32B8"/>
    <w:rsid w:val="00AA34CB"/>
    <w:rsid w:val="00AA3661"/>
    <w:rsid w:val="00AA3945"/>
    <w:rsid w:val="00AA3D74"/>
    <w:rsid w:val="00AA3DA6"/>
    <w:rsid w:val="00AA3EBD"/>
    <w:rsid w:val="00AA3FD0"/>
    <w:rsid w:val="00AA3FDB"/>
    <w:rsid w:val="00AA3FE6"/>
    <w:rsid w:val="00AA4D27"/>
    <w:rsid w:val="00AA4D5E"/>
    <w:rsid w:val="00AA51B2"/>
    <w:rsid w:val="00AA51EF"/>
    <w:rsid w:val="00AA54C9"/>
    <w:rsid w:val="00AA5BB3"/>
    <w:rsid w:val="00AA5BB7"/>
    <w:rsid w:val="00AA6121"/>
    <w:rsid w:val="00AA6123"/>
    <w:rsid w:val="00AA6195"/>
    <w:rsid w:val="00AA6211"/>
    <w:rsid w:val="00AA6A35"/>
    <w:rsid w:val="00AA6A63"/>
    <w:rsid w:val="00AA6AA0"/>
    <w:rsid w:val="00AA728A"/>
    <w:rsid w:val="00AA7EE0"/>
    <w:rsid w:val="00AB0054"/>
    <w:rsid w:val="00AB00B9"/>
    <w:rsid w:val="00AB0300"/>
    <w:rsid w:val="00AB05AB"/>
    <w:rsid w:val="00AB092C"/>
    <w:rsid w:val="00AB0FBB"/>
    <w:rsid w:val="00AB1276"/>
    <w:rsid w:val="00AB1298"/>
    <w:rsid w:val="00AB13CE"/>
    <w:rsid w:val="00AB149B"/>
    <w:rsid w:val="00AB1796"/>
    <w:rsid w:val="00AB17CE"/>
    <w:rsid w:val="00AB1C08"/>
    <w:rsid w:val="00AB1CA9"/>
    <w:rsid w:val="00AB20FC"/>
    <w:rsid w:val="00AB21B0"/>
    <w:rsid w:val="00AB2273"/>
    <w:rsid w:val="00AB23FB"/>
    <w:rsid w:val="00AB25A5"/>
    <w:rsid w:val="00AB28DA"/>
    <w:rsid w:val="00AB36E9"/>
    <w:rsid w:val="00AB3D40"/>
    <w:rsid w:val="00AB40DE"/>
    <w:rsid w:val="00AB4A05"/>
    <w:rsid w:val="00AB4C18"/>
    <w:rsid w:val="00AB4E15"/>
    <w:rsid w:val="00AB53D3"/>
    <w:rsid w:val="00AB56B3"/>
    <w:rsid w:val="00AB5AEC"/>
    <w:rsid w:val="00AB5EFC"/>
    <w:rsid w:val="00AB63C3"/>
    <w:rsid w:val="00AB65DB"/>
    <w:rsid w:val="00AB6A6E"/>
    <w:rsid w:val="00AB6DEE"/>
    <w:rsid w:val="00AB7198"/>
    <w:rsid w:val="00AB7D69"/>
    <w:rsid w:val="00AC0245"/>
    <w:rsid w:val="00AC02F1"/>
    <w:rsid w:val="00AC0613"/>
    <w:rsid w:val="00AC0A01"/>
    <w:rsid w:val="00AC0C2C"/>
    <w:rsid w:val="00AC1DCA"/>
    <w:rsid w:val="00AC1E1E"/>
    <w:rsid w:val="00AC21DF"/>
    <w:rsid w:val="00AC2E2C"/>
    <w:rsid w:val="00AC365D"/>
    <w:rsid w:val="00AC3FF5"/>
    <w:rsid w:val="00AC4103"/>
    <w:rsid w:val="00AC428D"/>
    <w:rsid w:val="00AC46BC"/>
    <w:rsid w:val="00AC4B72"/>
    <w:rsid w:val="00AC5386"/>
    <w:rsid w:val="00AC5396"/>
    <w:rsid w:val="00AC548D"/>
    <w:rsid w:val="00AC5B55"/>
    <w:rsid w:val="00AC5C5E"/>
    <w:rsid w:val="00AC5CF4"/>
    <w:rsid w:val="00AC5E31"/>
    <w:rsid w:val="00AC613F"/>
    <w:rsid w:val="00AC6183"/>
    <w:rsid w:val="00AC63F7"/>
    <w:rsid w:val="00AC65A3"/>
    <w:rsid w:val="00AC6782"/>
    <w:rsid w:val="00AC682B"/>
    <w:rsid w:val="00AC68D6"/>
    <w:rsid w:val="00AC6945"/>
    <w:rsid w:val="00AC6D40"/>
    <w:rsid w:val="00AC7AAF"/>
    <w:rsid w:val="00AC7D2A"/>
    <w:rsid w:val="00AC7FD7"/>
    <w:rsid w:val="00AD03A1"/>
    <w:rsid w:val="00AD0558"/>
    <w:rsid w:val="00AD07B2"/>
    <w:rsid w:val="00AD09E8"/>
    <w:rsid w:val="00AD0CD6"/>
    <w:rsid w:val="00AD13FD"/>
    <w:rsid w:val="00AD1644"/>
    <w:rsid w:val="00AD1CD7"/>
    <w:rsid w:val="00AD1FF4"/>
    <w:rsid w:val="00AD2211"/>
    <w:rsid w:val="00AD23AC"/>
    <w:rsid w:val="00AD290C"/>
    <w:rsid w:val="00AD2D85"/>
    <w:rsid w:val="00AD31B5"/>
    <w:rsid w:val="00AD3888"/>
    <w:rsid w:val="00AD3BDF"/>
    <w:rsid w:val="00AD3DCC"/>
    <w:rsid w:val="00AD42C0"/>
    <w:rsid w:val="00AD438F"/>
    <w:rsid w:val="00AD43FA"/>
    <w:rsid w:val="00AD48E9"/>
    <w:rsid w:val="00AD4D76"/>
    <w:rsid w:val="00AD50E6"/>
    <w:rsid w:val="00AD5CB7"/>
    <w:rsid w:val="00AD60F3"/>
    <w:rsid w:val="00AD6156"/>
    <w:rsid w:val="00AD63A4"/>
    <w:rsid w:val="00AD64B0"/>
    <w:rsid w:val="00AD6558"/>
    <w:rsid w:val="00AD6561"/>
    <w:rsid w:val="00AD67B4"/>
    <w:rsid w:val="00AD6ACD"/>
    <w:rsid w:val="00AD7032"/>
    <w:rsid w:val="00AD7EBB"/>
    <w:rsid w:val="00AE01A5"/>
    <w:rsid w:val="00AE04DC"/>
    <w:rsid w:val="00AE0632"/>
    <w:rsid w:val="00AE07C5"/>
    <w:rsid w:val="00AE115F"/>
    <w:rsid w:val="00AE1634"/>
    <w:rsid w:val="00AE1A18"/>
    <w:rsid w:val="00AE1AD3"/>
    <w:rsid w:val="00AE1BBB"/>
    <w:rsid w:val="00AE1ED5"/>
    <w:rsid w:val="00AE259A"/>
    <w:rsid w:val="00AE279F"/>
    <w:rsid w:val="00AE2B25"/>
    <w:rsid w:val="00AE2C2B"/>
    <w:rsid w:val="00AE3414"/>
    <w:rsid w:val="00AE3CED"/>
    <w:rsid w:val="00AE494A"/>
    <w:rsid w:val="00AE51E6"/>
    <w:rsid w:val="00AE564C"/>
    <w:rsid w:val="00AE5F4E"/>
    <w:rsid w:val="00AE5FAF"/>
    <w:rsid w:val="00AE60CD"/>
    <w:rsid w:val="00AE6208"/>
    <w:rsid w:val="00AE6656"/>
    <w:rsid w:val="00AE6AD8"/>
    <w:rsid w:val="00AE7444"/>
    <w:rsid w:val="00AE7736"/>
    <w:rsid w:val="00AF017D"/>
    <w:rsid w:val="00AF027B"/>
    <w:rsid w:val="00AF03D9"/>
    <w:rsid w:val="00AF05B2"/>
    <w:rsid w:val="00AF0769"/>
    <w:rsid w:val="00AF0DD8"/>
    <w:rsid w:val="00AF1276"/>
    <w:rsid w:val="00AF1353"/>
    <w:rsid w:val="00AF1564"/>
    <w:rsid w:val="00AF1673"/>
    <w:rsid w:val="00AF1C1F"/>
    <w:rsid w:val="00AF1EEC"/>
    <w:rsid w:val="00AF2010"/>
    <w:rsid w:val="00AF22FA"/>
    <w:rsid w:val="00AF2559"/>
    <w:rsid w:val="00AF2B6F"/>
    <w:rsid w:val="00AF3881"/>
    <w:rsid w:val="00AF3C18"/>
    <w:rsid w:val="00AF4E38"/>
    <w:rsid w:val="00AF4EFB"/>
    <w:rsid w:val="00AF4F47"/>
    <w:rsid w:val="00AF5428"/>
    <w:rsid w:val="00AF5A5F"/>
    <w:rsid w:val="00AF5C58"/>
    <w:rsid w:val="00AF5FB6"/>
    <w:rsid w:val="00AF63A9"/>
    <w:rsid w:val="00AF67E7"/>
    <w:rsid w:val="00AF6C0B"/>
    <w:rsid w:val="00AF6CCD"/>
    <w:rsid w:val="00AF70D8"/>
    <w:rsid w:val="00AF72A0"/>
    <w:rsid w:val="00AF7326"/>
    <w:rsid w:val="00AF7425"/>
    <w:rsid w:val="00AF7442"/>
    <w:rsid w:val="00AF7606"/>
    <w:rsid w:val="00B0047D"/>
    <w:rsid w:val="00B004DD"/>
    <w:rsid w:val="00B006A0"/>
    <w:rsid w:val="00B00709"/>
    <w:rsid w:val="00B00AB7"/>
    <w:rsid w:val="00B00B39"/>
    <w:rsid w:val="00B00B81"/>
    <w:rsid w:val="00B00C40"/>
    <w:rsid w:val="00B01563"/>
    <w:rsid w:val="00B01F86"/>
    <w:rsid w:val="00B0204B"/>
    <w:rsid w:val="00B0224B"/>
    <w:rsid w:val="00B028AB"/>
    <w:rsid w:val="00B035BA"/>
    <w:rsid w:val="00B03ABB"/>
    <w:rsid w:val="00B03D13"/>
    <w:rsid w:val="00B04217"/>
    <w:rsid w:val="00B0476E"/>
    <w:rsid w:val="00B04F76"/>
    <w:rsid w:val="00B0531D"/>
    <w:rsid w:val="00B053FA"/>
    <w:rsid w:val="00B05401"/>
    <w:rsid w:val="00B054E7"/>
    <w:rsid w:val="00B0568F"/>
    <w:rsid w:val="00B0583A"/>
    <w:rsid w:val="00B05BA9"/>
    <w:rsid w:val="00B05F6A"/>
    <w:rsid w:val="00B06338"/>
    <w:rsid w:val="00B064A3"/>
    <w:rsid w:val="00B06E9B"/>
    <w:rsid w:val="00B0726B"/>
    <w:rsid w:val="00B07386"/>
    <w:rsid w:val="00B074D6"/>
    <w:rsid w:val="00B07BA4"/>
    <w:rsid w:val="00B10012"/>
    <w:rsid w:val="00B10B9F"/>
    <w:rsid w:val="00B10CC3"/>
    <w:rsid w:val="00B10D04"/>
    <w:rsid w:val="00B113A6"/>
    <w:rsid w:val="00B116AF"/>
    <w:rsid w:val="00B117DF"/>
    <w:rsid w:val="00B1180F"/>
    <w:rsid w:val="00B11A5E"/>
    <w:rsid w:val="00B11AE6"/>
    <w:rsid w:val="00B11B32"/>
    <w:rsid w:val="00B11FA3"/>
    <w:rsid w:val="00B1206E"/>
    <w:rsid w:val="00B12927"/>
    <w:rsid w:val="00B1315A"/>
    <w:rsid w:val="00B1374F"/>
    <w:rsid w:val="00B13905"/>
    <w:rsid w:val="00B13BF8"/>
    <w:rsid w:val="00B141B9"/>
    <w:rsid w:val="00B141D0"/>
    <w:rsid w:val="00B14785"/>
    <w:rsid w:val="00B14E46"/>
    <w:rsid w:val="00B157EA"/>
    <w:rsid w:val="00B15DAF"/>
    <w:rsid w:val="00B15E5D"/>
    <w:rsid w:val="00B1646E"/>
    <w:rsid w:val="00B16D2E"/>
    <w:rsid w:val="00B16FB7"/>
    <w:rsid w:val="00B1715C"/>
    <w:rsid w:val="00B17272"/>
    <w:rsid w:val="00B17488"/>
    <w:rsid w:val="00B17AC1"/>
    <w:rsid w:val="00B17CA9"/>
    <w:rsid w:val="00B17E0F"/>
    <w:rsid w:val="00B17F72"/>
    <w:rsid w:val="00B2034D"/>
    <w:rsid w:val="00B20628"/>
    <w:rsid w:val="00B2083F"/>
    <w:rsid w:val="00B21122"/>
    <w:rsid w:val="00B216D3"/>
    <w:rsid w:val="00B217EC"/>
    <w:rsid w:val="00B218D8"/>
    <w:rsid w:val="00B21B8A"/>
    <w:rsid w:val="00B21C2A"/>
    <w:rsid w:val="00B2224C"/>
    <w:rsid w:val="00B222D8"/>
    <w:rsid w:val="00B22DAD"/>
    <w:rsid w:val="00B232CB"/>
    <w:rsid w:val="00B236DA"/>
    <w:rsid w:val="00B23E76"/>
    <w:rsid w:val="00B2426F"/>
    <w:rsid w:val="00B2432E"/>
    <w:rsid w:val="00B24EF9"/>
    <w:rsid w:val="00B254FD"/>
    <w:rsid w:val="00B25650"/>
    <w:rsid w:val="00B25832"/>
    <w:rsid w:val="00B25AD0"/>
    <w:rsid w:val="00B25B28"/>
    <w:rsid w:val="00B25D11"/>
    <w:rsid w:val="00B25E12"/>
    <w:rsid w:val="00B25F7F"/>
    <w:rsid w:val="00B25FA4"/>
    <w:rsid w:val="00B2770A"/>
    <w:rsid w:val="00B277B7"/>
    <w:rsid w:val="00B27D0A"/>
    <w:rsid w:val="00B27E6F"/>
    <w:rsid w:val="00B30764"/>
    <w:rsid w:val="00B30A83"/>
    <w:rsid w:val="00B314ED"/>
    <w:rsid w:val="00B31740"/>
    <w:rsid w:val="00B319A6"/>
    <w:rsid w:val="00B320E6"/>
    <w:rsid w:val="00B32253"/>
    <w:rsid w:val="00B32446"/>
    <w:rsid w:val="00B3273F"/>
    <w:rsid w:val="00B3312E"/>
    <w:rsid w:val="00B331FC"/>
    <w:rsid w:val="00B333BB"/>
    <w:rsid w:val="00B335BC"/>
    <w:rsid w:val="00B336FA"/>
    <w:rsid w:val="00B34061"/>
    <w:rsid w:val="00B3422B"/>
    <w:rsid w:val="00B34281"/>
    <w:rsid w:val="00B34445"/>
    <w:rsid w:val="00B35247"/>
    <w:rsid w:val="00B3534F"/>
    <w:rsid w:val="00B35B3D"/>
    <w:rsid w:val="00B35DA6"/>
    <w:rsid w:val="00B35E9C"/>
    <w:rsid w:val="00B35EA1"/>
    <w:rsid w:val="00B36396"/>
    <w:rsid w:val="00B36BF5"/>
    <w:rsid w:val="00B37369"/>
    <w:rsid w:val="00B3754B"/>
    <w:rsid w:val="00B375AF"/>
    <w:rsid w:val="00B37664"/>
    <w:rsid w:val="00B37D47"/>
    <w:rsid w:val="00B37DA9"/>
    <w:rsid w:val="00B40393"/>
    <w:rsid w:val="00B40B0B"/>
    <w:rsid w:val="00B40B2C"/>
    <w:rsid w:val="00B40B33"/>
    <w:rsid w:val="00B41023"/>
    <w:rsid w:val="00B4158C"/>
    <w:rsid w:val="00B4164A"/>
    <w:rsid w:val="00B41E2B"/>
    <w:rsid w:val="00B421B6"/>
    <w:rsid w:val="00B43809"/>
    <w:rsid w:val="00B43F1F"/>
    <w:rsid w:val="00B44BB7"/>
    <w:rsid w:val="00B45123"/>
    <w:rsid w:val="00B45185"/>
    <w:rsid w:val="00B45C1E"/>
    <w:rsid w:val="00B45E23"/>
    <w:rsid w:val="00B461BE"/>
    <w:rsid w:val="00B464B9"/>
    <w:rsid w:val="00B46BC5"/>
    <w:rsid w:val="00B502E4"/>
    <w:rsid w:val="00B503A5"/>
    <w:rsid w:val="00B50818"/>
    <w:rsid w:val="00B508EB"/>
    <w:rsid w:val="00B51203"/>
    <w:rsid w:val="00B51CD4"/>
    <w:rsid w:val="00B51D5D"/>
    <w:rsid w:val="00B51DEF"/>
    <w:rsid w:val="00B52970"/>
    <w:rsid w:val="00B52B31"/>
    <w:rsid w:val="00B52EE5"/>
    <w:rsid w:val="00B53565"/>
    <w:rsid w:val="00B5364F"/>
    <w:rsid w:val="00B53893"/>
    <w:rsid w:val="00B53CF0"/>
    <w:rsid w:val="00B544FF"/>
    <w:rsid w:val="00B5459B"/>
    <w:rsid w:val="00B5462A"/>
    <w:rsid w:val="00B54DF4"/>
    <w:rsid w:val="00B54F0D"/>
    <w:rsid w:val="00B554F0"/>
    <w:rsid w:val="00B55956"/>
    <w:rsid w:val="00B5663B"/>
    <w:rsid w:val="00B56951"/>
    <w:rsid w:val="00B56FCE"/>
    <w:rsid w:val="00B57160"/>
    <w:rsid w:val="00B57C2F"/>
    <w:rsid w:val="00B57D0B"/>
    <w:rsid w:val="00B57D51"/>
    <w:rsid w:val="00B60278"/>
    <w:rsid w:val="00B606EC"/>
    <w:rsid w:val="00B60ABB"/>
    <w:rsid w:val="00B60B0D"/>
    <w:rsid w:val="00B60F1D"/>
    <w:rsid w:val="00B60FA5"/>
    <w:rsid w:val="00B614BF"/>
    <w:rsid w:val="00B61B74"/>
    <w:rsid w:val="00B61BA9"/>
    <w:rsid w:val="00B61C17"/>
    <w:rsid w:val="00B620F4"/>
    <w:rsid w:val="00B626D3"/>
    <w:rsid w:val="00B628D7"/>
    <w:rsid w:val="00B62969"/>
    <w:rsid w:val="00B62982"/>
    <w:rsid w:val="00B62FE8"/>
    <w:rsid w:val="00B63964"/>
    <w:rsid w:val="00B63BC6"/>
    <w:rsid w:val="00B63C57"/>
    <w:rsid w:val="00B6412C"/>
    <w:rsid w:val="00B6453A"/>
    <w:rsid w:val="00B6506B"/>
    <w:rsid w:val="00B6596E"/>
    <w:rsid w:val="00B65E6E"/>
    <w:rsid w:val="00B66051"/>
    <w:rsid w:val="00B660B6"/>
    <w:rsid w:val="00B66364"/>
    <w:rsid w:val="00B66C93"/>
    <w:rsid w:val="00B66F36"/>
    <w:rsid w:val="00B67417"/>
    <w:rsid w:val="00B6776A"/>
    <w:rsid w:val="00B70125"/>
    <w:rsid w:val="00B70181"/>
    <w:rsid w:val="00B7028F"/>
    <w:rsid w:val="00B704E6"/>
    <w:rsid w:val="00B70946"/>
    <w:rsid w:val="00B70955"/>
    <w:rsid w:val="00B70DEA"/>
    <w:rsid w:val="00B70F62"/>
    <w:rsid w:val="00B717E9"/>
    <w:rsid w:val="00B71C47"/>
    <w:rsid w:val="00B72406"/>
    <w:rsid w:val="00B72810"/>
    <w:rsid w:val="00B728DF"/>
    <w:rsid w:val="00B72BEE"/>
    <w:rsid w:val="00B72CA9"/>
    <w:rsid w:val="00B73016"/>
    <w:rsid w:val="00B7340C"/>
    <w:rsid w:val="00B73B26"/>
    <w:rsid w:val="00B73F8D"/>
    <w:rsid w:val="00B73FBC"/>
    <w:rsid w:val="00B747C5"/>
    <w:rsid w:val="00B74BE6"/>
    <w:rsid w:val="00B750BF"/>
    <w:rsid w:val="00B7578D"/>
    <w:rsid w:val="00B75B8E"/>
    <w:rsid w:val="00B75C88"/>
    <w:rsid w:val="00B75EED"/>
    <w:rsid w:val="00B7696A"/>
    <w:rsid w:val="00B77020"/>
    <w:rsid w:val="00B77202"/>
    <w:rsid w:val="00B77692"/>
    <w:rsid w:val="00B77A48"/>
    <w:rsid w:val="00B80170"/>
    <w:rsid w:val="00B804AB"/>
    <w:rsid w:val="00B8069F"/>
    <w:rsid w:val="00B807CF"/>
    <w:rsid w:val="00B80CF2"/>
    <w:rsid w:val="00B8107A"/>
    <w:rsid w:val="00B81341"/>
    <w:rsid w:val="00B81450"/>
    <w:rsid w:val="00B81500"/>
    <w:rsid w:val="00B81802"/>
    <w:rsid w:val="00B8193E"/>
    <w:rsid w:val="00B81FC5"/>
    <w:rsid w:val="00B82471"/>
    <w:rsid w:val="00B829F3"/>
    <w:rsid w:val="00B82D8E"/>
    <w:rsid w:val="00B82E3E"/>
    <w:rsid w:val="00B82F59"/>
    <w:rsid w:val="00B8312E"/>
    <w:rsid w:val="00B8427B"/>
    <w:rsid w:val="00B847F4"/>
    <w:rsid w:val="00B84A1D"/>
    <w:rsid w:val="00B84A3E"/>
    <w:rsid w:val="00B84C00"/>
    <w:rsid w:val="00B84C24"/>
    <w:rsid w:val="00B84F84"/>
    <w:rsid w:val="00B8513B"/>
    <w:rsid w:val="00B85418"/>
    <w:rsid w:val="00B854B5"/>
    <w:rsid w:val="00B857DC"/>
    <w:rsid w:val="00B858BF"/>
    <w:rsid w:val="00B85BCF"/>
    <w:rsid w:val="00B85C74"/>
    <w:rsid w:val="00B85EE0"/>
    <w:rsid w:val="00B86620"/>
    <w:rsid w:val="00B86ED2"/>
    <w:rsid w:val="00B87077"/>
    <w:rsid w:val="00B87262"/>
    <w:rsid w:val="00B90DDE"/>
    <w:rsid w:val="00B90EAE"/>
    <w:rsid w:val="00B91264"/>
    <w:rsid w:val="00B916C8"/>
    <w:rsid w:val="00B91726"/>
    <w:rsid w:val="00B91C7E"/>
    <w:rsid w:val="00B91D29"/>
    <w:rsid w:val="00B9216B"/>
    <w:rsid w:val="00B922E1"/>
    <w:rsid w:val="00B92F4F"/>
    <w:rsid w:val="00B939FF"/>
    <w:rsid w:val="00B93AC4"/>
    <w:rsid w:val="00B93B07"/>
    <w:rsid w:val="00B93B62"/>
    <w:rsid w:val="00B93E03"/>
    <w:rsid w:val="00B942D0"/>
    <w:rsid w:val="00B94B19"/>
    <w:rsid w:val="00B94C6E"/>
    <w:rsid w:val="00B95013"/>
    <w:rsid w:val="00B950BB"/>
    <w:rsid w:val="00B9511F"/>
    <w:rsid w:val="00B95AF9"/>
    <w:rsid w:val="00B95B1E"/>
    <w:rsid w:val="00B95CBD"/>
    <w:rsid w:val="00B95F68"/>
    <w:rsid w:val="00B9639E"/>
    <w:rsid w:val="00B96592"/>
    <w:rsid w:val="00B9660C"/>
    <w:rsid w:val="00B967F5"/>
    <w:rsid w:val="00B969DA"/>
    <w:rsid w:val="00B96A91"/>
    <w:rsid w:val="00B96C2A"/>
    <w:rsid w:val="00B97C2D"/>
    <w:rsid w:val="00B97C3F"/>
    <w:rsid w:val="00B97CC9"/>
    <w:rsid w:val="00BA00C4"/>
    <w:rsid w:val="00BA070B"/>
    <w:rsid w:val="00BA0730"/>
    <w:rsid w:val="00BA07EF"/>
    <w:rsid w:val="00BA08F0"/>
    <w:rsid w:val="00BA0A4F"/>
    <w:rsid w:val="00BA166B"/>
    <w:rsid w:val="00BA1AF9"/>
    <w:rsid w:val="00BA1B11"/>
    <w:rsid w:val="00BA1B92"/>
    <w:rsid w:val="00BA3012"/>
    <w:rsid w:val="00BA351C"/>
    <w:rsid w:val="00BA3DEF"/>
    <w:rsid w:val="00BA4303"/>
    <w:rsid w:val="00BA4431"/>
    <w:rsid w:val="00BA4656"/>
    <w:rsid w:val="00BA469D"/>
    <w:rsid w:val="00BA4CCE"/>
    <w:rsid w:val="00BA5617"/>
    <w:rsid w:val="00BA5EAB"/>
    <w:rsid w:val="00BA5F95"/>
    <w:rsid w:val="00BA663C"/>
    <w:rsid w:val="00BA7568"/>
    <w:rsid w:val="00BA762C"/>
    <w:rsid w:val="00BA7814"/>
    <w:rsid w:val="00BA7E15"/>
    <w:rsid w:val="00BA7EA0"/>
    <w:rsid w:val="00BA7EDC"/>
    <w:rsid w:val="00BA7F04"/>
    <w:rsid w:val="00BB0020"/>
    <w:rsid w:val="00BB0059"/>
    <w:rsid w:val="00BB0C99"/>
    <w:rsid w:val="00BB0E8F"/>
    <w:rsid w:val="00BB0F7A"/>
    <w:rsid w:val="00BB14BA"/>
    <w:rsid w:val="00BB1748"/>
    <w:rsid w:val="00BB1A66"/>
    <w:rsid w:val="00BB1C1F"/>
    <w:rsid w:val="00BB20A7"/>
    <w:rsid w:val="00BB250D"/>
    <w:rsid w:val="00BB28AB"/>
    <w:rsid w:val="00BB2E42"/>
    <w:rsid w:val="00BB34F1"/>
    <w:rsid w:val="00BB37A9"/>
    <w:rsid w:val="00BB3A24"/>
    <w:rsid w:val="00BB3AE8"/>
    <w:rsid w:val="00BB3DFF"/>
    <w:rsid w:val="00BB40F2"/>
    <w:rsid w:val="00BB46B2"/>
    <w:rsid w:val="00BB4713"/>
    <w:rsid w:val="00BB4AB5"/>
    <w:rsid w:val="00BB4FC7"/>
    <w:rsid w:val="00BB4FF1"/>
    <w:rsid w:val="00BB5EAE"/>
    <w:rsid w:val="00BB5F3F"/>
    <w:rsid w:val="00BB64D0"/>
    <w:rsid w:val="00BB665B"/>
    <w:rsid w:val="00BB6840"/>
    <w:rsid w:val="00BB6A84"/>
    <w:rsid w:val="00BB7A7E"/>
    <w:rsid w:val="00BB7F72"/>
    <w:rsid w:val="00BC00A5"/>
    <w:rsid w:val="00BC00D3"/>
    <w:rsid w:val="00BC0154"/>
    <w:rsid w:val="00BC046C"/>
    <w:rsid w:val="00BC077C"/>
    <w:rsid w:val="00BC07A2"/>
    <w:rsid w:val="00BC07CD"/>
    <w:rsid w:val="00BC10F6"/>
    <w:rsid w:val="00BC1ADD"/>
    <w:rsid w:val="00BC1C01"/>
    <w:rsid w:val="00BC2607"/>
    <w:rsid w:val="00BC2A86"/>
    <w:rsid w:val="00BC3121"/>
    <w:rsid w:val="00BC313F"/>
    <w:rsid w:val="00BC3760"/>
    <w:rsid w:val="00BC380A"/>
    <w:rsid w:val="00BC38E8"/>
    <w:rsid w:val="00BC3991"/>
    <w:rsid w:val="00BC3A4B"/>
    <w:rsid w:val="00BC3C85"/>
    <w:rsid w:val="00BC41DB"/>
    <w:rsid w:val="00BC4224"/>
    <w:rsid w:val="00BC42FA"/>
    <w:rsid w:val="00BC44D7"/>
    <w:rsid w:val="00BC47D6"/>
    <w:rsid w:val="00BC4A65"/>
    <w:rsid w:val="00BC526F"/>
    <w:rsid w:val="00BC5C20"/>
    <w:rsid w:val="00BC5C4A"/>
    <w:rsid w:val="00BC624A"/>
    <w:rsid w:val="00BC6757"/>
    <w:rsid w:val="00BC6760"/>
    <w:rsid w:val="00BC68A4"/>
    <w:rsid w:val="00BC697A"/>
    <w:rsid w:val="00BC6B91"/>
    <w:rsid w:val="00BC6F93"/>
    <w:rsid w:val="00BC7588"/>
    <w:rsid w:val="00BC7767"/>
    <w:rsid w:val="00BC7B7B"/>
    <w:rsid w:val="00BD046F"/>
    <w:rsid w:val="00BD0487"/>
    <w:rsid w:val="00BD0CB9"/>
    <w:rsid w:val="00BD0DC5"/>
    <w:rsid w:val="00BD1057"/>
    <w:rsid w:val="00BD10E2"/>
    <w:rsid w:val="00BD145F"/>
    <w:rsid w:val="00BD1576"/>
    <w:rsid w:val="00BD1E64"/>
    <w:rsid w:val="00BD1F48"/>
    <w:rsid w:val="00BD285C"/>
    <w:rsid w:val="00BD2A94"/>
    <w:rsid w:val="00BD2E73"/>
    <w:rsid w:val="00BD2ED2"/>
    <w:rsid w:val="00BD3523"/>
    <w:rsid w:val="00BD37F4"/>
    <w:rsid w:val="00BD39D8"/>
    <w:rsid w:val="00BD46F1"/>
    <w:rsid w:val="00BD4A78"/>
    <w:rsid w:val="00BD4B16"/>
    <w:rsid w:val="00BD4F83"/>
    <w:rsid w:val="00BD5300"/>
    <w:rsid w:val="00BD55AC"/>
    <w:rsid w:val="00BD69B6"/>
    <w:rsid w:val="00BD6A61"/>
    <w:rsid w:val="00BD6EA8"/>
    <w:rsid w:val="00BD6FB5"/>
    <w:rsid w:val="00BD7538"/>
    <w:rsid w:val="00BD7744"/>
    <w:rsid w:val="00BD7BA1"/>
    <w:rsid w:val="00BD7CD8"/>
    <w:rsid w:val="00BD7E8B"/>
    <w:rsid w:val="00BD7EBC"/>
    <w:rsid w:val="00BE099E"/>
    <w:rsid w:val="00BE0FAC"/>
    <w:rsid w:val="00BE10FA"/>
    <w:rsid w:val="00BE13C5"/>
    <w:rsid w:val="00BE1C2D"/>
    <w:rsid w:val="00BE237B"/>
    <w:rsid w:val="00BE3020"/>
    <w:rsid w:val="00BE308A"/>
    <w:rsid w:val="00BE34CE"/>
    <w:rsid w:val="00BE3660"/>
    <w:rsid w:val="00BE3E12"/>
    <w:rsid w:val="00BE3E5F"/>
    <w:rsid w:val="00BE44B4"/>
    <w:rsid w:val="00BE44C2"/>
    <w:rsid w:val="00BE4615"/>
    <w:rsid w:val="00BE4C3E"/>
    <w:rsid w:val="00BE5681"/>
    <w:rsid w:val="00BE5ADA"/>
    <w:rsid w:val="00BE5D26"/>
    <w:rsid w:val="00BE5D95"/>
    <w:rsid w:val="00BE65ED"/>
    <w:rsid w:val="00BE66E5"/>
    <w:rsid w:val="00BE6CB8"/>
    <w:rsid w:val="00BE6E2A"/>
    <w:rsid w:val="00BE7110"/>
    <w:rsid w:val="00BE7C1C"/>
    <w:rsid w:val="00BF0032"/>
    <w:rsid w:val="00BF0326"/>
    <w:rsid w:val="00BF0B1F"/>
    <w:rsid w:val="00BF0D63"/>
    <w:rsid w:val="00BF10F2"/>
    <w:rsid w:val="00BF126A"/>
    <w:rsid w:val="00BF13E3"/>
    <w:rsid w:val="00BF15C6"/>
    <w:rsid w:val="00BF1673"/>
    <w:rsid w:val="00BF1FEA"/>
    <w:rsid w:val="00BF2300"/>
    <w:rsid w:val="00BF3286"/>
    <w:rsid w:val="00BF33E3"/>
    <w:rsid w:val="00BF3504"/>
    <w:rsid w:val="00BF37F7"/>
    <w:rsid w:val="00BF3D1C"/>
    <w:rsid w:val="00BF3E5F"/>
    <w:rsid w:val="00BF41B3"/>
    <w:rsid w:val="00BF42BC"/>
    <w:rsid w:val="00BF433E"/>
    <w:rsid w:val="00BF48B2"/>
    <w:rsid w:val="00BF4924"/>
    <w:rsid w:val="00BF4C67"/>
    <w:rsid w:val="00BF53D8"/>
    <w:rsid w:val="00BF544B"/>
    <w:rsid w:val="00BF5830"/>
    <w:rsid w:val="00BF5CDC"/>
    <w:rsid w:val="00BF6328"/>
    <w:rsid w:val="00BF6492"/>
    <w:rsid w:val="00BF65A0"/>
    <w:rsid w:val="00BF680F"/>
    <w:rsid w:val="00BF68D3"/>
    <w:rsid w:val="00BF6B23"/>
    <w:rsid w:val="00BF73BF"/>
    <w:rsid w:val="00BF742D"/>
    <w:rsid w:val="00BF74DD"/>
    <w:rsid w:val="00BF74EE"/>
    <w:rsid w:val="00BF759D"/>
    <w:rsid w:val="00BF79C4"/>
    <w:rsid w:val="00C006F1"/>
    <w:rsid w:val="00C009BE"/>
    <w:rsid w:val="00C00A82"/>
    <w:rsid w:val="00C00F1F"/>
    <w:rsid w:val="00C01187"/>
    <w:rsid w:val="00C0124E"/>
    <w:rsid w:val="00C02254"/>
    <w:rsid w:val="00C02850"/>
    <w:rsid w:val="00C030CF"/>
    <w:rsid w:val="00C03115"/>
    <w:rsid w:val="00C0355C"/>
    <w:rsid w:val="00C03EDA"/>
    <w:rsid w:val="00C041BA"/>
    <w:rsid w:val="00C044BA"/>
    <w:rsid w:val="00C0510F"/>
    <w:rsid w:val="00C0513F"/>
    <w:rsid w:val="00C059A4"/>
    <w:rsid w:val="00C061C5"/>
    <w:rsid w:val="00C06676"/>
    <w:rsid w:val="00C07470"/>
    <w:rsid w:val="00C075AC"/>
    <w:rsid w:val="00C0773D"/>
    <w:rsid w:val="00C07966"/>
    <w:rsid w:val="00C079EA"/>
    <w:rsid w:val="00C07AB2"/>
    <w:rsid w:val="00C07ABC"/>
    <w:rsid w:val="00C104BA"/>
    <w:rsid w:val="00C10507"/>
    <w:rsid w:val="00C107C5"/>
    <w:rsid w:val="00C10827"/>
    <w:rsid w:val="00C10DA7"/>
    <w:rsid w:val="00C113E3"/>
    <w:rsid w:val="00C114CF"/>
    <w:rsid w:val="00C114F2"/>
    <w:rsid w:val="00C116F1"/>
    <w:rsid w:val="00C11767"/>
    <w:rsid w:val="00C11A0E"/>
    <w:rsid w:val="00C11F40"/>
    <w:rsid w:val="00C120E3"/>
    <w:rsid w:val="00C12469"/>
    <w:rsid w:val="00C1296F"/>
    <w:rsid w:val="00C12C73"/>
    <w:rsid w:val="00C12DA9"/>
    <w:rsid w:val="00C13087"/>
    <w:rsid w:val="00C1308E"/>
    <w:rsid w:val="00C13281"/>
    <w:rsid w:val="00C1328D"/>
    <w:rsid w:val="00C1330D"/>
    <w:rsid w:val="00C133D8"/>
    <w:rsid w:val="00C13581"/>
    <w:rsid w:val="00C13A17"/>
    <w:rsid w:val="00C13ACA"/>
    <w:rsid w:val="00C13D5E"/>
    <w:rsid w:val="00C13DF5"/>
    <w:rsid w:val="00C13F44"/>
    <w:rsid w:val="00C14188"/>
    <w:rsid w:val="00C14E1B"/>
    <w:rsid w:val="00C1535D"/>
    <w:rsid w:val="00C1614D"/>
    <w:rsid w:val="00C16542"/>
    <w:rsid w:val="00C166E8"/>
    <w:rsid w:val="00C16987"/>
    <w:rsid w:val="00C1753E"/>
    <w:rsid w:val="00C175D1"/>
    <w:rsid w:val="00C17687"/>
    <w:rsid w:val="00C17A78"/>
    <w:rsid w:val="00C17C8A"/>
    <w:rsid w:val="00C17F0A"/>
    <w:rsid w:val="00C2039B"/>
    <w:rsid w:val="00C2051D"/>
    <w:rsid w:val="00C208EC"/>
    <w:rsid w:val="00C209CB"/>
    <w:rsid w:val="00C211D8"/>
    <w:rsid w:val="00C218F0"/>
    <w:rsid w:val="00C219D5"/>
    <w:rsid w:val="00C219EB"/>
    <w:rsid w:val="00C21BFF"/>
    <w:rsid w:val="00C224B8"/>
    <w:rsid w:val="00C2280C"/>
    <w:rsid w:val="00C22B5F"/>
    <w:rsid w:val="00C22DE4"/>
    <w:rsid w:val="00C2326B"/>
    <w:rsid w:val="00C236F3"/>
    <w:rsid w:val="00C23973"/>
    <w:rsid w:val="00C23B61"/>
    <w:rsid w:val="00C23DB3"/>
    <w:rsid w:val="00C23E23"/>
    <w:rsid w:val="00C24ACA"/>
    <w:rsid w:val="00C24DFB"/>
    <w:rsid w:val="00C24ED8"/>
    <w:rsid w:val="00C2514D"/>
    <w:rsid w:val="00C2590C"/>
    <w:rsid w:val="00C25BBC"/>
    <w:rsid w:val="00C26590"/>
    <w:rsid w:val="00C26C22"/>
    <w:rsid w:val="00C27773"/>
    <w:rsid w:val="00C27AD9"/>
    <w:rsid w:val="00C27BCB"/>
    <w:rsid w:val="00C3004F"/>
    <w:rsid w:val="00C300A2"/>
    <w:rsid w:val="00C307CB"/>
    <w:rsid w:val="00C3087D"/>
    <w:rsid w:val="00C311D9"/>
    <w:rsid w:val="00C316F8"/>
    <w:rsid w:val="00C317AA"/>
    <w:rsid w:val="00C31A05"/>
    <w:rsid w:val="00C31D26"/>
    <w:rsid w:val="00C32574"/>
    <w:rsid w:val="00C32766"/>
    <w:rsid w:val="00C328F5"/>
    <w:rsid w:val="00C32A2F"/>
    <w:rsid w:val="00C33111"/>
    <w:rsid w:val="00C333FE"/>
    <w:rsid w:val="00C33901"/>
    <w:rsid w:val="00C33E1D"/>
    <w:rsid w:val="00C3410E"/>
    <w:rsid w:val="00C34E1E"/>
    <w:rsid w:val="00C356D9"/>
    <w:rsid w:val="00C35E6D"/>
    <w:rsid w:val="00C36396"/>
    <w:rsid w:val="00C373F1"/>
    <w:rsid w:val="00C37951"/>
    <w:rsid w:val="00C40054"/>
    <w:rsid w:val="00C40413"/>
    <w:rsid w:val="00C40C93"/>
    <w:rsid w:val="00C41215"/>
    <w:rsid w:val="00C41271"/>
    <w:rsid w:val="00C41621"/>
    <w:rsid w:val="00C41641"/>
    <w:rsid w:val="00C4170F"/>
    <w:rsid w:val="00C4190C"/>
    <w:rsid w:val="00C419CE"/>
    <w:rsid w:val="00C41FC7"/>
    <w:rsid w:val="00C41FE3"/>
    <w:rsid w:val="00C42600"/>
    <w:rsid w:val="00C4270C"/>
    <w:rsid w:val="00C428F4"/>
    <w:rsid w:val="00C43087"/>
    <w:rsid w:val="00C433AA"/>
    <w:rsid w:val="00C434C3"/>
    <w:rsid w:val="00C43795"/>
    <w:rsid w:val="00C4395F"/>
    <w:rsid w:val="00C441CB"/>
    <w:rsid w:val="00C44EA7"/>
    <w:rsid w:val="00C44F20"/>
    <w:rsid w:val="00C44FD9"/>
    <w:rsid w:val="00C45679"/>
    <w:rsid w:val="00C4573F"/>
    <w:rsid w:val="00C457AF"/>
    <w:rsid w:val="00C4580B"/>
    <w:rsid w:val="00C466A3"/>
    <w:rsid w:val="00C468C7"/>
    <w:rsid w:val="00C471D1"/>
    <w:rsid w:val="00C47607"/>
    <w:rsid w:val="00C47857"/>
    <w:rsid w:val="00C4799C"/>
    <w:rsid w:val="00C5122E"/>
    <w:rsid w:val="00C513AF"/>
    <w:rsid w:val="00C51B72"/>
    <w:rsid w:val="00C5222F"/>
    <w:rsid w:val="00C52494"/>
    <w:rsid w:val="00C531F9"/>
    <w:rsid w:val="00C534DE"/>
    <w:rsid w:val="00C53B7C"/>
    <w:rsid w:val="00C53BB0"/>
    <w:rsid w:val="00C53CEB"/>
    <w:rsid w:val="00C53F36"/>
    <w:rsid w:val="00C549DA"/>
    <w:rsid w:val="00C54A5D"/>
    <w:rsid w:val="00C55005"/>
    <w:rsid w:val="00C55455"/>
    <w:rsid w:val="00C5566B"/>
    <w:rsid w:val="00C55892"/>
    <w:rsid w:val="00C5609B"/>
    <w:rsid w:val="00C561D2"/>
    <w:rsid w:val="00C566D1"/>
    <w:rsid w:val="00C567E2"/>
    <w:rsid w:val="00C56CCE"/>
    <w:rsid w:val="00C57542"/>
    <w:rsid w:val="00C575CD"/>
    <w:rsid w:val="00C57610"/>
    <w:rsid w:val="00C60DF7"/>
    <w:rsid w:val="00C60F95"/>
    <w:rsid w:val="00C610B8"/>
    <w:rsid w:val="00C612BA"/>
    <w:rsid w:val="00C6164B"/>
    <w:rsid w:val="00C61F8F"/>
    <w:rsid w:val="00C6215B"/>
    <w:rsid w:val="00C62532"/>
    <w:rsid w:val="00C62A5A"/>
    <w:rsid w:val="00C62D36"/>
    <w:rsid w:val="00C63343"/>
    <w:rsid w:val="00C63BB7"/>
    <w:rsid w:val="00C64129"/>
    <w:rsid w:val="00C645E1"/>
    <w:rsid w:val="00C64D93"/>
    <w:rsid w:val="00C657D3"/>
    <w:rsid w:val="00C65808"/>
    <w:rsid w:val="00C66D62"/>
    <w:rsid w:val="00C6716D"/>
    <w:rsid w:val="00C67F18"/>
    <w:rsid w:val="00C700D6"/>
    <w:rsid w:val="00C7013F"/>
    <w:rsid w:val="00C70588"/>
    <w:rsid w:val="00C706C2"/>
    <w:rsid w:val="00C707A4"/>
    <w:rsid w:val="00C707F6"/>
    <w:rsid w:val="00C70F07"/>
    <w:rsid w:val="00C719B2"/>
    <w:rsid w:val="00C71C97"/>
    <w:rsid w:val="00C725F1"/>
    <w:rsid w:val="00C72762"/>
    <w:rsid w:val="00C7294A"/>
    <w:rsid w:val="00C729AC"/>
    <w:rsid w:val="00C72AB5"/>
    <w:rsid w:val="00C72DDE"/>
    <w:rsid w:val="00C73399"/>
    <w:rsid w:val="00C733AF"/>
    <w:rsid w:val="00C73B83"/>
    <w:rsid w:val="00C73C33"/>
    <w:rsid w:val="00C73C72"/>
    <w:rsid w:val="00C73DC8"/>
    <w:rsid w:val="00C73E1B"/>
    <w:rsid w:val="00C73FB3"/>
    <w:rsid w:val="00C74001"/>
    <w:rsid w:val="00C7412F"/>
    <w:rsid w:val="00C749DA"/>
    <w:rsid w:val="00C749F8"/>
    <w:rsid w:val="00C74A7D"/>
    <w:rsid w:val="00C75023"/>
    <w:rsid w:val="00C7599B"/>
    <w:rsid w:val="00C763BD"/>
    <w:rsid w:val="00C765E1"/>
    <w:rsid w:val="00C76A48"/>
    <w:rsid w:val="00C77045"/>
    <w:rsid w:val="00C7768D"/>
    <w:rsid w:val="00C7776E"/>
    <w:rsid w:val="00C77E3E"/>
    <w:rsid w:val="00C800DF"/>
    <w:rsid w:val="00C80E14"/>
    <w:rsid w:val="00C81181"/>
    <w:rsid w:val="00C811B6"/>
    <w:rsid w:val="00C813D9"/>
    <w:rsid w:val="00C8176C"/>
    <w:rsid w:val="00C81AF6"/>
    <w:rsid w:val="00C81EC8"/>
    <w:rsid w:val="00C825BD"/>
    <w:rsid w:val="00C82837"/>
    <w:rsid w:val="00C83995"/>
    <w:rsid w:val="00C83A01"/>
    <w:rsid w:val="00C848A8"/>
    <w:rsid w:val="00C848D2"/>
    <w:rsid w:val="00C856E0"/>
    <w:rsid w:val="00C858B0"/>
    <w:rsid w:val="00C85A2D"/>
    <w:rsid w:val="00C86046"/>
    <w:rsid w:val="00C8654B"/>
    <w:rsid w:val="00C86F19"/>
    <w:rsid w:val="00C87604"/>
    <w:rsid w:val="00C87897"/>
    <w:rsid w:val="00C900E6"/>
    <w:rsid w:val="00C902CB"/>
    <w:rsid w:val="00C902FF"/>
    <w:rsid w:val="00C907CE"/>
    <w:rsid w:val="00C9099A"/>
    <w:rsid w:val="00C90FDE"/>
    <w:rsid w:val="00C91700"/>
    <w:rsid w:val="00C9188F"/>
    <w:rsid w:val="00C91D9E"/>
    <w:rsid w:val="00C91DE6"/>
    <w:rsid w:val="00C92150"/>
    <w:rsid w:val="00C9217E"/>
    <w:rsid w:val="00C92447"/>
    <w:rsid w:val="00C9334C"/>
    <w:rsid w:val="00C936F8"/>
    <w:rsid w:val="00C93B86"/>
    <w:rsid w:val="00C93E72"/>
    <w:rsid w:val="00C93F21"/>
    <w:rsid w:val="00C93F89"/>
    <w:rsid w:val="00C94491"/>
    <w:rsid w:val="00C9488F"/>
    <w:rsid w:val="00C9508B"/>
    <w:rsid w:val="00C95BD8"/>
    <w:rsid w:val="00C96C8F"/>
    <w:rsid w:val="00C97CE4"/>
    <w:rsid w:val="00C97D6C"/>
    <w:rsid w:val="00CA0087"/>
    <w:rsid w:val="00CA050D"/>
    <w:rsid w:val="00CA0BE6"/>
    <w:rsid w:val="00CA1397"/>
    <w:rsid w:val="00CA176E"/>
    <w:rsid w:val="00CA18D5"/>
    <w:rsid w:val="00CA26B7"/>
    <w:rsid w:val="00CA28AA"/>
    <w:rsid w:val="00CA2C23"/>
    <w:rsid w:val="00CA3369"/>
    <w:rsid w:val="00CA3817"/>
    <w:rsid w:val="00CA4172"/>
    <w:rsid w:val="00CA44C0"/>
    <w:rsid w:val="00CA4682"/>
    <w:rsid w:val="00CA4AA8"/>
    <w:rsid w:val="00CA4D30"/>
    <w:rsid w:val="00CA593B"/>
    <w:rsid w:val="00CA5B94"/>
    <w:rsid w:val="00CA60ED"/>
    <w:rsid w:val="00CA656D"/>
    <w:rsid w:val="00CA6D85"/>
    <w:rsid w:val="00CA6F07"/>
    <w:rsid w:val="00CA723E"/>
    <w:rsid w:val="00CA72B1"/>
    <w:rsid w:val="00CA72D1"/>
    <w:rsid w:val="00CA7D60"/>
    <w:rsid w:val="00CA7E96"/>
    <w:rsid w:val="00CB03D3"/>
    <w:rsid w:val="00CB058B"/>
    <w:rsid w:val="00CB0950"/>
    <w:rsid w:val="00CB0C29"/>
    <w:rsid w:val="00CB0F0C"/>
    <w:rsid w:val="00CB11A8"/>
    <w:rsid w:val="00CB1295"/>
    <w:rsid w:val="00CB15D4"/>
    <w:rsid w:val="00CB1761"/>
    <w:rsid w:val="00CB18C8"/>
    <w:rsid w:val="00CB1A3D"/>
    <w:rsid w:val="00CB1ECD"/>
    <w:rsid w:val="00CB1F26"/>
    <w:rsid w:val="00CB23A4"/>
    <w:rsid w:val="00CB2ABC"/>
    <w:rsid w:val="00CB2D9C"/>
    <w:rsid w:val="00CB3F4A"/>
    <w:rsid w:val="00CB4114"/>
    <w:rsid w:val="00CB411E"/>
    <w:rsid w:val="00CB4590"/>
    <w:rsid w:val="00CB46CB"/>
    <w:rsid w:val="00CB48DF"/>
    <w:rsid w:val="00CB490A"/>
    <w:rsid w:val="00CB4BD6"/>
    <w:rsid w:val="00CB4CAB"/>
    <w:rsid w:val="00CB4DDE"/>
    <w:rsid w:val="00CB5012"/>
    <w:rsid w:val="00CB5323"/>
    <w:rsid w:val="00CB543D"/>
    <w:rsid w:val="00CB5690"/>
    <w:rsid w:val="00CB59E0"/>
    <w:rsid w:val="00CB5F6E"/>
    <w:rsid w:val="00CB618A"/>
    <w:rsid w:val="00CB638B"/>
    <w:rsid w:val="00CB663F"/>
    <w:rsid w:val="00CB679D"/>
    <w:rsid w:val="00CB67C4"/>
    <w:rsid w:val="00CB6A27"/>
    <w:rsid w:val="00CB6B1F"/>
    <w:rsid w:val="00CB6E34"/>
    <w:rsid w:val="00CB7084"/>
    <w:rsid w:val="00CB70C1"/>
    <w:rsid w:val="00CB735B"/>
    <w:rsid w:val="00CB77E2"/>
    <w:rsid w:val="00CC0000"/>
    <w:rsid w:val="00CC02AC"/>
    <w:rsid w:val="00CC03F4"/>
    <w:rsid w:val="00CC0452"/>
    <w:rsid w:val="00CC0B1E"/>
    <w:rsid w:val="00CC0EBA"/>
    <w:rsid w:val="00CC0F8C"/>
    <w:rsid w:val="00CC1095"/>
    <w:rsid w:val="00CC1747"/>
    <w:rsid w:val="00CC1ADD"/>
    <w:rsid w:val="00CC2351"/>
    <w:rsid w:val="00CC27D5"/>
    <w:rsid w:val="00CC287F"/>
    <w:rsid w:val="00CC2B58"/>
    <w:rsid w:val="00CC2B5F"/>
    <w:rsid w:val="00CC2BEC"/>
    <w:rsid w:val="00CC304F"/>
    <w:rsid w:val="00CC30C7"/>
    <w:rsid w:val="00CC34F6"/>
    <w:rsid w:val="00CC3A18"/>
    <w:rsid w:val="00CC4712"/>
    <w:rsid w:val="00CC4847"/>
    <w:rsid w:val="00CC4A05"/>
    <w:rsid w:val="00CC4BC9"/>
    <w:rsid w:val="00CC4EB7"/>
    <w:rsid w:val="00CC50D5"/>
    <w:rsid w:val="00CC578F"/>
    <w:rsid w:val="00CC6026"/>
    <w:rsid w:val="00CC64C8"/>
    <w:rsid w:val="00CC746C"/>
    <w:rsid w:val="00CC7560"/>
    <w:rsid w:val="00CC75FA"/>
    <w:rsid w:val="00CC7675"/>
    <w:rsid w:val="00CC7868"/>
    <w:rsid w:val="00CC7C85"/>
    <w:rsid w:val="00CC7DC2"/>
    <w:rsid w:val="00CD018E"/>
    <w:rsid w:val="00CD01EA"/>
    <w:rsid w:val="00CD01FA"/>
    <w:rsid w:val="00CD0987"/>
    <w:rsid w:val="00CD0A37"/>
    <w:rsid w:val="00CD0BC7"/>
    <w:rsid w:val="00CD146B"/>
    <w:rsid w:val="00CD1C31"/>
    <w:rsid w:val="00CD238D"/>
    <w:rsid w:val="00CD26A2"/>
    <w:rsid w:val="00CD26D8"/>
    <w:rsid w:val="00CD29A5"/>
    <w:rsid w:val="00CD2A46"/>
    <w:rsid w:val="00CD36AE"/>
    <w:rsid w:val="00CD3AA1"/>
    <w:rsid w:val="00CD3E16"/>
    <w:rsid w:val="00CD4169"/>
    <w:rsid w:val="00CD4186"/>
    <w:rsid w:val="00CD4236"/>
    <w:rsid w:val="00CD4276"/>
    <w:rsid w:val="00CD486B"/>
    <w:rsid w:val="00CD487B"/>
    <w:rsid w:val="00CD4B6B"/>
    <w:rsid w:val="00CD4D85"/>
    <w:rsid w:val="00CD520E"/>
    <w:rsid w:val="00CD529D"/>
    <w:rsid w:val="00CD533F"/>
    <w:rsid w:val="00CD56A8"/>
    <w:rsid w:val="00CD57A5"/>
    <w:rsid w:val="00CD5832"/>
    <w:rsid w:val="00CD58EF"/>
    <w:rsid w:val="00CD5A63"/>
    <w:rsid w:val="00CD604B"/>
    <w:rsid w:val="00CD612F"/>
    <w:rsid w:val="00CD6B36"/>
    <w:rsid w:val="00CD6CD8"/>
    <w:rsid w:val="00CD78EA"/>
    <w:rsid w:val="00CD7951"/>
    <w:rsid w:val="00CE032A"/>
    <w:rsid w:val="00CE0948"/>
    <w:rsid w:val="00CE0DEA"/>
    <w:rsid w:val="00CE0EE9"/>
    <w:rsid w:val="00CE11FA"/>
    <w:rsid w:val="00CE154F"/>
    <w:rsid w:val="00CE1C8B"/>
    <w:rsid w:val="00CE2159"/>
    <w:rsid w:val="00CE2471"/>
    <w:rsid w:val="00CE2598"/>
    <w:rsid w:val="00CE2D03"/>
    <w:rsid w:val="00CE3538"/>
    <w:rsid w:val="00CE362A"/>
    <w:rsid w:val="00CE3AB7"/>
    <w:rsid w:val="00CE40FF"/>
    <w:rsid w:val="00CE4738"/>
    <w:rsid w:val="00CE4AD0"/>
    <w:rsid w:val="00CE506A"/>
    <w:rsid w:val="00CE53FB"/>
    <w:rsid w:val="00CE5D44"/>
    <w:rsid w:val="00CE5D45"/>
    <w:rsid w:val="00CE5F3C"/>
    <w:rsid w:val="00CE622B"/>
    <w:rsid w:val="00CE7767"/>
    <w:rsid w:val="00CE7885"/>
    <w:rsid w:val="00CE79A8"/>
    <w:rsid w:val="00CF06D1"/>
    <w:rsid w:val="00CF074B"/>
    <w:rsid w:val="00CF0A30"/>
    <w:rsid w:val="00CF0E11"/>
    <w:rsid w:val="00CF12AB"/>
    <w:rsid w:val="00CF16F2"/>
    <w:rsid w:val="00CF19DF"/>
    <w:rsid w:val="00CF1B04"/>
    <w:rsid w:val="00CF1E9B"/>
    <w:rsid w:val="00CF21E9"/>
    <w:rsid w:val="00CF257C"/>
    <w:rsid w:val="00CF25E0"/>
    <w:rsid w:val="00CF281B"/>
    <w:rsid w:val="00CF293A"/>
    <w:rsid w:val="00CF2EAF"/>
    <w:rsid w:val="00CF36FA"/>
    <w:rsid w:val="00CF38F9"/>
    <w:rsid w:val="00CF39AF"/>
    <w:rsid w:val="00CF3FD9"/>
    <w:rsid w:val="00CF4C52"/>
    <w:rsid w:val="00CF4E45"/>
    <w:rsid w:val="00CF5B59"/>
    <w:rsid w:val="00CF5D5F"/>
    <w:rsid w:val="00CF5FDB"/>
    <w:rsid w:val="00CF6006"/>
    <w:rsid w:val="00CF60BB"/>
    <w:rsid w:val="00CF63CD"/>
    <w:rsid w:val="00CF681F"/>
    <w:rsid w:val="00CF694D"/>
    <w:rsid w:val="00CF69CB"/>
    <w:rsid w:val="00CF6A68"/>
    <w:rsid w:val="00CF6B3F"/>
    <w:rsid w:val="00CF6CC3"/>
    <w:rsid w:val="00CF6CE6"/>
    <w:rsid w:val="00CF71B9"/>
    <w:rsid w:val="00CF722D"/>
    <w:rsid w:val="00CF77B9"/>
    <w:rsid w:val="00CF7ADC"/>
    <w:rsid w:val="00D000F0"/>
    <w:rsid w:val="00D003A3"/>
    <w:rsid w:val="00D00670"/>
    <w:rsid w:val="00D00B1E"/>
    <w:rsid w:val="00D00E9F"/>
    <w:rsid w:val="00D00EB0"/>
    <w:rsid w:val="00D012F2"/>
    <w:rsid w:val="00D013E7"/>
    <w:rsid w:val="00D0159D"/>
    <w:rsid w:val="00D015DE"/>
    <w:rsid w:val="00D01950"/>
    <w:rsid w:val="00D0195E"/>
    <w:rsid w:val="00D01DEA"/>
    <w:rsid w:val="00D01F42"/>
    <w:rsid w:val="00D023C9"/>
    <w:rsid w:val="00D024F6"/>
    <w:rsid w:val="00D02B0B"/>
    <w:rsid w:val="00D02B25"/>
    <w:rsid w:val="00D02DAE"/>
    <w:rsid w:val="00D02F82"/>
    <w:rsid w:val="00D03191"/>
    <w:rsid w:val="00D03644"/>
    <w:rsid w:val="00D03BF7"/>
    <w:rsid w:val="00D03F0E"/>
    <w:rsid w:val="00D03FBF"/>
    <w:rsid w:val="00D04293"/>
    <w:rsid w:val="00D04322"/>
    <w:rsid w:val="00D044DC"/>
    <w:rsid w:val="00D0457A"/>
    <w:rsid w:val="00D0476D"/>
    <w:rsid w:val="00D047FD"/>
    <w:rsid w:val="00D049E8"/>
    <w:rsid w:val="00D04F0C"/>
    <w:rsid w:val="00D056A6"/>
    <w:rsid w:val="00D060CA"/>
    <w:rsid w:val="00D06129"/>
    <w:rsid w:val="00D06362"/>
    <w:rsid w:val="00D06768"/>
    <w:rsid w:val="00D0720A"/>
    <w:rsid w:val="00D0727B"/>
    <w:rsid w:val="00D079A2"/>
    <w:rsid w:val="00D07C34"/>
    <w:rsid w:val="00D1015E"/>
    <w:rsid w:val="00D101DA"/>
    <w:rsid w:val="00D10559"/>
    <w:rsid w:val="00D10583"/>
    <w:rsid w:val="00D109BC"/>
    <w:rsid w:val="00D10A12"/>
    <w:rsid w:val="00D10D19"/>
    <w:rsid w:val="00D1110A"/>
    <w:rsid w:val="00D1146E"/>
    <w:rsid w:val="00D1157E"/>
    <w:rsid w:val="00D116A7"/>
    <w:rsid w:val="00D12004"/>
    <w:rsid w:val="00D120AE"/>
    <w:rsid w:val="00D1262A"/>
    <w:rsid w:val="00D126AF"/>
    <w:rsid w:val="00D127FC"/>
    <w:rsid w:val="00D12862"/>
    <w:rsid w:val="00D12912"/>
    <w:rsid w:val="00D12C1E"/>
    <w:rsid w:val="00D12D29"/>
    <w:rsid w:val="00D13154"/>
    <w:rsid w:val="00D13229"/>
    <w:rsid w:val="00D139B6"/>
    <w:rsid w:val="00D139D6"/>
    <w:rsid w:val="00D139E4"/>
    <w:rsid w:val="00D13A8A"/>
    <w:rsid w:val="00D13B58"/>
    <w:rsid w:val="00D13E53"/>
    <w:rsid w:val="00D13F0B"/>
    <w:rsid w:val="00D1408D"/>
    <w:rsid w:val="00D143DB"/>
    <w:rsid w:val="00D14835"/>
    <w:rsid w:val="00D14A3A"/>
    <w:rsid w:val="00D14DB5"/>
    <w:rsid w:val="00D14F3F"/>
    <w:rsid w:val="00D14F80"/>
    <w:rsid w:val="00D16023"/>
    <w:rsid w:val="00D1620D"/>
    <w:rsid w:val="00D16586"/>
    <w:rsid w:val="00D1696C"/>
    <w:rsid w:val="00D16C45"/>
    <w:rsid w:val="00D16C5F"/>
    <w:rsid w:val="00D17880"/>
    <w:rsid w:val="00D17922"/>
    <w:rsid w:val="00D17EFB"/>
    <w:rsid w:val="00D17F20"/>
    <w:rsid w:val="00D200F5"/>
    <w:rsid w:val="00D20203"/>
    <w:rsid w:val="00D20B54"/>
    <w:rsid w:val="00D20D24"/>
    <w:rsid w:val="00D2231C"/>
    <w:rsid w:val="00D22952"/>
    <w:rsid w:val="00D22A37"/>
    <w:rsid w:val="00D22D5C"/>
    <w:rsid w:val="00D22E78"/>
    <w:rsid w:val="00D23138"/>
    <w:rsid w:val="00D23281"/>
    <w:rsid w:val="00D232C6"/>
    <w:rsid w:val="00D233BD"/>
    <w:rsid w:val="00D23A29"/>
    <w:rsid w:val="00D23B9F"/>
    <w:rsid w:val="00D24054"/>
    <w:rsid w:val="00D24123"/>
    <w:rsid w:val="00D243D2"/>
    <w:rsid w:val="00D244C1"/>
    <w:rsid w:val="00D245C7"/>
    <w:rsid w:val="00D250E0"/>
    <w:rsid w:val="00D2525D"/>
    <w:rsid w:val="00D252F2"/>
    <w:rsid w:val="00D25345"/>
    <w:rsid w:val="00D25B51"/>
    <w:rsid w:val="00D264D3"/>
    <w:rsid w:val="00D2673A"/>
    <w:rsid w:val="00D26D5B"/>
    <w:rsid w:val="00D26EF7"/>
    <w:rsid w:val="00D270DE"/>
    <w:rsid w:val="00D300A1"/>
    <w:rsid w:val="00D304B2"/>
    <w:rsid w:val="00D305C3"/>
    <w:rsid w:val="00D30A28"/>
    <w:rsid w:val="00D3184E"/>
    <w:rsid w:val="00D32537"/>
    <w:rsid w:val="00D32880"/>
    <w:rsid w:val="00D3314F"/>
    <w:rsid w:val="00D331A2"/>
    <w:rsid w:val="00D33684"/>
    <w:rsid w:val="00D33844"/>
    <w:rsid w:val="00D338CA"/>
    <w:rsid w:val="00D33BF6"/>
    <w:rsid w:val="00D33E4C"/>
    <w:rsid w:val="00D34AE0"/>
    <w:rsid w:val="00D34D83"/>
    <w:rsid w:val="00D34F34"/>
    <w:rsid w:val="00D35AEF"/>
    <w:rsid w:val="00D35D65"/>
    <w:rsid w:val="00D36321"/>
    <w:rsid w:val="00D3633A"/>
    <w:rsid w:val="00D3796C"/>
    <w:rsid w:val="00D40339"/>
    <w:rsid w:val="00D40DDB"/>
    <w:rsid w:val="00D4128C"/>
    <w:rsid w:val="00D41711"/>
    <w:rsid w:val="00D41735"/>
    <w:rsid w:val="00D41744"/>
    <w:rsid w:val="00D4176E"/>
    <w:rsid w:val="00D41D8B"/>
    <w:rsid w:val="00D4230B"/>
    <w:rsid w:val="00D42457"/>
    <w:rsid w:val="00D4271C"/>
    <w:rsid w:val="00D4285A"/>
    <w:rsid w:val="00D42893"/>
    <w:rsid w:val="00D4299D"/>
    <w:rsid w:val="00D42BAA"/>
    <w:rsid w:val="00D43B5E"/>
    <w:rsid w:val="00D43FD6"/>
    <w:rsid w:val="00D4437D"/>
    <w:rsid w:val="00D44872"/>
    <w:rsid w:val="00D44C58"/>
    <w:rsid w:val="00D450B0"/>
    <w:rsid w:val="00D4517D"/>
    <w:rsid w:val="00D45190"/>
    <w:rsid w:val="00D4526C"/>
    <w:rsid w:val="00D4613E"/>
    <w:rsid w:val="00D46B24"/>
    <w:rsid w:val="00D476A6"/>
    <w:rsid w:val="00D47922"/>
    <w:rsid w:val="00D47C5A"/>
    <w:rsid w:val="00D503CA"/>
    <w:rsid w:val="00D50610"/>
    <w:rsid w:val="00D51034"/>
    <w:rsid w:val="00D515A0"/>
    <w:rsid w:val="00D51E94"/>
    <w:rsid w:val="00D521A5"/>
    <w:rsid w:val="00D521F8"/>
    <w:rsid w:val="00D523FC"/>
    <w:rsid w:val="00D52632"/>
    <w:rsid w:val="00D52D51"/>
    <w:rsid w:val="00D53037"/>
    <w:rsid w:val="00D53292"/>
    <w:rsid w:val="00D5345B"/>
    <w:rsid w:val="00D542B6"/>
    <w:rsid w:val="00D548BE"/>
    <w:rsid w:val="00D54971"/>
    <w:rsid w:val="00D55058"/>
    <w:rsid w:val="00D55F5E"/>
    <w:rsid w:val="00D560DF"/>
    <w:rsid w:val="00D565BF"/>
    <w:rsid w:val="00D56BD8"/>
    <w:rsid w:val="00D5773B"/>
    <w:rsid w:val="00D57904"/>
    <w:rsid w:val="00D579E6"/>
    <w:rsid w:val="00D6004B"/>
    <w:rsid w:val="00D60436"/>
    <w:rsid w:val="00D60797"/>
    <w:rsid w:val="00D60864"/>
    <w:rsid w:val="00D60B1C"/>
    <w:rsid w:val="00D61249"/>
    <w:rsid w:val="00D61313"/>
    <w:rsid w:val="00D61647"/>
    <w:rsid w:val="00D61712"/>
    <w:rsid w:val="00D6185B"/>
    <w:rsid w:val="00D619C4"/>
    <w:rsid w:val="00D61A46"/>
    <w:rsid w:val="00D61F68"/>
    <w:rsid w:val="00D62560"/>
    <w:rsid w:val="00D62803"/>
    <w:rsid w:val="00D62F87"/>
    <w:rsid w:val="00D637C2"/>
    <w:rsid w:val="00D63CDA"/>
    <w:rsid w:val="00D63CDB"/>
    <w:rsid w:val="00D640CA"/>
    <w:rsid w:val="00D64A9A"/>
    <w:rsid w:val="00D64D10"/>
    <w:rsid w:val="00D64D52"/>
    <w:rsid w:val="00D65180"/>
    <w:rsid w:val="00D65377"/>
    <w:rsid w:val="00D6659D"/>
    <w:rsid w:val="00D66AE4"/>
    <w:rsid w:val="00D6725E"/>
    <w:rsid w:val="00D672BD"/>
    <w:rsid w:val="00D6781C"/>
    <w:rsid w:val="00D67F89"/>
    <w:rsid w:val="00D71318"/>
    <w:rsid w:val="00D7181F"/>
    <w:rsid w:val="00D71FA2"/>
    <w:rsid w:val="00D720E3"/>
    <w:rsid w:val="00D72A66"/>
    <w:rsid w:val="00D72C80"/>
    <w:rsid w:val="00D731EA"/>
    <w:rsid w:val="00D731FF"/>
    <w:rsid w:val="00D7335F"/>
    <w:rsid w:val="00D735A3"/>
    <w:rsid w:val="00D738D0"/>
    <w:rsid w:val="00D73BEE"/>
    <w:rsid w:val="00D73D6A"/>
    <w:rsid w:val="00D73E99"/>
    <w:rsid w:val="00D742B0"/>
    <w:rsid w:val="00D74315"/>
    <w:rsid w:val="00D745A9"/>
    <w:rsid w:val="00D750DE"/>
    <w:rsid w:val="00D755E2"/>
    <w:rsid w:val="00D757AE"/>
    <w:rsid w:val="00D759CE"/>
    <w:rsid w:val="00D75AEC"/>
    <w:rsid w:val="00D75C68"/>
    <w:rsid w:val="00D75DE9"/>
    <w:rsid w:val="00D75E06"/>
    <w:rsid w:val="00D75ECA"/>
    <w:rsid w:val="00D75F78"/>
    <w:rsid w:val="00D75FD2"/>
    <w:rsid w:val="00D76012"/>
    <w:rsid w:val="00D762F2"/>
    <w:rsid w:val="00D76632"/>
    <w:rsid w:val="00D76668"/>
    <w:rsid w:val="00D766C4"/>
    <w:rsid w:val="00D76988"/>
    <w:rsid w:val="00D769A6"/>
    <w:rsid w:val="00D76B59"/>
    <w:rsid w:val="00D76E05"/>
    <w:rsid w:val="00D77A47"/>
    <w:rsid w:val="00D77C73"/>
    <w:rsid w:val="00D802B3"/>
    <w:rsid w:val="00D8094C"/>
    <w:rsid w:val="00D80BDB"/>
    <w:rsid w:val="00D80D27"/>
    <w:rsid w:val="00D80F7B"/>
    <w:rsid w:val="00D81AFB"/>
    <w:rsid w:val="00D82023"/>
    <w:rsid w:val="00D82AFD"/>
    <w:rsid w:val="00D82B77"/>
    <w:rsid w:val="00D82BAD"/>
    <w:rsid w:val="00D830CA"/>
    <w:rsid w:val="00D83215"/>
    <w:rsid w:val="00D83640"/>
    <w:rsid w:val="00D83E07"/>
    <w:rsid w:val="00D849F6"/>
    <w:rsid w:val="00D84BAD"/>
    <w:rsid w:val="00D850E2"/>
    <w:rsid w:val="00D85773"/>
    <w:rsid w:val="00D857E4"/>
    <w:rsid w:val="00D8582C"/>
    <w:rsid w:val="00D85B03"/>
    <w:rsid w:val="00D85E6B"/>
    <w:rsid w:val="00D85F0F"/>
    <w:rsid w:val="00D86252"/>
    <w:rsid w:val="00D866AF"/>
    <w:rsid w:val="00D872F5"/>
    <w:rsid w:val="00D877E4"/>
    <w:rsid w:val="00D87AB3"/>
    <w:rsid w:val="00D909DA"/>
    <w:rsid w:val="00D90EC9"/>
    <w:rsid w:val="00D91475"/>
    <w:rsid w:val="00D9160D"/>
    <w:rsid w:val="00D91A2D"/>
    <w:rsid w:val="00D91A44"/>
    <w:rsid w:val="00D91AE0"/>
    <w:rsid w:val="00D91C69"/>
    <w:rsid w:val="00D91F81"/>
    <w:rsid w:val="00D9228C"/>
    <w:rsid w:val="00D92D8C"/>
    <w:rsid w:val="00D92EE8"/>
    <w:rsid w:val="00D9348B"/>
    <w:rsid w:val="00D93968"/>
    <w:rsid w:val="00D94CEE"/>
    <w:rsid w:val="00D94D21"/>
    <w:rsid w:val="00D94FF6"/>
    <w:rsid w:val="00D953AB"/>
    <w:rsid w:val="00D956C8"/>
    <w:rsid w:val="00D95A3B"/>
    <w:rsid w:val="00D968A1"/>
    <w:rsid w:val="00D96FE9"/>
    <w:rsid w:val="00D975C8"/>
    <w:rsid w:val="00D97817"/>
    <w:rsid w:val="00D97D2E"/>
    <w:rsid w:val="00D97D7A"/>
    <w:rsid w:val="00D97FCB"/>
    <w:rsid w:val="00DA00B4"/>
    <w:rsid w:val="00DA0B63"/>
    <w:rsid w:val="00DA0D0C"/>
    <w:rsid w:val="00DA1067"/>
    <w:rsid w:val="00DA11FC"/>
    <w:rsid w:val="00DA1210"/>
    <w:rsid w:val="00DA1434"/>
    <w:rsid w:val="00DA19BD"/>
    <w:rsid w:val="00DA1B50"/>
    <w:rsid w:val="00DA1DD9"/>
    <w:rsid w:val="00DA2349"/>
    <w:rsid w:val="00DA287C"/>
    <w:rsid w:val="00DA2C17"/>
    <w:rsid w:val="00DA3395"/>
    <w:rsid w:val="00DA368E"/>
    <w:rsid w:val="00DA3C1F"/>
    <w:rsid w:val="00DA3D43"/>
    <w:rsid w:val="00DA4287"/>
    <w:rsid w:val="00DA42BF"/>
    <w:rsid w:val="00DA45C6"/>
    <w:rsid w:val="00DA48A4"/>
    <w:rsid w:val="00DA4E23"/>
    <w:rsid w:val="00DA5716"/>
    <w:rsid w:val="00DA5887"/>
    <w:rsid w:val="00DA5B73"/>
    <w:rsid w:val="00DA5E2D"/>
    <w:rsid w:val="00DA5F78"/>
    <w:rsid w:val="00DA7249"/>
    <w:rsid w:val="00DA7C51"/>
    <w:rsid w:val="00DA7FAD"/>
    <w:rsid w:val="00DB0E64"/>
    <w:rsid w:val="00DB0F50"/>
    <w:rsid w:val="00DB1077"/>
    <w:rsid w:val="00DB14FE"/>
    <w:rsid w:val="00DB17D7"/>
    <w:rsid w:val="00DB1850"/>
    <w:rsid w:val="00DB213E"/>
    <w:rsid w:val="00DB2176"/>
    <w:rsid w:val="00DB21AC"/>
    <w:rsid w:val="00DB259B"/>
    <w:rsid w:val="00DB2D8E"/>
    <w:rsid w:val="00DB2EE9"/>
    <w:rsid w:val="00DB372B"/>
    <w:rsid w:val="00DB3C1E"/>
    <w:rsid w:val="00DB3CDB"/>
    <w:rsid w:val="00DB43B4"/>
    <w:rsid w:val="00DB457A"/>
    <w:rsid w:val="00DB4C84"/>
    <w:rsid w:val="00DB5049"/>
    <w:rsid w:val="00DB54FD"/>
    <w:rsid w:val="00DB59C6"/>
    <w:rsid w:val="00DB5BBC"/>
    <w:rsid w:val="00DB5F9E"/>
    <w:rsid w:val="00DB6090"/>
    <w:rsid w:val="00DB6565"/>
    <w:rsid w:val="00DB680F"/>
    <w:rsid w:val="00DB74AE"/>
    <w:rsid w:val="00DB780E"/>
    <w:rsid w:val="00DB7BF6"/>
    <w:rsid w:val="00DB7CA7"/>
    <w:rsid w:val="00DB7D4A"/>
    <w:rsid w:val="00DC0242"/>
    <w:rsid w:val="00DC05C0"/>
    <w:rsid w:val="00DC07F9"/>
    <w:rsid w:val="00DC0CF6"/>
    <w:rsid w:val="00DC0FE6"/>
    <w:rsid w:val="00DC12C5"/>
    <w:rsid w:val="00DC16BA"/>
    <w:rsid w:val="00DC23B3"/>
    <w:rsid w:val="00DC25C6"/>
    <w:rsid w:val="00DC28E4"/>
    <w:rsid w:val="00DC2B70"/>
    <w:rsid w:val="00DC2D68"/>
    <w:rsid w:val="00DC2E0D"/>
    <w:rsid w:val="00DC43A4"/>
    <w:rsid w:val="00DC4582"/>
    <w:rsid w:val="00DC46F4"/>
    <w:rsid w:val="00DC47F8"/>
    <w:rsid w:val="00DC5140"/>
    <w:rsid w:val="00DC5643"/>
    <w:rsid w:val="00DC5881"/>
    <w:rsid w:val="00DC60F8"/>
    <w:rsid w:val="00DC62BE"/>
    <w:rsid w:val="00DC62D8"/>
    <w:rsid w:val="00DC673B"/>
    <w:rsid w:val="00DC6895"/>
    <w:rsid w:val="00DC690A"/>
    <w:rsid w:val="00DC6D28"/>
    <w:rsid w:val="00DC757F"/>
    <w:rsid w:val="00DC764F"/>
    <w:rsid w:val="00DC7A54"/>
    <w:rsid w:val="00DC7C1B"/>
    <w:rsid w:val="00DD0BDE"/>
    <w:rsid w:val="00DD0CA5"/>
    <w:rsid w:val="00DD105D"/>
    <w:rsid w:val="00DD1963"/>
    <w:rsid w:val="00DD1B7F"/>
    <w:rsid w:val="00DD20DA"/>
    <w:rsid w:val="00DD2B77"/>
    <w:rsid w:val="00DD2C3B"/>
    <w:rsid w:val="00DD3434"/>
    <w:rsid w:val="00DD38D7"/>
    <w:rsid w:val="00DD3C07"/>
    <w:rsid w:val="00DD3F3E"/>
    <w:rsid w:val="00DD483D"/>
    <w:rsid w:val="00DD4BA8"/>
    <w:rsid w:val="00DD4EED"/>
    <w:rsid w:val="00DD64BF"/>
    <w:rsid w:val="00DD7329"/>
    <w:rsid w:val="00DD78BF"/>
    <w:rsid w:val="00DD7C84"/>
    <w:rsid w:val="00DD7F9B"/>
    <w:rsid w:val="00DE00B8"/>
    <w:rsid w:val="00DE01F8"/>
    <w:rsid w:val="00DE0285"/>
    <w:rsid w:val="00DE0356"/>
    <w:rsid w:val="00DE03ED"/>
    <w:rsid w:val="00DE160E"/>
    <w:rsid w:val="00DE1630"/>
    <w:rsid w:val="00DE170A"/>
    <w:rsid w:val="00DE18FF"/>
    <w:rsid w:val="00DE1911"/>
    <w:rsid w:val="00DE1A22"/>
    <w:rsid w:val="00DE1AA1"/>
    <w:rsid w:val="00DE1BAA"/>
    <w:rsid w:val="00DE1F82"/>
    <w:rsid w:val="00DE2198"/>
    <w:rsid w:val="00DE2479"/>
    <w:rsid w:val="00DE2524"/>
    <w:rsid w:val="00DE2592"/>
    <w:rsid w:val="00DE2902"/>
    <w:rsid w:val="00DE2AB9"/>
    <w:rsid w:val="00DE2F07"/>
    <w:rsid w:val="00DE2FAE"/>
    <w:rsid w:val="00DE3652"/>
    <w:rsid w:val="00DE389C"/>
    <w:rsid w:val="00DE39E0"/>
    <w:rsid w:val="00DE3A97"/>
    <w:rsid w:val="00DE3A9F"/>
    <w:rsid w:val="00DE436F"/>
    <w:rsid w:val="00DE4571"/>
    <w:rsid w:val="00DE4D97"/>
    <w:rsid w:val="00DE5411"/>
    <w:rsid w:val="00DE6051"/>
    <w:rsid w:val="00DE66EE"/>
    <w:rsid w:val="00DE6CF4"/>
    <w:rsid w:val="00DE73A3"/>
    <w:rsid w:val="00DE741B"/>
    <w:rsid w:val="00DE7721"/>
    <w:rsid w:val="00DF0018"/>
    <w:rsid w:val="00DF0236"/>
    <w:rsid w:val="00DF05F8"/>
    <w:rsid w:val="00DF0764"/>
    <w:rsid w:val="00DF13EC"/>
    <w:rsid w:val="00DF1418"/>
    <w:rsid w:val="00DF14D4"/>
    <w:rsid w:val="00DF1CD4"/>
    <w:rsid w:val="00DF267B"/>
    <w:rsid w:val="00DF2794"/>
    <w:rsid w:val="00DF3D29"/>
    <w:rsid w:val="00DF3E4C"/>
    <w:rsid w:val="00DF4123"/>
    <w:rsid w:val="00DF495C"/>
    <w:rsid w:val="00DF55A1"/>
    <w:rsid w:val="00DF58BC"/>
    <w:rsid w:val="00DF5931"/>
    <w:rsid w:val="00DF59F9"/>
    <w:rsid w:val="00DF5B21"/>
    <w:rsid w:val="00DF6937"/>
    <w:rsid w:val="00DF6DE3"/>
    <w:rsid w:val="00DF71E0"/>
    <w:rsid w:val="00DF73B8"/>
    <w:rsid w:val="00DF7499"/>
    <w:rsid w:val="00DF76FA"/>
    <w:rsid w:val="00DF7730"/>
    <w:rsid w:val="00DF782B"/>
    <w:rsid w:val="00DF7AC0"/>
    <w:rsid w:val="00DF7D6F"/>
    <w:rsid w:val="00E0082D"/>
    <w:rsid w:val="00E00962"/>
    <w:rsid w:val="00E00A0D"/>
    <w:rsid w:val="00E0108D"/>
    <w:rsid w:val="00E010AA"/>
    <w:rsid w:val="00E015CF"/>
    <w:rsid w:val="00E01D79"/>
    <w:rsid w:val="00E01DD7"/>
    <w:rsid w:val="00E01F03"/>
    <w:rsid w:val="00E022B7"/>
    <w:rsid w:val="00E02439"/>
    <w:rsid w:val="00E02505"/>
    <w:rsid w:val="00E02641"/>
    <w:rsid w:val="00E03D26"/>
    <w:rsid w:val="00E045AB"/>
    <w:rsid w:val="00E04738"/>
    <w:rsid w:val="00E04A5C"/>
    <w:rsid w:val="00E04C20"/>
    <w:rsid w:val="00E0528D"/>
    <w:rsid w:val="00E05846"/>
    <w:rsid w:val="00E05FA0"/>
    <w:rsid w:val="00E05FB7"/>
    <w:rsid w:val="00E060B3"/>
    <w:rsid w:val="00E063F1"/>
    <w:rsid w:val="00E06C5C"/>
    <w:rsid w:val="00E06CF8"/>
    <w:rsid w:val="00E070AC"/>
    <w:rsid w:val="00E075A8"/>
    <w:rsid w:val="00E075B7"/>
    <w:rsid w:val="00E07847"/>
    <w:rsid w:val="00E07930"/>
    <w:rsid w:val="00E07AD7"/>
    <w:rsid w:val="00E109D8"/>
    <w:rsid w:val="00E10AC6"/>
    <w:rsid w:val="00E10BE2"/>
    <w:rsid w:val="00E11292"/>
    <w:rsid w:val="00E113A5"/>
    <w:rsid w:val="00E1172F"/>
    <w:rsid w:val="00E12381"/>
    <w:rsid w:val="00E12E06"/>
    <w:rsid w:val="00E13311"/>
    <w:rsid w:val="00E139C7"/>
    <w:rsid w:val="00E13C85"/>
    <w:rsid w:val="00E14515"/>
    <w:rsid w:val="00E145BF"/>
    <w:rsid w:val="00E15D8E"/>
    <w:rsid w:val="00E15DA2"/>
    <w:rsid w:val="00E164F2"/>
    <w:rsid w:val="00E165D9"/>
    <w:rsid w:val="00E167CB"/>
    <w:rsid w:val="00E168DD"/>
    <w:rsid w:val="00E16993"/>
    <w:rsid w:val="00E16A71"/>
    <w:rsid w:val="00E17125"/>
    <w:rsid w:val="00E17680"/>
    <w:rsid w:val="00E17B16"/>
    <w:rsid w:val="00E17DDE"/>
    <w:rsid w:val="00E2000D"/>
    <w:rsid w:val="00E20013"/>
    <w:rsid w:val="00E20071"/>
    <w:rsid w:val="00E2040D"/>
    <w:rsid w:val="00E20620"/>
    <w:rsid w:val="00E206EF"/>
    <w:rsid w:val="00E20BCB"/>
    <w:rsid w:val="00E20FDB"/>
    <w:rsid w:val="00E212B1"/>
    <w:rsid w:val="00E21DC1"/>
    <w:rsid w:val="00E22328"/>
    <w:rsid w:val="00E22396"/>
    <w:rsid w:val="00E22702"/>
    <w:rsid w:val="00E23305"/>
    <w:rsid w:val="00E23729"/>
    <w:rsid w:val="00E2389F"/>
    <w:rsid w:val="00E23BE3"/>
    <w:rsid w:val="00E23E18"/>
    <w:rsid w:val="00E2483D"/>
    <w:rsid w:val="00E24CF3"/>
    <w:rsid w:val="00E25381"/>
    <w:rsid w:val="00E25735"/>
    <w:rsid w:val="00E259E8"/>
    <w:rsid w:val="00E25DF3"/>
    <w:rsid w:val="00E25F2F"/>
    <w:rsid w:val="00E26200"/>
    <w:rsid w:val="00E26223"/>
    <w:rsid w:val="00E26311"/>
    <w:rsid w:val="00E26839"/>
    <w:rsid w:val="00E26C93"/>
    <w:rsid w:val="00E26EF2"/>
    <w:rsid w:val="00E26FAD"/>
    <w:rsid w:val="00E27136"/>
    <w:rsid w:val="00E27349"/>
    <w:rsid w:val="00E27680"/>
    <w:rsid w:val="00E27E7A"/>
    <w:rsid w:val="00E30207"/>
    <w:rsid w:val="00E31367"/>
    <w:rsid w:val="00E314FE"/>
    <w:rsid w:val="00E31A2A"/>
    <w:rsid w:val="00E31B89"/>
    <w:rsid w:val="00E31B93"/>
    <w:rsid w:val="00E31C85"/>
    <w:rsid w:val="00E31D75"/>
    <w:rsid w:val="00E31EA2"/>
    <w:rsid w:val="00E31EF3"/>
    <w:rsid w:val="00E31F07"/>
    <w:rsid w:val="00E322D2"/>
    <w:rsid w:val="00E3267A"/>
    <w:rsid w:val="00E32A25"/>
    <w:rsid w:val="00E32F27"/>
    <w:rsid w:val="00E330D7"/>
    <w:rsid w:val="00E3376B"/>
    <w:rsid w:val="00E33CAB"/>
    <w:rsid w:val="00E342C9"/>
    <w:rsid w:val="00E344AF"/>
    <w:rsid w:val="00E3492D"/>
    <w:rsid w:val="00E34D12"/>
    <w:rsid w:val="00E34F48"/>
    <w:rsid w:val="00E355AC"/>
    <w:rsid w:val="00E35F7B"/>
    <w:rsid w:val="00E36992"/>
    <w:rsid w:val="00E36B05"/>
    <w:rsid w:val="00E36DF4"/>
    <w:rsid w:val="00E37305"/>
    <w:rsid w:val="00E37364"/>
    <w:rsid w:val="00E37849"/>
    <w:rsid w:val="00E378A2"/>
    <w:rsid w:val="00E37C6C"/>
    <w:rsid w:val="00E37EF1"/>
    <w:rsid w:val="00E40000"/>
    <w:rsid w:val="00E400C0"/>
    <w:rsid w:val="00E40A51"/>
    <w:rsid w:val="00E40FB8"/>
    <w:rsid w:val="00E4169E"/>
    <w:rsid w:val="00E418B8"/>
    <w:rsid w:val="00E418FA"/>
    <w:rsid w:val="00E41952"/>
    <w:rsid w:val="00E41A1F"/>
    <w:rsid w:val="00E41ABF"/>
    <w:rsid w:val="00E423B5"/>
    <w:rsid w:val="00E42B44"/>
    <w:rsid w:val="00E42B6C"/>
    <w:rsid w:val="00E42C62"/>
    <w:rsid w:val="00E43E81"/>
    <w:rsid w:val="00E43FD2"/>
    <w:rsid w:val="00E44207"/>
    <w:rsid w:val="00E44725"/>
    <w:rsid w:val="00E44B1C"/>
    <w:rsid w:val="00E44E65"/>
    <w:rsid w:val="00E44EBF"/>
    <w:rsid w:val="00E45237"/>
    <w:rsid w:val="00E45476"/>
    <w:rsid w:val="00E45C39"/>
    <w:rsid w:val="00E461A2"/>
    <w:rsid w:val="00E46FCE"/>
    <w:rsid w:val="00E4722C"/>
    <w:rsid w:val="00E4774B"/>
    <w:rsid w:val="00E47878"/>
    <w:rsid w:val="00E47AA7"/>
    <w:rsid w:val="00E47DB7"/>
    <w:rsid w:val="00E50838"/>
    <w:rsid w:val="00E50996"/>
    <w:rsid w:val="00E514DC"/>
    <w:rsid w:val="00E51567"/>
    <w:rsid w:val="00E5166B"/>
    <w:rsid w:val="00E518EF"/>
    <w:rsid w:val="00E520E6"/>
    <w:rsid w:val="00E52354"/>
    <w:rsid w:val="00E523BE"/>
    <w:rsid w:val="00E52AE9"/>
    <w:rsid w:val="00E52F05"/>
    <w:rsid w:val="00E52FA3"/>
    <w:rsid w:val="00E53712"/>
    <w:rsid w:val="00E53928"/>
    <w:rsid w:val="00E539A7"/>
    <w:rsid w:val="00E53D46"/>
    <w:rsid w:val="00E54046"/>
    <w:rsid w:val="00E54091"/>
    <w:rsid w:val="00E545E3"/>
    <w:rsid w:val="00E54656"/>
    <w:rsid w:val="00E547ED"/>
    <w:rsid w:val="00E54E0E"/>
    <w:rsid w:val="00E5508C"/>
    <w:rsid w:val="00E5519A"/>
    <w:rsid w:val="00E55274"/>
    <w:rsid w:val="00E55533"/>
    <w:rsid w:val="00E555E0"/>
    <w:rsid w:val="00E5565E"/>
    <w:rsid w:val="00E556D8"/>
    <w:rsid w:val="00E559FA"/>
    <w:rsid w:val="00E55B97"/>
    <w:rsid w:val="00E55F96"/>
    <w:rsid w:val="00E5626E"/>
    <w:rsid w:val="00E565F6"/>
    <w:rsid w:val="00E567A9"/>
    <w:rsid w:val="00E567CF"/>
    <w:rsid w:val="00E57753"/>
    <w:rsid w:val="00E57773"/>
    <w:rsid w:val="00E57DAE"/>
    <w:rsid w:val="00E6016A"/>
    <w:rsid w:val="00E605DC"/>
    <w:rsid w:val="00E608C6"/>
    <w:rsid w:val="00E609E2"/>
    <w:rsid w:val="00E60CD7"/>
    <w:rsid w:val="00E61139"/>
    <w:rsid w:val="00E61247"/>
    <w:rsid w:val="00E6167E"/>
    <w:rsid w:val="00E618BC"/>
    <w:rsid w:val="00E61A46"/>
    <w:rsid w:val="00E61ADB"/>
    <w:rsid w:val="00E622ED"/>
    <w:rsid w:val="00E626E9"/>
    <w:rsid w:val="00E627F1"/>
    <w:rsid w:val="00E62A2B"/>
    <w:rsid w:val="00E62B33"/>
    <w:rsid w:val="00E62CAB"/>
    <w:rsid w:val="00E62DED"/>
    <w:rsid w:val="00E6438C"/>
    <w:rsid w:val="00E64A7C"/>
    <w:rsid w:val="00E64E2B"/>
    <w:rsid w:val="00E658B8"/>
    <w:rsid w:val="00E65933"/>
    <w:rsid w:val="00E66156"/>
    <w:rsid w:val="00E66460"/>
    <w:rsid w:val="00E664F6"/>
    <w:rsid w:val="00E666EA"/>
    <w:rsid w:val="00E66871"/>
    <w:rsid w:val="00E66A2F"/>
    <w:rsid w:val="00E6726B"/>
    <w:rsid w:val="00E676CA"/>
    <w:rsid w:val="00E67E19"/>
    <w:rsid w:val="00E700F8"/>
    <w:rsid w:val="00E7050F"/>
    <w:rsid w:val="00E70714"/>
    <w:rsid w:val="00E714EC"/>
    <w:rsid w:val="00E7159E"/>
    <w:rsid w:val="00E717CC"/>
    <w:rsid w:val="00E717CF"/>
    <w:rsid w:val="00E71876"/>
    <w:rsid w:val="00E72283"/>
    <w:rsid w:val="00E72514"/>
    <w:rsid w:val="00E72547"/>
    <w:rsid w:val="00E72CDE"/>
    <w:rsid w:val="00E734B3"/>
    <w:rsid w:val="00E73B10"/>
    <w:rsid w:val="00E73B46"/>
    <w:rsid w:val="00E751AE"/>
    <w:rsid w:val="00E75DF2"/>
    <w:rsid w:val="00E75E49"/>
    <w:rsid w:val="00E775DD"/>
    <w:rsid w:val="00E777F8"/>
    <w:rsid w:val="00E77CE6"/>
    <w:rsid w:val="00E77DD6"/>
    <w:rsid w:val="00E77F76"/>
    <w:rsid w:val="00E7FCB0"/>
    <w:rsid w:val="00E80726"/>
    <w:rsid w:val="00E80794"/>
    <w:rsid w:val="00E80825"/>
    <w:rsid w:val="00E80872"/>
    <w:rsid w:val="00E8103B"/>
    <w:rsid w:val="00E8121C"/>
    <w:rsid w:val="00E8154E"/>
    <w:rsid w:val="00E81666"/>
    <w:rsid w:val="00E81B7C"/>
    <w:rsid w:val="00E81C7A"/>
    <w:rsid w:val="00E82053"/>
    <w:rsid w:val="00E820D7"/>
    <w:rsid w:val="00E8215F"/>
    <w:rsid w:val="00E82285"/>
    <w:rsid w:val="00E82448"/>
    <w:rsid w:val="00E8273F"/>
    <w:rsid w:val="00E82A86"/>
    <w:rsid w:val="00E82CC2"/>
    <w:rsid w:val="00E82CCD"/>
    <w:rsid w:val="00E840D2"/>
    <w:rsid w:val="00E840F8"/>
    <w:rsid w:val="00E8472D"/>
    <w:rsid w:val="00E84736"/>
    <w:rsid w:val="00E8487D"/>
    <w:rsid w:val="00E8498F"/>
    <w:rsid w:val="00E850B0"/>
    <w:rsid w:val="00E86277"/>
    <w:rsid w:val="00E862E5"/>
    <w:rsid w:val="00E864DC"/>
    <w:rsid w:val="00E87129"/>
    <w:rsid w:val="00E87B0F"/>
    <w:rsid w:val="00E901C1"/>
    <w:rsid w:val="00E907D3"/>
    <w:rsid w:val="00E90AF2"/>
    <w:rsid w:val="00E90D3E"/>
    <w:rsid w:val="00E916B4"/>
    <w:rsid w:val="00E91DF8"/>
    <w:rsid w:val="00E91F97"/>
    <w:rsid w:val="00E926ED"/>
    <w:rsid w:val="00E92955"/>
    <w:rsid w:val="00E929D9"/>
    <w:rsid w:val="00E92B43"/>
    <w:rsid w:val="00E92C14"/>
    <w:rsid w:val="00E93143"/>
    <w:rsid w:val="00E9357A"/>
    <w:rsid w:val="00E93FCE"/>
    <w:rsid w:val="00E9439F"/>
    <w:rsid w:val="00E946F1"/>
    <w:rsid w:val="00E94D5F"/>
    <w:rsid w:val="00E94FC4"/>
    <w:rsid w:val="00E952CF"/>
    <w:rsid w:val="00E9559E"/>
    <w:rsid w:val="00E956FC"/>
    <w:rsid w:val="00E9571D"/>
    <w:rsid w:val="00E95DC5"/>
    <w:rsid w:val="00E95DD3"/>
    <w:rsid w:val="00E963C2"/>
    <w:rsid w:val="00E965A7"/>
    <w:rsid w:val="00E96FBF"/>
    <w:rsid w:val="00E97446"/>
    <w:rsid w:val="00E9794E"/>
    <w:rsid w:val="00EA00FA"/>
    <w:rsid w:val="00EA0814"/>
    <w:rsid w:val="00EA16D8"/>
    <w:rsid w:val="00EA1733"/>
    <w:rsid w:val="00EA1D7F"/>
    <w:rsid w:val="00EA1ED3"/>
    <w:rsid w:val="00EA1F9C"/>
    <w:rsid w:val="00EA3659"/>
    <w:rsid w:val="00EA3AF2"/>
    <w:rsid w:val="00EA3BE2"/>
    <w:rsid w:val="00EA3FEA"/>
    <w:rsid w:val="00EA43C4"/>
    <w:rsid w:val="00EA43C8"/>
    <w:rsid w:val="00EA4413"/>
    <w:rsid w:val="00EA5942"/>
    <w:rsid w:val="00EA59DF"/>
    <w:rsid w:val="00EA5A45"/>
    <w:rsid w:val="00EA5D55"/>
    <w:rsid w:val="00EA606B"/>
    <w:rsid w:val="00EA6132"/>
    <w:rsid w:val="00EA63B0"/>
    <w:rsid w:val="00EA6684"/>
    <w:rsid w:val="00EA6852"/>
    <w:rsid w:val="00EA6D05"/>
    <w:rsid w:val="00EA6F53"/>
    <w:rsid w:val="00EA723C"/>
    <w:rsid w:val="00EB02A2"/>
    <w:rsid w:val="00EB04CB"/>
    <w:rsid w:val="00EB05CF"/>
    <w:rsid w:val="00EB0A5A"/>
    <w:rsid w:val="00EB0E78"/>
    <w:rsid w:val="00EB0F90"/>
    <w:rsid w:val="00EB1E7F"/>
    <w:rsid w:val="00EB22C2"/>
    <w:rsid w:val="00EB22E1"/>
    <w:rsid w:val="00EB2320"/>
    <w:rsid w:val="00EB24F2"/>
    <w:rsid w:val="00EB260A"/>
    <w:rsid w:val="00EB2C6C"/>
    <w:rsid w:val="00EB3151"/>
    <w:rsid w:val="00EB33E0"/>
    <w:rsid w:val="00EB347E"/>
    <w:rsid w:val="00EB3B6A"/>
    <w:rsid w:val="00EB3EC2"/>
    <w:rsid w:val="00EB3F0F"/>
    <w:rsid w:val="00EB41D2"/>
    <w:rsid w:val="00EB4398"/>
    <w:rsid w:val="00EB4488"/>
    <w:rsid w:val="00EB4C7A"/>
    <w:rsid w:val="00EB4FA2"/>
    <w:rsid w:val="00EB5680"/>
    <w:rsid w:val="00EB5751"/>
    <w:rsid w:val="00EB5A62"/>
    <w:rsid w:val="00EB5ACC"/>
    <w:rsid w:val="00EB5CD6"/>
    <w:rsid w:val="00EB5D56"/>
    <w:rsid w:val="00EB5EE6"/>
    <w:rsid w:val="00EB6549"/>
    <w:rsid w:val="00EB658E"/>
    <w:rsid w:val="00EB66B4"/>
    <w:rsid w:val="00EB6884"/>
    <w:rsid w:val="00EB6CBF"/>
    <w:rsid w:val="00EB7194"/>
    <w:rsid w:val="00EB72DC"/>
    <w:rsid w:val="00EB75C7"/>
    <w:rsid w:val="00EB7A88"/>
    <w:rsid w:val="00EB7AF4"/>
    <w:rsid w:val="00EC0C24"/>
    <w:rsid w:val="00EC0DFD"/>
    <w:rsid w:val="00EC0FEA"/>
    <w:rsid w:val="00EC1416"/>
    <w:rsid w:val="00EC157F"/>
    <w:rsid w:val="00EC1A03"/>
    <w:rsid w:val="00EC1A35"/>
    <w:rsid w:val="00EC1E5A"/>
    <w:rsid w:val="00EC2197"/>
    <w:rsid w:val="00EC2B50"/>
    <w:rsid w:val="00EC4298"/>
    <w:rsid w:val="00EC45B0"/>
    <w:rsid w:val="00EC46FD"/>
    <w:rsid w:val="00EC476D"/>
    <w:rsid w:val="00EC52B1"/>
    <w:rsid w:val="00EC57AE"/>
    <w:rsid w:val="00EC5F97"/>
    <w:rsid w:val="00EC6387"/>
    <w:rsid w:val="00EC68CE"/>
    <w:rsid w:val="00EC6DA7"/>
    <w:rsid w:val="00EC6DC5"/>
    <w:rsid w:val="00EC70D7"/>
    <w:rsid w:val="00EC7B25"/>
    <w:rsid w:val="00EC7E47"/>
    <w:rsid w:val="00EC7F1A"/>
    <w:rsid w:val="00ED0449"/>
    <w:rsid w:val="00ED081B"/>
    <w:rsid w:val="00ED0C9E"/>
    <w:rsid w:val="00ED0F55"/>
    <w:rsid w:val="00ED13EC"/>
    <w:rsid w:val="00ED13F8"/>
    <w:rsid w:val="00ED1B2C"/>
    <w:rsid w:val="00ED1BC2"/>
    <w:rsid w:val="00ED1C1F"/>
    <w:rsid w:val="00ED221A"/>
    <w:rsid w:val="00ED2533"/>
    <w:rsid w:val="00ED275D"/>
    <w:rsid w:val="00ED2D82"/>
    <w:rsid w:val="00ED2E20"/>
    <w:rsid w:val="00ED2FFF"/>
    <w:rsid w:val="00ED3086"/>
    <w:rsid w:val="00ED35C8"/>
    <w:rsid w:val="00ED3DC9"/>
    <w:rsid w:val="00ED405C"/>
    <w:rsid w:val="00ED48BE"/>
    <w:rsid w:val="00ED48F5"/>
    <w:rsid w:val="00ED4D1F"/>
    <w:rsid w:val="00ED4D45"/>
    <w:rsid w:val="00ED5306"/>
    <w:rsid w:val="00ED5E56"/>
    <w:rsid w:val="00ED5F5A"/>
    <w:rsid w:val="00ED726C"/>
    <w:rsid w:val="00ED73A7"/>
    <w:rsid w:val="00ED73F8"/>
    <w:rsid w:val="00ED797D"/>
    <w:rsid w:val="00ED7B4B"/>
    <w:rsid w:val="00ED7BB0"/>
    <w:rsid w:val="00EE0460"/>
    <w:rsid w:val="00EE04DA"/>
    <w:rsid w:val="00EE0ACE"/>
    <w:rsid w:val="00EE1387"/>
    <w:rsid w:val="00EE139B"/>
    <w:rsid w:val="00EE1E70"/>
    <w:rsid w:val="00EE1F66"/>
    <w:rsid w:val="00EE1FB4"/>
    <w:rsid w:val="00EE1FC7"/>
    <w:rsid w:val="00EE2214"/>
    <w:rsid w:val="00EE2B14"/>
    <w:rsid w:val="00EE2BB7"/>
    <w:rsid w:val="00EE2E36"/>
    <w:rsid w:val="00EE33AE"/>
    <w:rsid w:val="00EE35BE"/>
    <w:rsid w:val="00EE3646"/>
    <w:rsid w:val="00EE3A77"/>
    <w:rsid w:val="00EE3DE0"/>
    <w:rsid w:val="00EE4001"/>
    <w:rsid w:val="00EE463E"/>
    <w:rsid w:val="00EE4903"/>
    <w:rsid w:val="00EE4B00"/>
    <w:rsid w:val="00EE4F9A"/>
    <w:rsid w:val="00EE53F5"/>
    <w:rsid w:val="00EE57B7"/>
    <w:rsid w:val="00EE5BDC"/>
    <w:rsid w:val="00EE5D21"/>
    <w:rsid w:val="00EE5F8C"/>
    <w:rsid w:val="00EE626A"/>
    <w:rsid w:val="00EE642B"/>
    <w:rsid w:val="00EE67E5"/>
    <w:rsid w:val="00EE6C68"/>
    <w:rsid w:val="00EE6D01"/>
    <w:rsid w:val="00EE7023"/>
    <w:rsid w:val="00EE76C4"/>
    <w:rsid w:val="00EE7A56"/>
    <w:rsid w:val="00EE7C95"/>
    <w:rsid w:val="00EE7D7C"/>
    <w:rsid w:val="00EE7E88"/>
    <w:rsid w:val="00EF0601"/>
    <w:rsid w:val="00EF090A"/>
    <w:rsid w:val="00EF0A57"/>
    <w:rsid w:val="00EF16BF"/>
    <w:rsid w:val="00EF16F5"/>
    <w:rsid w:val="00EF1DE0"/>
    <w:rsid w:val="00EF2254"/>
    <w:rsid w:val="00EF2501"/>
    <w:rsid w:val="00EF261E"/>
    <w:rsid w:val="00EF2A70"/>
    <w:rsid w:val="00EF2B19"/>
    <w:rsid w:val="00EF2C26"/>
    <w:rsid w:val="00EF2E01"/>
    <w:rsid w:val="00EF2E62"/>
    <w:rsid w:val="00EF3023"/>
    <w:rsid w:val="00EF3529"/>
    <w:rsid w:val="00EF37FA"/>
    <w:rsid w:val="00EF3C8B"/>
    <w:rsid w:val="00EF4144"/>
    <w:rsid w:val="00EF4535"/>
    <w:rsid w:val="00EF506C"/>
    <w:rsid w:val="00EF5192"/>
    <w:rsid w:val="00EF579B"/>
    <w:rsid w:val="00EF5818"/>
    <w:rsid w:val="00EF5977"/>
    <w:rsid w:val="00EF6292"/>
    <w:rsid w:val="00EF65E6"/>
    <w:rsid w:val="00EF6807"/>
    <w:rsid w:val="00EF69C6"/>
    <w:rsid w:val="00EF7759"/>
    <w:rsid w:val="00EF78EE"/>
    <w:rsid w:val="00EF7D34"/>
    <w:rsid w:val="00EF7DE1"/>
    <w:rsid w:val="00EF7F21"/>
    <w:rsid w:val="00F00704"/>
    <w:rsid w:val="00F00A26"/>
    <w:rsid w:val="00F018A6"/>
    <w:rsid w:val="00F0230D"/>
    <w:rsid w:val="00F026EE"/>
    <w:rsid w:val="00F027A1"/>
    <w:rsid w:val="00F02BFC"/>
    <w:rsid w:val="00F02CD9"/>
    <w:rsid w:val="00F0325F"/>
    <w:rsid w:val="00F03688"/>
    <w:rsid w:val="00F03B81"/>
    <w:rsid w:val="00F03BB6"/>
    <w:rsid w:val="00F03E5B"/>
    <w:rsid w:val="00F03EE5"/>
    <w:rsid w:val="00F03F5D"/>
    <w:rsid w:val="00F03F7D"/>
    <w:rsid w:val="00F04718"/>
    <w:rsid w:val="00F04B0B"/>
    <w:rsid w:val="00F04C6F"/>
    <w:rsid w:val="00F04E00"/>
    <w:rsid w:val="00F04EE8"/>
    <w:rsid w:val="00F056D3"/>
    <w:rsid w:val="00F057A1"/>
    <w:rsid w:val="00F05B16"/>
    <w:rsid w:val="00F05ECB"/>
    <w:rsid w:val="00F06206"/>
    <w:rsid w:val="00F062EC"/>
    <w:rsid w:val="00F06438"/>
    <w:rsid w:val="00F065E2"/>
    <w:rsid w:val="00F06659"/>
    <w:rsid w:val="00F06C64"/>
    <w:rsid w:val="00F06FE3"/>
    <w:rsid w:val="00F073DA"/>
    <w:rsid w:val="00F07B36"/>
    <w:rsid w:val="00F07E84"/>
    <w:rsid w:val="00F10019"/>
    <w:rsid w:val="00F105C7"/>
    <w:rsid w:val="00F10827"/>
    <w:rsid w:val="00F10E7F"/>
    <w:rsid w:val="00F10FCC"/>
    <w:rsid w:val="00F116E3"/>
    <w:rsid w:val="00F11864"/>
    <w:rsid w:val="00F11D42"/>
    <w:rsid w:val="00F12AFA"/>
    <w:rsid w:val="00F12B57"/>
    <w:rsid w:val="00F132FB"/>
    <w:rsid w:val="00F13C08"/>
    <w:rsid w:val="00F13CCD"/>
    <w:rsid w:val="00F140C1"/>
    <w:rsid w:val="00F14696"/>
    <w:rsid w:val="00F1479E"/>
    <w:rsid w:val="00F14B94"/>
    <w:rsid w:val="00F14B96"/>
    <w:rsid w:val="00F14BCF"/>
    <w:rsid w:val="00F14FF8"/>
    <w:rsid w:val="00F154D8"/>
    <w:rsid w:val="00F157A7"/>
    <w:rsid w:val="00F15CC2"/>
    <w:rsid w:val="00F15EA2"/>
    <w:rsid w:val="00F15F45"/>
    <w:rsid w:val="00F15F46"/>
    <w:rsid w:val="00F16CF1"/>
    <w:rsid w:val="00F16F3E"/>
    <w:rsid w:val="00F172E1"/>
    <w:rsid w:val="00F17650"/>
    <w:rsid w:val="00F20086"/>
    <w:rsid w:val="00F201C7"/>
    <w:rsid w:val="00F206B2"/>
    <w:rsid w:val="00F208B7"/>
    <w:rsid w:val="00F20E76"/>
    <w:rsid w:val="00F2196F"/>
    <w:rsid w:val="00F225BF"/>
    <w:rsid w:val="00F227EF"/>
    <w:rsid w:val="00F228FC"/>
    <w:rsid w:val="00F233E6"/>
    <w:rsid w:val="00F234C7"/>
    <w:rsid w:val="00F236E4"/>
    <w:rsid w:val="00F238B2"/>
    <w:rsid w:val="00F24092"/>
    <w:rsid w:val="00F240E2"/>
    <w:rsid w:val="00F24137"/>
    <w:rsid w:val="00F243CB"/>
    <w:rsid w:val="00F24928"/>
    <w:rsid w:val="00F24BDB"/>
    <w:rsid w:val="00F24D55"/>
    <w:rsid w:val="00F24E9E"/>
    <w:rsid w:val="00F2522D"/>
    <w:rsid w:val="00F25DBC"/>
    <w:rsid w:val="00F25EDD"/>
    <w:rsid w:val="00F25F8E"/>
    <w:rsid w:val="00F2602E"/>
    <w:rsid w:val="00F26879"/>
    <w:rsid w:val="00F268FD"/>
    <w:rsid w:val="00F26CB8"/>
    <w:rsid w:val="00F26FA8"/>
    <w:rsid w:val="00F27435"/>
    <w:rsid w:val="00F27680"/>
    <w:rsid w:val="00F276DF"/>
    <w:rsid w:val="00F27780"/>
    <w:rsid w:val="00F27D41"/>
    <w:rsid w:val="00F27DE3"/>
    <w:rsid w:val="00F300DE"/>
    <w:rsid w:val="00F30770"/>
    <w:rsid w:val="00F30F2D"/>
    <w:rsid w:val="00F3176B"/>
    <w:rsid w:val="00F322D3"/>
    <w:rsid w:val="00F32594"/>
    <w:rsid w:val="00F32597"/>
    <w:rsid w:val="00F325EC"/>
    <w:rsid w:val="00F32838"/>
    <w:rsid w:val="00F3293A"/>
    <w:rsid w:val="00F32E0D"/>
    <w:rsid w:val="00F32E6A"/>
    <w:rsid w:val="00F32ED2"/>
    <w:rsid w:val="00F334B3"/>
    <w:rsid w:val="00F33C3B"/>
    <w:rsid w:val="00F33CC2"/>
    <w:rsid w:val="00F3458F"/>
    <w:rsid w:val="00F34889"/>
    <w:rsid w:val="00F348D7"/>
    <w:rsid w:val="00F34ABF"/>
    <w:rsid w:val="00F34BCA"/>
    <w:rsid w:val="00F35487"/>
    <w:rsid w:val="00F35502"/>
    <w:rsid w:val="00F35A16"/>
    <w:rsid w:val="00F3603E"/>
    <w:rsid w:val="00F3624F"/>
    <w:rsid w:val="00F36576"/>
    <w:rsid w:val="00F36A97"/>
    <w:rsid w:val="00F36D5D"/>
    <w:rsid w:val="00F36D90"/>
    <w:rsid w:val="00F37274"/>
    <w:rsid w:val="00F3754E"/>
    <w:rsid w:val="00F376E2"/>
    <w:rsid w:val="00F37A41"/>
    <w:rsid w:val="00F4031A"/>
    <w:rsid w:val="00F40CAC"/>
    <w:rsid w:val="00F41222"/>
    <w:rsid w:val="00F4131C"/>
    <w:rsid w:val="00F41419"/>
    <w:rsid w:val="00F41782"/>
    <w:rsid w:val="00F4183F"/>
    <w:rsid w:val="00F42292"/>
    <w:rsid w:val="00F424D2"/>
    <w:rsid w:val="00F42B2E"/>
    <w:rsid w:val="00F42C9F"/>
    <w:rsid w:val="00F42D36"/>
    <w:rsid w:val="00F43116"/>
    <w:rsid w:val="00F431CF"/>
    <w:rsid w:val="00F438A3"/>
    <w:rsid w:val="00F443C6"/>
    <w:rsid w:val="00F4446A"/>
    <w:rsid w:val="00F444AA"/>
    <w:rsid w:val="00F44735"/>
    <w:rsid w:val="00F447D9"/>
    <w:rsid w:val="00F448B3"/>
    <w:rsid w:val="00F4492E"/>
    <w:rsid w:val="00F44BDD"/>
    <w:rsid w:val="00F4521F"/>
    <w:rsid w:val="00F457CF"/>
    <w:rsid w:val="00F45B88"/>
    <w:rsid w:val="00F45DD5"/>
    <w:rsid w:val="00F4612E"/>
    <w:rsid w:val="00F4619B"/>
    <w:rsid w:val="00F46278"/>
    <w:rsid w:val="00F46CFD"/>
    <w:rsid w:val="00F46E02"/>
    <w:rsid w:val="00F471F5"/>
    <w:rsid w:val="00F47AF7"/>
    <w:rsid w:val="00F47BA0"/>
    <w:rsid w:val="00F47BCF"/>
    <w:rsid w:val="00F50A2E"/>
    <w:rsid w:val="00F50BAE"/>
    <w:rsid w:val="00F50DC1"/>
    <w:rsid w:val="00F50DFA"/>
    <w:rsid w:val="00F50FA6"/>
    <w:rsid w:val="00F50FAB"/>
    <w:rsid w:val="00F51239"/>
    <w:rsid w:val="00F514D0"/>
    <w:rsid w:val="00F517A6"/>
    <w:rsid w:val="00F51C62"/>
    <w:rsid w:val="00F51DE0"/>
    <w:rsid w:val="00F524E8"/>
    <w:rsid w:val="00F52844"/>
    <w:rsid w:val="00F528A4"/>
    <w:rsid w:val="00F5301F"/>
    <w:rsid w:val="00F530A1"/>
    <w:rsid w:val="00F53518"/>
    <w:rsid w:val="00F5385C"/>
    <w:rsid w:val="00F539EC"/>
    <w:rsid w:val="00F53DA5"/>
    <w:rsid w:val="00F54115"/>
    <w:rsid w:val="00F54D4F"/>
    <w:rsid w:val="00F54F9C"/>
    <w:rsid w:val="00F55064"/>
    <w:rsid w:val="00F55CF4"/>
    <w:rsid w:val="00F55D0E"/>
    <w:rsid w:val="00F56094"/>
    <w:rsid w:val="00F562AD"/>
    <w:rsid w:val="00F5657E"/>
    <w:rsid w:val="00F56583"/>
    <w:rsid w:val="00F567E1"/>
    <w:rsid w:val="00F56FD5"/>
    <w:rsid w:val="00F570DD"/>
    <w:rsid w:val="00F57244"/>
    <w:rsid w:val="00F575E9"/>
    <w:rsid w:val="00F57C63"/>
    <w:rsid w:val="00F603FD"/>
    <w:rsid w:val="00F60643"/>
    <w:rsid w:val="00F6076F"/>
    <w:rsid w:val="00F609F4"/>
    <w:rsid w:val="00F60C52"/>
    <w:rsid w:val="00F611AF"/>
    <w:rsid w:val="00F61683"/>
    <w:rsid w:val="00F619BE"/>
    <w:rsid w:val="00F61D2F"/>
    <w:rsid w:val="00F62469"/>
    <w:rsid w:val="00F62813"/>
    <w:rsid w:val="00F62958"/>
    <w:rsid w:val="00F62C4C"/>
    <w:rsid w:val="00F62FE2"/>
    <w:rsid w:val="00F63670"/>
    <w:rsid w:val="00F63714"/>
    <w:rsid w:val="00F63D83"/>
    <w:rsid w:val="00F63EDC"/>
    <w:rsid w:val="00F640DC"/>
    <w:rsid w:val="00F641B1"/>
    <w:rsid w:val="00F648A2"/>
    <w:rsid w:val="00F64FBC"/>
    <w:rsid w:val="00F65196"/>
    <w:rsid w:val="00F65846"/>
    <w:rsid w:val="00F6592D"/>
    <w:rsid w:val="00F65A50"/>
    <w:rsid w:val="00F65A73"/>
    <w:rsid w:val="00F66045"/>
    <w:rsid w:val="00F662CE"/>
    <w:rsid w:val="00F663B0"/>
    <w:rsid w:val="00F666CC"/>
    <w:rsid w:val="00F66910"/>
    <w:rsid w:val="00F669A2"/>
    <w:rsid w:val="00F67517"/>
    <w:rsid w:val="00F6788B"/>
    <w:rsid w:val="00F67D2C"/>
    <w:rsid w:val="00F67E88"/>
    <w:rsid w:val="00F708C2"/>
    <w:rsid w:val="00F70966"/>
    <w:rsid w:val="00F70DAA"/>
    <w:rsid w:val="00F71CF7"/>
    <w:rsid w:val="00F71E33"/>
    <w:rsid w:val="00F7227C"/>
    <w:rsid w:val="00F72446"/>
    <w:rsid w:val="00F728A1"/>
    <w:rsid w:val="00F7293B"/>
    <w:rsid w:val="00F72992"/>
    <w:rsid w:val="00F72A80"/>
    <w:rsid w:val="00F72EC1"/>
    <w:rsid w:val="00F731CB"/>
    <w:rsid w:val="00F73345"/>
    <w:rsid w:val="00F73869"/>
    <w:rsid w:val="00F739C2"/>
    <w:rsid w:val="00F741E1"/>
    <w:rsid w:val="00F741ED"/>
    <w:rsid w:val="00F7488B"/>
    <w:rsid w:val="00F754C3"/>
    <w:rsid w:val="00F7598F"/>
    <w:rsid w:val="00F75EC2"/>
    <w:rsid w:val="00F75F28"/>
    <w:rsid w:val="00F761B9"/>
    <w:rsid w:val="00F76619"/>
    <w:rsid w:val="00F76B52"/>
    <w:rsid w:val="00F76CE1"/>
    <w:rsid w:val="00F772D5"/>
    <w:rsid w:val="00F776A6"/>
    <w:rsid w:val="00F77799"/>
    <w:rsid w:val="00F779F1"/>
    <w:rsid w:val="00F8019C"/>
    <w:rsid w:val="00F8032F"/>
    <w:rsid w:val="00F8069D"/>
    <w:rsid w:val="00F80970"/>
    <w:rsid w:val="00F80C7A"/>
    <w:rsid w:val="00F80ECA"/>
    <w:rsid w:val="00F80F72"/>
    <w:rsid w:val="00F814A8"/>
    <w:rsid w:val="00F817BD"/>
    <w:rsid w:val="00F81A66"/>
    <w:rsid w:val="00F81C2E"/>
    <w:rsid w:val="00F81CAC"/>
    <w:rsid w:val="00F81D89"/>
    <w:rsid w:val="00F81E50"/>
    <w:rsid w:val="00F823D6"/>
    <w:rsid w:val="00F828E4"/>
    <w:rsid w:val="00F82990"/>
    <w:rsid w:val="00F82A76"/>
    <w:rsid w:val="00F82C52"/>
    <w:rsid w:val="00F82FB5"/>
    <w:rsid w:val="00F83D8A"/>
    <w:rsid w:val="00F83E18"/>
    <w:rsid w:val="00F83ECD"/>
    <w:rsid w:val="00F84A07"/>
    <w:rsid w:val="00F85449"/>
    <w:rsid w:val="00F85929"/>
    <w:rsid w:val="00F85FEA"/>
    <w:rsid w:val="00F867F4"/>
    <w:rsid w:val="00F86F19"/>
    <w:rsid w:val="00F90603"/>
    <w:rsid w:val="00F909C5"/>
    <w:rsid w:val="00F90E85"/>
    <w:rsid w:val="00F91049"/>
    <w:rsid w:val="00F91361"/>
    <w:rsid w:val="00F914A1"/>
    <w:rsid w:val="00F915FF"/>
    <w:rsid w:val="00F91AFB"/>
    <w:rsid w:val="00F91B9B"/>
    <w:rsid w:val="00F91ED4"/>
    <w:rsid w:val="00F92867"/>
    <w:rsid w:val="00F92A9B"/>
    <w:rsid w:val="00F92C77"/>
    <w:rsid w:val="00F9315C"/>
    <w:rsid w:val="00F937A7"/>
    <w:rsid w:val="00F9403F"/>
    <w:rsid w:val="00F942D3"/>
    <w:rsid w:val="00F9440E"/>
    <w:rsid w:val="00F94839"/>
    <w:rsid w:val="00F958A3"/>
    <w:rsid w:val="00F95D14"/>
    <w:rsid w:val="00F95E48"/>
    <w:rsid w:val="00F963DA"/>
    <w:rsid w:val="00F9659D"/>
    <w:rsid w:val="00F96A37"/>
    <w:rsid w:val="00F97275"/>
    <w:rsid w:val="00F972B5"/>
    <w:rsid w:val="00F973A1"/>
    <w:rsid w:val="00F9746E"/>
    <w:rsid w:val="00F97811"/>
    <w:rsid w:val="00F97BCC"/>
    <w:rsid w:val="00F97C86"/>
    <w:rsid w:val="00FA0798"/>
    <w:rsid w:val="00FA08DC"/>
    <w:rsid w:val="00FA0B32"/>
    <w:rsid w:val="00FA0D5F"/>
    <w:rsid w:val="00FA1146"/>
    <w:rsid w:val="00FA168F"/>
    <w:rsid w:val="00FA1B0E"/>
    <w:rsid w:val="00FA2E08"/>
    <w:rsid w:val="00FA328D"/>
    <w:rsid w:val="00FA3C50"/>
    <w:rsid w:val="00FA4427"/>
    <w:rsid w:val="00FA48BB"/>
    <w:rsid w:val="00FA5011"/>
    <w:rsid w:val="00FA51D9"/>
    <w:rsid w:val="00FA5881"/>
    <w:rsid w:val="00FA5C61"/>
    <w:rsid w:val="00FA5CC9"/>
    <w:rsid w:val="00FA5D3B"/>
    <w:rsid w:val="00FA64C8"/>
    <w:rsid w:val="00FA674F"/>
    <w:rsid w:val="00FA680D"/>
    <w:rsid w:val="00FA6F02"/>
    <w:rsid w:val="00FA75FB"/>
    <w:rsid w:val="00FA7DA7"/>
    <w:rsid w:val="00FA7F57"/>
    <w:rsid w:val="00FB035F"/>
    <w:rsid w:val="00FB06FD"/>
    <w:rsid w:val="00FB0791"/>
    <w:rsid w:val="00FB0826"/>
    <w:rsid w:val="00FB0E87"/>
    <w:rsid w:val="00FB0EFD"/>
    <w:rsid w:val="00FB0FF6"/>
    <w:rsid w:val="00FB10CF"/>
    <w:rsid w:val="00FB1323"/>
    <w:rsid w:val="00FB1358"/>
    <w:rsid w:val="00FB1467"/>
    <w:rsid w:val="00FB14DC"/>
    <w:rsid w:val="00FB181A"/>
    <w:rsid w:val="00FB1FE1"/>
    <w:rsid w:val="00FB21BA"/>
    <w:rsid w:val="00FB226D"/>
    <w:rsid w:val="00FB25AC"/>
    <w:rsid w:val="00FB267A"/>
    <w:rsid w:val="00FB331F"/>
    <w:rsid w:val="00FB45A1"/>
    <w:rsid w:val="00FB464C"/>
    <w:rsid w:val="00FB489E"/>
    <w:rsid w:val="00FB4D24"/>
    <w:rsid w:val="00FB5055"/>
    <w:rsid w:val="00FB5311"/>
    <w:rsid w:val="00FB5B18"/>
    <w:rsid w:val="00FB5C45"/>
    <w:rsid w:val="00FB5E23"/>
    <w:rsid w:val="00FB6FC2"/>
    <w:rsid w:val="00FB7465"/>
    <w:rsid w:val="00FB75A8"/>
    <w:rsid w:val="00FB7C4D"/>
    <w:rsid w:val="00FC0A4B"/>
    <w:rsid w:val="00FC0FB4"/>
    <w:rsid w:val="00FC1251"/>
    <w:rsid w:val="00FC1283"/>
    <w:rsid w:val="00FC1A03"/>
    <w:rsid w:val="00FC209C"/>
    <w:rsid w:val="00FC26BD"/>
    <w:rsid w:val="00FC29A2"/>
    <w:rsid w:val="00FC2A90"/>
    <w:rsid w:val="00FC425F"/>
    <w:rsid w:val="00FC5743"/>
    <w:rsid w:val="00FC586B"/>
    <w:rsid w:val="00FC5911"/>
    <w:rsid w:val="00FC595A"/>
    <w:rsid w:val="00FC6B62"/>
    <w:rsid w:val="00FC6E25"/>
    <w:rsid w:val="00FC7823"/>
    <w:rsid w:val="00FC7F0A"/>
    <w:rsid w:val="00FC7FE3"/>
    <w:rsid w:val="00FD0A1E"/>
    <w:rsid w:val="00FD0C38"/>
    <w:rsid w:val="00FD0CAA"/>
    <w:rsid w:val="00FD0D70"/>
    <w:rsid w:val="00FD0E5F"/>
    <w:rsid w:val="00FD0FC1"/>
    <w:rsid w:val="00FD189F"/>
    <w:rsid w:val="00FD191B"/>
    <w:rsid w:val="00FD1927"/>
    <w:rsid w:val="00FD1C76"/>
    <w:rsid w:val="00FD22F4"/>
    <w:rsid w:val="00FD24A3"/>
    <w:rsid w:val="00FD26FD"/>
    <w:rsid w:val="00FD2800"/>
    <w:rsid w:val="00FD28B2"/>
    <w:rsid w:val="00FD29BB"/>
    <w:rsid w:val="00FD2AFB"/>
    <w:rsid w:val="00FD2B6F"/>
    <w:rsid w:val="00FD2BD6"/>
    <w:rsid w:val="00FD3235"/>
    <w:rsid w:val="00FD3248"/>
    <w:rsid w:val="00FD3376"/>
    <w:rsid w:val="00FD33E5"/>
    <w:rsid w:val="00FD3513"/>
    <w:rsid w:val="00FD438F"/>
    <w:rsid w:val="00FD4E53"/>
    <w:rsid w:val="00FD5B1F"/>
    <w:rsid w:val="00FD5FEC"/>
    <w:rsid w:val="00FD610F"/>
    <w:rsid w:val="00FD664A"/>
    <w:rsid w:val="00FD68E4"/>
    <w:rsid w:val="00FD6B07"/>
    <w:rsid w:val="00FD6E64"/>
    <w:rsid w:val="00FD71AB"/>
    <w:rsid w:val="00FD72F1"/>
    <w:rsid w:val="00FD751B"/>
    <w:rsid w:val="00FD78E1"/>
    <w:rsid w:val="00FD78E4"/>
    <w:rsid w:val="00FD7F38"/>
    <w:rsid w:val="00FE05E9"/>
    <w:rsid w:val="00FE0789"/>
    <w:rsid w:val="00FE07BB"/>
    <w:rsid w:val="00FE07FD"/>
    <w:rsid w:val="00FE0ADF"/>
    <w:rsid w:val="00FE0FA7"/>
    <w:rsid w:val="00FE124E"/>
    <w:rsid w:val="00FE15C4"/>
    <w:rsid w:val="00FE1787"/>
    <w:rsid w:val="00FE1AC2"/>
    <w:rsid w:val="00FE1AD9"/>
    <w:rsid w:val="00FE1BEB"/>
    <w:rsid w:val="00FE1C05"/>
    <w:rsid w:val="00FE2DC8"/>
    <w:rsid w:val="00FE32A3"/>
    <w:rsid w:val="00FE3304"/>
    <w:rsid w:val="00FE35B1"/>
    <w:rsid w:val="00FE3A91"/>
    <w:rsid w:val="00FE3AF1"/>
    <w:rsid w:val="00FE3DC4"/>
    <w:rsid w:val="00FE3E85"/>
    <w:rsid w:val="00FE3F03"/>
    <w:rsid w:val="00FE403D"/>
    <w:rsid w:val="00FE46B3"/>
    <w:rsid w:val="00FE4FBA"/>
    <w:rsid w:val="00FE59C5"/>
    <w:rsid w:val="00FE5F0C"/>
    <w:rsid w:val="00FE5FD7"/>
    <w:rsid w:val="00FE6071"/>
    <w:rsid w:val="00FE6263"/>
    <w:rsid w:val="00FE69F7"/>
    <w:rsid w:val="00FE73A0"/>
    <w:rsid w:val="00FE76F5"/>
    <w:rsid w:val="00FE7E63"/>
    <w:rsid w:val="00FE7F34"/>
    <w:rsid w:val="00FE7F8D"/>
    <w:rsid w:val="00FF03BA"/>
    <w:rsid w:val="00FF05E3"/>
    <w:rsid w:val="00FF0933"/>
    <w:rsid w:val="00FF0F2D"/>
    <w:rsid w:val="00FF1760"/>
    <w:rsid w:val="00FF200A"/>
    <w:rsid w:val="00FF200C"/>
    <w:rsid w:val="00FF20F8"/>
    <w:rsid w:val="00FF23A8"/>
    <w:rsid w:val="00FF23FF"/>
    <w:rsid w:val="00FF2B6F"/>
    <w:rsid w:val="00FF2B72"/>
    <w:rsid w:val="00FF3690"/>
    <w:rsid w:val="00FF40A3"/>
    <w:rsid w:val="00FF4131"/>
    <w:rsid w:val="00FF47F1"/>
    <w:rsid w:val="00FF4A24"/>
    <w:rsid w:val="00FF4E96"/>
    <w:rsid w:val="00FF51B2"/>
    <w:rsid w:val="00FF531F"/>
    <w:rsid w:val="00FF57CB"/>
    <w:rsid w:val="00FF5DCB"/>
    <w:rsid w:val="00FF608F"/>
    <w:rsid w:val="00FF6B92"/>
    <w:rsid w:val="00FF6BD0"/>
    <w:rsid w:val="00FF6C8E"/>
    <w:rsid w:val="00FF7889"/>
    <w:rsid w:val="00FF7C13"/>
    <w:rsid w:val="0161FFBA"/>
    <w:rsid w:val="017F5A5C"/>
    <w:rsid w:val="018E2A4E"/>
    <w:rsid w:val="01B29E07"/>
    <w:rsid w:val="01C661B2"/>
    <w:rsid w:val="01D5DA0C"/>
    <w:rsid w:val="01E31B9D"/>
    <w:rsid w:val="023E2F39"/>
    <w:rsid w:val="0283539E"/>
    <w:rsid w:val="02AC3778"/>
    <w:rsid w:val="02BBC557"/>
    <w:rsid w:val="02DE5F7C"/>
    <w:rsid w:val="02FF3435"/>
    <w:rsid w:val="03227CC2"/>
    <w:rsid w:val="0368F5D0"/>
    <w:rsid w:val="0385DE59"/>
    <w:rsid w:val="03980CE5"/>
    <w:rsid w:val="03985B15"/>
    <w:rsid w:val="03C57F75"/>
    <w:rsid w:val="042C46B9"/>
    <w:rsid w:val="043CB020"/>
    <w:rsid w:val="045C3592"/>
    <w:rsid w:val="0475BB9F"/>
    <w:rsid w:val="047D0B4D"/>
    <w:rsid w:val="04A09739"/>
    <w:rsid w:val="050E7973"/>
    <w:rsid w:val="05122BDB"/>
    <w:rsid w:val="05282265"/>
    <w:rsid w:val="0580CC3A"/>
    <w:rsid w:val="05BFB9F6"/>
    <w:rsid w:val="063FA8D0"/>
    <w:rsid w:val="064C0780"/>
    <w:rsid w:val="064F1617"/>
    <w:rsid w:val="0699B7AF"/>
    <w:rsid w:val="06AFE2E3"/>
    <w:rsid w:val="06FFE734"/>
    <w:rsid w:val="07883CC3"/>
    <w:rsid w:val="07C5CCE5"/>
    <w:rsid w:val="07CC4387"/>
    <w:rsid w:val="07DA524E"/>
    <w:rsid w:val="07E09371"/>
    <w:rsid w:val="07E6011D"/>
    <w:rsid w:val="080BD523"/>
    <w:rsid w:val="082C8BA5"/>
    <w:rsid w:val="084D0AA1"/>
    <w:rsid w:val="08576D37"/>
    <w:rsid w:val="086C9D1B"/>
    <w:rsid w:val="08DCF97C"/>
    <w:rsid w:val="09079996"/>
    <w:rsid w:val="09305A85"/>
    <w:rsid w:val="093201F3"/>
    <w:rsid w:val="0980DFDF"/>
    <w:rsid w:val="099F6082"/>
    <w:rsid w:val="09C5127E"/>
    <w:rsid w:val="09DAE10C"/>
    <w:rsid w:val="0A088526"/>
    <w:rsid w:val="0A15892E"/>
    <w:rsid w:val="0A173657"/>
    <w:rsid w:val="0A33010A"/>
    <w:rsid w:val="0A3A74D1"/>
    <w:rsid w:val="0A6AF182"/>
    <w:rsid w:val="0A82C94A"/>
    <w:rsid w:val="0A93B781"/>
    <w:rsid w:val="0AD34CB6"/>
    <w:rsid w:val="0AD73D00"/>
    <w:rsid w:val="0AE1B594"/>
    <w:rsid w:val="0AE6A32A"/>
    <w:rsid w:val="0B06C54A"/>
    <w:rsid w:val="0B0EC5B6"/>
    <w:rsid w:val="0B144EA3"/>
    <w:rsid w:val="0BBC1FD0"/>
    <w:rsid w:val="0BEB52A2"/>
    <w:rsid w:val="0C00C4D9"/>
    <w:rsid w:val="0C3FF486"/>
    <w:rsid w:val="0C6178AD"/>
    <w:rsid w:val="0C627347"/>
    <w:rsid w:val="0C640B42"/>
    <w:rsid w:val="0CA8D577"/>
    <w:rsid w:val="0CB400A4"/>
    <w:rsid w:val="0CC56358"/>
    <w:rsid w:val="0CF8204E"/>
    <w:rsid w:val="0D1B4733"/>
    <w:rsid w:val="0D238341"/>
    <w:rsid w:val="0D44A44D"/>
    <w:rsid w:val="0D80EA76"/>
    <w:rsid w:val="0DA24329"/>
    <w:rsid w:val="0DAEB443"/>
    <w:rsid w:val="0DB93DD9"/>
    <w:rsid w:val="0DFE2B23"/>
    <w:rsid w:val="0E2BA6A8"/>
    <w:rsid w:val="0E439A16"/>
    <w:rsid w:val="0E61C299"/>
    <w:rsid w:val="0E89F73A"/>
    <w:rsid w:val="0E906DB9"/>
    <w:rsid w:val="0EC32CB7"/>
    <w:rsid w:val="0F185297"/>
    <w:rsid w:val="0F43840B"/>
    <w:rsid w:val="0F49D829"/>
    <w:rsid w:val="0F6DD4DF"/>
    <w:rsid w:val="0F8E6BAA"/>
    <w:rsid w:val="0F95B0FA"/>
    <w:rsid w:val="0FE9392E"/>
    <w:rsid w:val="104E66A0"/>
    <w:rsid w:val="10FD82C8"/>
    <w:rsid w:val="11486140"/>
    <w:rsid w:val="117CAE69"/>
    <w:rsid w:val="11A11F59"/>
    <w:rsid w:val="11A944D1"/>
    <w:rsid w:val="11C6D7A9"/>
    <w:rsid w:val="12026B7C"/>
    <w:rsid w:val="12778119"/>
    <w:rsid w:val="129AF336"/>
    <w:rsid w:val="12AE906F"/>
    <w:rsid w:val="12D6CAAF"/>
    <w:rsid w:val="12D78AAD"/>
    <w:rsid w:val="12E28C78"/>
    <w:rsid w:val="12F132B3"/>
    <w:rsid w:val="13389FF0"/>
    <w:rsid w:val="1383F86C"/>
    <w:rsid w:val="13A1E747"/>
    <w:rsid w:val="13E1B95C"/>
    <w:rsid w:val="13F2B19E"/>
    <w:rsid w:val="13F4A33F"/>
    <w:rsid w:val="1409F2A1"/>
    <w:rsid w:val="14130589"/>
    <w:rsid w:val="1455D786"/>
    <w:rsid w:val="1497526D"/>
    <w:rsid w:val="14BADB53"/>
    <w:rsid w:val="14C858FD"/>
    <w:rsid w:val="14D5EB8E"/>
    <w:rsid w:val="14D6B912"/>
    <w:rsid w:val="151E089C"/>
    <w:rsid w:val="152CFD2E"/>
    <w:rsid w:val="153D071C"/>
    <w:rsid w:val="156F6DEB"/>
    <w:rsid w:val="158588AA"/>
    <w:rsid w:val="15B654E0"/>
    <w:rsid w:val="1658B42B"/>
    <w:rsid w:val="1680C92F"/>
    <w:rsid w:val="169DE71B"/>
    <w:rsid w:val="16C3623E"/>
    <w:rsid w:val="170EA6C0"/>
    <w:rsid w:val="1718FE72"/>
    <w:rsid w:val="17E305B5"/>
    <w:rsid w:val="1817B123"/>
    <w:rsid w:val="183B16B2"/>
    <w:rsid w:val="184F507E"/>
    <w:rsid w:val="1858EC25"/>
    <w:rsid w:val="187E379F"/>
    <w:rsid w:val="188598E5"/>
    <w:rsid w:val="189267FB"/>
    <w:rsid w:val="18A07825"/>
    <w:rsid w:val="18FC3E46"/>
    <w:rsid w:val="1920A49A"/>
    <w:rsid w:val="192B461C"/>
    <w:rsid w:val="194E3548"/>
    <w:rsid w:val="1994781E"/>
    <w:rsid w:val="19C4A0DA"/>
    <w:rsid w:val="1A3B67BA"/>
    <w:rsid w:val="1A7786A7"/>
    <w:rsid w:val="1AB3A8D8"/>
    <w:rsid w:val="1ACDD46D"/>
    <w:rsid w:val="1B026E6B"/>
    <w:rsid w:val="1B16BBC5"/>
    <w:rsid w:val="1B452E9D"/>
    <w:rsid w:val="1BBF6B37"/>
    <w:rsid w:val="1BFF4CD9"/>
    <w:rsid w:val="1C3F2B4A"/>
    <w:rsid w:val="1C51E5D4"/>
    <w:rsid w:val="1C59EB12"/>
    <w:rsid w:val="1C6676B7"/>
    <w:rsid w:val="1C78B15D"/>
    <w:rsid w:val="1CA7C127"/>
    <w:rsid w:val="1CC815A9"/>
    <w:rsid w:val="1CD4A0EF"/>
    <w:rsid w:val="1CFFF288"/>
    <w:rsid w:val="1D0D141B"/>
    <w:rsid w:val="1D0DE226"/>
    <w:rsid w:val="1D2B314B"/>
    <w:rsid w:val="1D5098DE"/>
    <w:rsid w:val="1D58E47B"/>
    <w:rsid w:val="1D7760F5"/>
    <w:rsid w:val="1DAFA6EC"/>
    <w:rsid w:val="1DBB6A12"/>
    <w:rsid w:val="1DD12D77"/>
    <w:rsid w:val="1DE32D0F"/>
    <w:rsid w:val="1E8A99A9"/>
    <w:rsid w:val="1EA32615"/>
    <w:rsid w:val="1ED96058"/>
    <w:rsid w:val="1EF1E0F1"/>
    <w:rsid w:val="1F28B2B4"/>
    <w:rsid w:val="1F7E6F17"/>
    <w:rsid w:val="1FA24720"/>
    <w:rsid w:val="205E5665"/>
    <w:rsid w:val="208DE5FE"/>
    <w:rsid w:val="20CDC61F"/>
    <w:rsid w:val="20F150ED"/>
    <w:rsid w:val="212A992E"/>
    <w:rsid w:val="21321DB7"/>
    <w:rsid w:val="216FBBB1"/>
    <w:rsid w:val="21C511A1"/>
    <w:rsid w:val="21D692AC"/>
    <w:rsid w:val="222377B3"/>
    <w:rsid w:val="22DA1902"/>
    <w:rsid w:val="2369AEE8"/>
    <w:rsid w:val="239F3A3C"/>
    <w:rsid w:val="23A410D9"/>
    <w:rsid w:val="23E7EB08"/>
    <w:rsid w:val="23F73641"/>
    <w:rsid w:val="2401DEC6"/>
    <w:rsid w:val="241143FE"/>
    <w:rsid w:val="24117A3A"/>
    <w:rsid w:val="242F6A50"/>
    <w:rsid w:val="243868B8"/>
    <w:rsid w:val="2447BBBF"/>
    <w:rsid w:val="244E26BD"/>
    <w:rsid w:val="24692421"/>
    <w:rsid w:val="246CF38D"/>
    <w:rsid w:val="247345D2"/>
    <w:rsid w:val="2493292E"/>
    <w:rsid w:val="24A11071"/>
    <w:rsid w:val="24B37F9B"/>
    <w:rsid w:val="24CAA1B0"/>
    <w:rsid w:val="24DC0E76"/>
    <w:rsid w:val="24F55597"/>
    <w:rsid w:val="24FB23FA"/>
    <w:rsid w:val="250A3664"/>
    <w:rsid w:val="25459B1D"/>
    <w:rsid w:val="25535837"/>
    <w:rsid w:val="25934C59"/>
    <w:rsid w:val="25965EA4"/>
    <w:rsid w:val="25DCA92F"/>
    <w:rsid w:val="25E7D35B"/>
    <w:rsid w:val="25FBA2B8"/>
    <w:rsid w:val="26779E65"/>
    <w:rsid w:val="267A7265"/>
    <w:rsid w:val="272421E3"/>
    <w:rsid w:val="272E8263"/>
    <w:rsid w:val="2738E405"/>
    <w:rsid w:val="27451A68"/>
    <w:rsid w:val="27F36A53"/>
    <w:rsid w:val="27F5A87C"/>
    <w:rsid w:val="28024272"/>
    <w:rsid w:val="281FF385"/>
    <w:rsid w:val="286DF946"/>
    <w:rsid w:val="28868AC5"/>
    <w:rsid w:val="28B56236"/>
    <w:rsid w:val="28F2438F"/>
    <w:rsid w:val="2910F481"/>
    <w:rsid w:val="292C4C1E"/>
    <w:rsid w:val="2994F6AD"/>
    <w:rsid w:val="29AECE78"/>
    <w:rsid w:val="29D7D209"/>
    <w:rsid w:val="2A165AEB"/>
    <w:rsid w:val="2A40BB64"/>
    <w:rsid w:val="2A46E5B4"/>
    <w:rsid w:val="2A494355"/>
    <w:rsid w:val="2A513297"/>
    <w:rsid w:val="2AD392E7"/>
    <w:rsid w:val="2B3303AD"/>
    <w:rsid w:val="2BC0F711"/>
    <w:rsid w:val="2BD7344B"/>
    <w:rsid w:val="2C0830B3"/>
    <w:rsid w:val="2C170966"/>
    <w:rsid w:val="2C48D335"/>
    <w:rsid w:val="2CB1EE7A"/>
    <w:rsid w:val="2CB68549"/>
    <w:rsid w:val="2CB919C7"/>
    <w:rsid w:val="2D088C04"/>
    <w:rsid w:val="2D239063"/>
    <w:rsid w:val="2D7B435B"/>
    <w:rsid w:val="2D97093B"/>
    <w:rsid w:val="2DE4A396"/>
    <w:rsid w:val="2DF47CCE"/>
    <w:rsid w:val="2E0C3A60"/>
    <w:rsid w:val="2E488527"/>
    <w:rsid w:val="2E75FECD"/>
    <w:rsid w:val="2E8A887F"/>
    <w:rsid w:val="2EDD9235"/>
    <w:rsid w:val="2EE1A1A7"/>
    <w:rsid w:val="2F48D7DA"/>
    <w:rsid w:val="2F561BB7"/>
    <w:rsid w:val="2F6EBFFE"/>
    <w:rsid w:val="2F76473E"/>
    <w:rsid w:val="2F77D233"/>
    <w:rsid w:val="2F855BEC"/>
    <w:rsid w:val="2FBD27CA"/>
    <w:rsid w:val="2FC94DA0"/>
    <w:rsid w:val="2FCFCDCB"/>
    <w:rsid w:val="3025B5E2"/>
    <w:rsid w:val="308E3277"/>
    <w:rsid w:val="30986FF5"/>
    <w:rsid w:val="30A8301A"/>
    <w:rsid w:val="30AF1BA6"/>
    <w:rsid w:val="30B2C777"/>
    <w:rsid w:val="30EC3D33"/>
    <w:rsid w:val="30F054D1"/>
    <w:rsid w:val="310A8800"/>
    <w:rsid w:val="315E2202"/>
    <w:rsid w:val="3160242B"/>
    <w:rsid w:val="3163B8D2"/>
    <w:rsid w:val="31659449"/>
    <w:rsid w:val="31EE0178"/>
    <w:rsid w:val="3222540D"/>
    <w:rsid w:val="322A96C0"/>
    <w:rsid w:val="324BE82C"/>
    <w:rsid w:val="32510AD8"/>
    <w:rsid w:val="3287D399"/>
    <w:rsid w:val="32A6503F"/>
    <w:rsid w:val="32AEE3A4"/>
    <w:rsid w:val="33182BE4"/>
    <w:rsid w:val="3320F61F"/>
    <w:rsid w:val="33259E91"/>
    <w:rsid w:val="3339A122"/>
    <w:rsid w:val="33E06D16"/>
    <w:rsid w:val="33FD0C35"/>
    <w:rsid w:val="340821D3"/>
    <w:rsid w:val="340A8392"/>
    <w:rsid w:val="34454121"/>
    <w:rsid w:val="349696B2"/>
    <w:rsid w:val="349F6701"/>
    <w:rsid w:val="34B1B040"/>
    <w:rsid w:val="34BE6316"/>
    <w:rsid w:val="34D09E29"/>
    <w:rsid w:val="34E19FBD"/>
    <w:rsid w:val="351E0306"/>
    <w:rsid w:val="3521806C"/>
    <w:rsid w:val="35514C2F"/>
    <w:rsid w:val="358856B3"/>
    <w:rsid w:val="358DA52A"/>
    <w:rsid w:val="358F44AB"/>
    <w:rsid w:val="35BC923A"/>
    <w:rsid w:val="35CA2C45"/>
    <w:rsid w:val="362C7283"/>
    <w:rsid w:val="364E1135"/>
    <w:rsid w:val="3661966B"/>
    <w:rsid w:val="367A22CB"/>
    <w:rsid w:val="3690B0AB"/>
    <w:rsid w:val="36B9D367"/>
    <w:rsid w:val="36ED1C90"/>
    <w:rsid w:val="36FD4157"/>
    <w:rsid w:val="371D7E48"/>
    <w:rsid w:val="3753B6AA"/>
    <w:rsid w:val="375847A1"/>
    <w:rsid w:val="375FB64F"/>
    <w:rsid w:val="37714718"/>
    <w:rsid w:val="379C4385"/>
    <w:rsid w:val="37D352C3"/>
    <w:rsid w:val="37D3EC56"/>
    <w:rsid w:val="380842DB"/>
    <w:rsid w:val="380CB394"/>
    <w:rsid w:val="3811AB29"/>
    <w:rsid w:val="384DD142"/>
    <w:rsid w:val="385EEE38"/>
    <w:rsid w:val="387052E6"/>
    <w:rsid w:val="38C05EA7"/>
    <w:rsid w:val="38C91C0F"/>
    <w:rsid w:val="38DC5532"/>
    <w:rsid w:val="38EC9064"/>
    <w:rsid w:val="3928C20D"/>
    <w:rsid w:val="3959D037"/>
    <w:rsid w:val="398E1600"/>
    <w:rsid w:val="39982AA2"/>
    <w:rsid w:val="39BF519B"/>
    <w:rsid w:val="39C1DD97"/>
    <w:rsid w:val="39CB78D1"/>
    <w:rsid w:val="39E50726"/>
    <w:rsid w:val="3A10360F"/>
    <w:rsid w:val="3A24BD52"/>
    <w:rsid w:val="3A59051D"/>
    <w:rsid w:val="3A62E617"/>
    <w:rsid w:val="3A7929BF"/>
    <w:rsid w:val="3A86C4AC"/>
    <w:rsid w:val="3A8FDE54"/>
    <w:rsid w:val="3B278B8F"/>
    <w:rsid w:val="3B5571EE"/>
    <w:rsid w:val="3B6BAD89"/>
    <w:rsid w:val="3B729429"/>
    <w:rsid w:val="3B8D68D3"/>
    <w:rsid w:val="3B9E71AC"/>
    <w:rsid w:val="3B9EB7EF"/>
    <w:rsid w:val="3C12075C"/>
    <w:rsid w:val="3C25F9E7"/>
    <w:rsid w:val="3C580A7C"/>
    <w:rsid w:val="3C58E95D"/>
    <w:rsid w:val="3C82F576"/>
    <w:rsid w:val="3D24C1F4"/>
    <w:rsid w:val="3D379925"/>
    <w:rsid w:val="3D7B4D99"/>
    <w:rsid w:val="3D88FBD5"/>
    <w:rsid w:val="3D8CF211"/>
    <w:rsid w:val="3D8E308D"/>
    <w:rsid w:val="3DD7724A"/>
    <w:rsid w:val="3DEF6F4B"/>
    <w:rsid w:val="3E1B60D7"/>
    <w:rsid w:val="3E40A119"/>
    <w:rsid w:val="3E529DB7"/>
    <w:rsid w:val="3EBA8E16"/>
    <w:rsid w:val="3ED46A50"/>
    <w:rsid w:val="3EF9229B"/>
    <w:rsid w:val="3F157683"/>
    <w:rsid w:val="3F1D584C"/>
    <w:rsid w:val="3F2E229E"/>
    <w:rsid w:val="3F3EFECB"/>
    <w:rsid w:val="3F55BE2A"/>
    <w:rsid w:val="3F703E3F"/>
    <w:rsid w:val="3F7A9FBF"/>
    <w:rsid w:val="40427574"/>
    <w:rsid w:val="406443BB"/>
    <w:rsid w:val="408F4852"/>
    <w:rsid w:val="409C8E1C"/>
    <w:rsid w:val="40A1C69F"/>
    <w:rsid w:val="40ABC532"/>
    <w:rsid w:val="40E45E3A"/>
    <w:rsid w:val="40F375F9"/>
    <w:rsid w:val="40FC0AE2"/>
    <w:rsid w:val="4106D9E6"/>
    <w:rsid w:val="4120A31C"/>
    <w:rsid w:val="41800C0E"/>
    <w:rsid w:val="41AB2CFE"/>
    <w:rsid w:val="41B25EF7"/>
    <w:rsid w:val="41BBB49D"/>
    <w:rsid w:val="41D8D7F8"/>
    <w:rsid w:val="41D9F443"/>
    <w:rsid w:val="424136B2"/>
    <w:rsid w:val="424F5CE0"/>
    <w:rsid w:val="42818E9A"/>
    <w:rsid w:val="428F465A"/>
    <w:rsid w:val="429F13EE"/>
    <w:rsid w:val="42B35C28"/>
    <w:rsid w:val="42BB3F1A"/>
    <w:rsid w:val="42BBC413"/>
    <w:rsid w:val="42E70F79"/>
    <w:rsid w:val="42EF9673"/>
    <w:rsid w:val="43212F25"/>
    <w:rsid w:val="43374EE2"/>
    <w:rsid w:val="435346A0"/>
    <w:rsid w:val="435DDEF5"/>
    <w:rsid w:val="4389D8B0"/>
    <w:rsid w:val="4426E191"/>
    <w:rsid w:val="446434FB"/>
    <w:rsid w:val="44654994"/>
    <w:rsid w:val="44686A2C"/>
    <w:rsid w:val="44A1725D"/>
    <w:rsid w:val="44B4D94F"/>
    <w:rsid w:val="44D1E668"/>
    <w:rsid w:val="450691D6"/>
    <w:rsid w:val="451EFBC5"/>
    <w:rsid w:val="452AD555"/>
    <w:rsid w:val="45584460"/>
    <w:rsid w:val="45B82061"/>
    <w:rsid w:val="45EF94FB"/>
    <w:rsid w:val="4669F25B"/>
    <w:rsid w:val="46A825DF"/>
    <w:rsid w:val="473D24F3"/>
    <w:rsid w:val="4769E723"/>
    <w:rsid w:val="477D344D"/>
    <w:rsid w:val="47822F81"/>
    <w:rsid w:val="48161560"/>
    <w:rsid w:val="481F3654"/>
    <w:rsid w:val="4820A992"/>
    <w:rsid w:val="48286E14"/>
    <w:rsid w:val="4857F6AD"/>
    <w:rsid w:val="48598F4A"/>
    <w:rsid w:val="486B3B79"/>
    <w:rsid w:val="48A9273F"/>
    <w:rsid w:val="48AEA547"/>
    <w:rsid w:val="48E4C323"/>
    <w:rsid w:val="48E55F81"/>
    <w:rsid w:val="48EC0B51"/>
    <w:rsid w:val="491D0B7B"/>
    <w:rsid w:val="4970DF61"/>
    <w:rsid w:val="49795DF7"/>
    <w:rsid w:val="49A6E356"/>
    <w:rsid w:val="49C0DCCD"/>
    <w:rsid w:val="4A40C735"/>
    <w:rsid w:val="4A433793"/>
    <w:rsid w:val="4A4E8951"/>
    <w:rsid w:val="4A5FC430"/>
    <w:rsid w:val="4A7E2544"/>
    <w:rsid w:val="4AD75C2E"/>
    <w:rsid w:val="4B231598"/>
    <w:rsid w:val="4B33BA46"/>
    <w:rsid w:val="4B39F88E"/>
    <w:rsid w:val="4BE82EAB"/>
    <w:rsid w:val="4BEA59B2"/>
    <w:rsid w:val="4BFCFAB5"/>
    <w:rsid w:val="4C2BF3AB"/>
    <w:rsid w:val="4C6AAE19"/>
    <w:rsid w:val="4CB09F80"/>
    <w:rsid w:val="4D0756B3"/>
    <w:rsid w:val="4D355A3E"/>
    <w:rsid w:val="4D672B2C"/>
    <w:rsid w:val="4D75A37A"/>
    <w:rsid w:val="4D8665D4"/>
    <w:rsid w:val="4DA3F295"/>
    <w:rsid w:val="4DBF8CCD"/>
    <w:rsid w:val="4DD3311E"/>
    <w:rsid w:val="4DD85E7E"/>
    <w:rsid w:val="4DEDBB24"/>
    <w:rsid w:val="4E1B55C2"/>
    <w:rsid w:val="4E767A54"/>
    <w:rsid w:val="4EB78A9D"/>
    <w:rsid w:val="4F2C53E2"/>
    <w:rsid w:val="4F4DB11A"/>
    <w:rsid w:val="4F8199FD"/>
    <w:rsid w:val="4F9C7F71"/>
    <w:rsid w:val="4FBDB636"/>
    <w:rsid w:val="4FDC85A3"/>
    <w:rsid w:val="4FE5F395"/>
    <w:rsid w:val="503F1A58"/>
    <w:rsid w:val="504B71C5"/>
    <w:rsid w:val="5062C946"/>
    <w:rsid w:val="5064EF52"/>
    <w:rsid w:val="508C01D1"/>
    <w:rsid w:val="50F1E3F7"/>
    <w:rsid w:val="51089E42"/>
    <w:rsid w:val="5162393B"/>
    <w:rsid w:val="51902491"/>
    <w:rsid w:val="51D5547D"/>
    <w:rsid w:val="51EE95FB"/>
    <w:rsid w:val="51EFCFE1"/>
    <w:rsid w:val="51F8CCCD"/>
    <w:rsid w:val="5220F0B4"/>
    <w:rsid w:val="52C35174"/>
    <w:rsid w:val="53142665"/>
    <w:rsid w:val="53542FBE"/>
    <w:rsid w:val="5356B5CE"/>
    <w:rsid w:val="537006B0"/>
    <w:rsid w:val="53A5125E"/>
    <w:rsid w:val="53AC4F2A"/>
    <w:rsid w:val="53C9EF00"/>
    <w:rsid w:val="53D26761"/>
    <w:rsid w:val="54A23294"/>
    <w:rsid w:val="54B4765B"/>
    <w:rsid w:val="55043FBB"/>
    <w:rsid w:val="553FFAC3"/>
    <w:rsid w:val="55B44926"/>
    <w:rsid w:val="55CF0FB2"/>
    <w:rsid w:val="55D4BC72"/>
    <w:rsid w:val="5652F47D"/>
    <w:rsid w:val="566D89ED"/>
    <w:rsid w:val="56E2E04A"/>
    <w:rsid w:val="56EED4F6"/>
    <w:rsid w:val="56FEB078"/>
    <w:rsid w:val="57041AC3"/>
    <w:rsid w:val="571880B8"/>
    <w:rsid w:val="571B7266"/>
    <w:rsid w:val="571CB5B5"/>
    <w:rsid w:val="572F5C8A"/>
    <w:rsid w:val="57482015"/>
    <w:rsid w:val="574BCD51"/>
    <w:rsid w:val="577FE420"/>
    <w:rsid w:val="57BB8321"/>
    <w:rsid w:val="5852E1AF"/>
    <w:rsid w:val="588BAD68"/>
    <w:rsid w:val="588C69D6"/>
    <w:rsid w:val="589536CD"/>
    <w:rsid w:val="58ABA62F"/>
    <w:rsid w:val="5914E137"/>
    <w:rsid w:val="59F962BD"/>
    <w:rsid w:val="5A095D3E"/>
    <w:rsid w:val="5A14A042"/>
    <w:rsid w:val="5A21C512"/>
    <w:rsid w:val="5A5FC271"/>
    <w:rsid w:val="5AF05A07"/>
    <w:rsid w:val="5B2FD990"/>
    <w:rsid w:val="5B349BD0"/>
    <w:rsid w:val="5B7C4FE4"/>
    <w:rsid w:val="5BD2D1D0"/>
    <w:rsid w:val="5BD518F6"/>
    <w:rsid w:val="5C909DED"/>
    <w:rsid w:val="5C9480C3"/>
    <w:rsid w:val="5CADC081"/>
    <w:rsid w:val="5CAE4780"/>
    <w:rsid w:val="5D0C4CEB"/>
    <w:rsid w:val="5D8BF116"/>
    <w:rsid w:val="5DEA1FCA"/>
    <w:rsid w:val="5E0552A1"/>
    <w:rsid w:val="5E4990E2"/>
    <w:rsid w:val="5E6C3DCC"/>
    <w:rsid w:val="5E72E77E"/>
    <w:rsid w:val="5EBDF005"/>
    <w:rsid w:val="5EC5BBE3"/>
    <w:rsid w:val="5F449C1F"/>
    <w:rsid w:val="5F702BA2"/>
    <w:rsid w:val="5F784A18"/>
    <w:rsid w:val="5F955BF9"/>
    <w:rsid w:val="5FA4D995"/>
    <w:rsid w:val="5FB47C91"/>
    <w:rsid w:val="5FF9DCA7"/>
    <w:rsid w:val="60712D5D"/>
    <w:rsid w:val="6073E100"/>
    <w:rsid w:val="611B528D"/>
    <w:rsid w:val="61CDFD1E"/>
    <w:rsid w:val="61F595A8"/>
    <w:rsid w:val="6209C7EC"/>
    <w:rsid w:val="62115AFE"/>
    <w:rsid w:val="6234894C"/>
    <w:rsid w:val="6237C599"/>
    <w:rsid w:val="6263F5D0"/>
    <w:rsid w:val="626FEFA0"/>
    <w:rsid w:val="6284ECA3"/>
    <w:rsid w:val="629D36F2"/>
    <w:rsid w:val="62DC56A4"/>
    <w:rsid w:val="62E45E0C"/>
    <w:rsid w:val="62F0433C"/>
    <w:rsid w:val="6307A5A6"/>
    <w:rsid w:val="6317F20D"/>
    <w:rsid w:val="63391722"/>
    <w:rsid w:val="6348D097"/>
    <w:rsid w:val="6349FE7B"/>
    <w:rsid w:val="63B38775"/>
    <w:rsid w:val="63C2C96F"/>
    <w:rsid w:val="63C81BEF"/>
    <w:rsid w:val="6451D7E3"/>
    <w:rsid w:val="64632D80"/>
    <w:rsid w:val="64702438"/>
    <w:rsid w:val="6487788C"/>
    <w:rsid w:val="64C6291F"/>
    <w:rsid w:val="64C75FD5"/>
    <w:rsid w:val="64E13093"/>
    <w:rsid w:val="64E7D2DA"/>
    <w:rsid w:val="65032C55"/>
    <w:rsid w:val="6521A92B"/>
    <w:rsid w:val="652BF4BE"/>
    <w:rsid w:val="654ABD91"/>
    <w:rsid w:val="6559833A"/>
    <w:rsid w:val="65712417"/>
    <w:rsid w:val="658B57B6"/>
    <w:rsid w:val="659C0EA8"/>
    <w:rsid w:val="65AF1020"/>
    <w:rsid w:val="65B56A28"/>
    <w:rsid w:val="65FE2BF8"/>
    <w:rsid w:val="6600B093"/>
    <w:rsid w:val="6682258C"/>
    <w:rsid w:val="66B5D215"/>
    <w:rsid w:val="66DCD994"/>
    <w:rsid w:val="66F81B78"/>
    <w:rsid w:val="66FDA1C4"/>
    <w:rsid w:val="670C3A22"/>
    <w:rsid w:val="67567610"/>
    <w:rsid w:val="679B1581"/>
    <w:rsid w:val="67A1FD58"/>
    <w:rsid w:val="67ACDDD3"/>
    <w:rsid w:val="67F1D2F7"/>
    <w:rsid w:val="67FFA8F8"/>
    <w:rsid w:val="6820662D"/>
    <w:rsid w:val="682F22EC"/>
    <w:rsid w:val="6833720B"/>
    <w:rsid w:val="689AF4A3"/>
    <w:rsid w:val="68CA7646"/>
    <w:rsid w:val="68D15453"/>
    <w:rsid w:val="6970C28E"/>
    <w:rsid w:val="69AD54D7"/>
    <w:rsid w:val="69CC8284"/>
    <w:rsid w:val="69FBDF24"/>
    <w:rsid w:val="6A4CEF45"/>
    <w:rsid w:val="6A53CDAE"/>
    <w:rsid w:val="6A584255"/>
    <w:rsid w:val="6AC55782"/>
    <w:rsid w:val="6AC9B6C4"/>
    <w:rsid w:val="6AD59632"/>
    <w:rsid w:val="6AEB373F"/>
    <w:rsid w:val="6B930F9C"/>
    <w:rsid w:val="6B96A0E0"/>
    <w:rsid w:val="6BA6D849"/>
    <w:rsid w:val="6BC9C405"/>
    <w:rsid w:val="6C0ED634"/>
    <w:rsid w:val="6C737594"/>
    <w:rsid w:val="6CADE50D"/>
    <w:rsid w:val="6CCCB7B6"/>
    <w:rsid w:val="6D2FDCEE"/>
    <w:rsid w:val="6D4B6949"/>
    <w:rsid w:val="6D5AC56D"/>
    <w:rsid w:val="6D798B93"/>
    <w:rsid w:val="6D939C51"/>
    <w:rsid w:val="6DA0446A"/>
    <w:rsid w:val="6DA3EA30"/>
    <w:rsid w:val="6DA71CDE"/>
    <w:rsid w:val="6DAFB39D"/>
    <w:rsid w:val="6DAFE956"/>
    <w:rsid w:val="6DBEECD3"/>
    <w:rsid w:val="6DDBBD0C"/>
    <w:rsid w:val="6DFEF082"/>
    <w:rsid w:val="6E278F5A"/>
    <w:rsid w:val="6E57EDF7"/>
    <w:rsid w:val="6E5DF57E"/>
    <w:rsid w:val="6E90A79D"/>
    <w:rsid w:val="6EC89ADE"/>
    <w:rsid w:val="6EDD3EDF"/>
    <w:rsid w:val="6EF3B163"/>
    <w:rsid w:val="6F274F67"/>
    <w:rsid w:val="6F2FB3FB"/>
    <w:rsid w:val="6F3A8F4F"/>
    <w:rsid w:val="6FC07E10"/>
    <w:rsid w:val="6FD6A53F"/>
    <w:rsid w:val="6FE8D49A"/>
    <w:rsid w:val="701FBC16"/>
    <w:rsid w:val="702A58FF"/>
    <w:rsid w:val="7074AC01"/>
    <w:rsid w:val="709D939E"/>
    <w:rsid w:val="70A8572B"/>
    <w:rsid w:val="70D4F4A6"/>
    <w:rsid w:val="70E7299A"/>
    <w:rsid w:val="7100BF45"/>
    <w:rsid w:val="71A809BD"/>
    <w:rsid w:val="71BABF9E"/>
    <w:rsid w:val="71BF1A32"/>
    <w:rsid w:val="71C89E7E"/>
    <w:rsid w:val="71DE05FC"/>
    <w:rsid w:val="721784C6"/>
    <w:rsid w:val="722D1485"/>
    <w:rsid w:val="7237E1B9"/>
    <w:rsid w:val="7242531E"/>
    <w:rsid w:val="72639AA5"/>
    <w:rsid w:val="72CC4348"/>
    <w:rsid w:val="73195E33"/>
    <w:rsid w:val="735C0FA6"/>
    <w:rsid w:val="737EC67E"/>
    <w:rsid w:val="73819C33"/>
    <w:rsid w:val="74147EFB"/>
    <w:rsid w:val="742F1FAC"/>
    <w:rsid w:val="743C7EC1"/>
    <w:rsid w:val="746ED186"/>
    <w:rsid w:val="74B2B8D3"/>
    <w:rsid w:val="74BBE2BC"/>
    <w:rsid w:val="74DF3A73"/>
    <w:rsid w:val="74FA5F6E"/>
    <w:rsid w:val="7536457A"/>
    <w:rsid w:val="753C4C8A"/>
    <w:rsid w:val="75A55FEA"/>
    <w:rsid w:val="75AC5961"/>
    <w:rsid w:val="75CAF00D"/>
    <w:rsid w:val="761B5D8C"/>
    <w:rsid w:val="762C7A5D"/>
    <w:rsid w:val="7644F5D8"/>
    <w:rsid w:val="765FA3C7"/>
    <w:rsid w:val="767EB95F"/>
    <w:rsid w:val="76CF2F67"/>
    <w:rsid w:val="7726DCF8"/>
    <w:rsid w:val="7736F2C2"/>
    <w:rsid w:val="775D09F3"/>
    <w:rsid w:val="775D339F"/>
    <w:rsid w:val="775E1090"/>
    <w:rsid w:val="7798F51C"/>
    <w:rsid w:val="77EC901F"/>
    <w:rsid w:val="78824381"/>
    <w:rsid w:val="78B8D178"/>
    <w:rsid w:val="78C881FD"/>
    <w:rsid w:val="78D19E92"/>
    <w:rsid w:val="78D547B8"/>
    <w:rsid w:val="78E822B7"/>
    <w:rsid w:val="79029CA8"/>
    <w:rsid w:val="793909A9"/>
    <w:rsid w:val="793FCD4F"/>
    <w:rsid w:val="795F97F6"/>
    <w:rsid w:val="7970C03B"/>
    <w:rsid w:val="79803D0B"/>
    <w:rsid w:val="7994AAD9"/>
    <w:rsid w:val="799A8EEC"/>
    <w:rsid w:val="79D6236B"/>
    <w:rsid w:val="79D941B7"/>
    <w:rsid w:val="7A037BF2"/>
    <w:rsid w:val="7A32A6C1"/>
    <w:rsid w:val="7AA73BEB"/>
    <w:rsid w:val="7AD57F16"/>
    <w:rsid w:val="7ADB7672"/>
    <w:rsid w:val="7AED0103"/>
    <w:rsid w:val="7AEDE803"/>
    <w:rsid w:val="7B4A85AD"/>
    <w:rsid w:val="7B573550"/>
    <w:rsid w:val="7BACAB36"/>
    <w:rsid w:val="7BE7E8F1"/>
    <w:rsid w:val="7C3DF07D"/>
    <w:rsid w:val="7C461C14"/>
    <w:rsid w:val="7C6CE436"/>
    <w:rsid w:val="7C7C1B9A"/>
    <w:rsid w:val="7C8CF5BD"/>
    <w:rsid w:val="7CC175FA"/>
    <w:rsid w:val="7CD608D3"/>
    <w:rsid w:val="7CEC7C74"/>
    <w:rsid w:val="7D742191"/>
    <w:rsid w:val="7D758411"/>
    <w:rsid w:val="7D761293"/>
    <w:rsid w:val="7DA5861A"/>
    <w:rsid w:val="7DC458D1"/>
    <w:rsid w:val="7DCA42A9"/>
    <w:rsid w:val="7DF122D3"/>
    <w:rsid w:val="7E4F37F4"/>
    <w:rsid w:val="7E54C156"/>
    <w:rsid w:val="7E5E0B4D"/>
    <w:rsid w:val="7EFE87FA"/>
    <w:rsid w:val="7F26BC6F"/>
    <w:rsid w:val="7F3CC29D"/>
    <w:rsid w:val="7F672333"/>
    <w:rsid w:val="7FE0D8D4"/>
    <w:rsid w:val="7FE88EC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578E1"/>
  <w15:chartTrackingRefBased/>
  <w15:docId w15:val="{0E9EBE41-421F-48F2-903B-E1C6BF8D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728"/>
    <w:pPr>
      <w:spacing w:after="200" w:line="360" w:lineRule="auto"/>
    </w:pPr>
    <w:rPr>
      <w:sz w:val="24"/>
    </w:rPr>
  </w:style>
  <w:style w:type="paragraph" w:styleId="Heading1">
    <w:name w:val="heading 1"/>
    <w:basedOn w:val="Normal"/>
    <w:next w:val="Normal"/>
    <w:link w:val="Heading1Char"/>
    <w:uiPriority w:val="99"/>
    <w:qFormat/>
    <w:rsid w:val="00240A4C"/>
    <w:pPr>
      <w:keepNext/>
      <w:keepLines/>
      <w:spacing w:after="1000" w:line="264" w:lineRule="auto"/>
      <w:outlineLvl w:val="0"/>
    </w:pPr>
    <w:rPr>
      <w:rFonts w:asciiTheme="majorHAnsi" w:eastAsiaTheme="majorEastAsia" w:hAnsiTheme="majorHAnsi" w:cstheme="majorBidi"/>
      <w:b/>
      <w:color w:val="142855" w:themeColor="text2"/>
      <w:sz w:val="44"/>
      <w:szCs w:val="32"/>
    </w:rPr>
  </w:style>
  <w:style w:type="paragraph" w:styleId="Heading2">
    <w:name w:val="heading 2"/>
    <w:basedOn w:val="Normal"/>
    <w:next w:val="Normal"/>
    <w:link w:val="Heading2Char"/>
    <w:uiPriority w:val="9"/>
    <w:unhideWhenUsed/>
    <w:qFormat/>
    <w:rsid w:val="006E4288"/>
    <w:pPr>
      <w:keepNext/>
      <w:keepLines/>
      <w:pBdr>
        <w:top w:val="single" w:sz="4" w:space="6" w:color="0054BA" w:themeColor="accent2"/>
      </w:pBdr>
      <w:spacing w:before="440"/>
      <w:outlineLvl w:val="1"/>
    </w:pPr>
    <w:rPr>
      <w:rFonts w:asciiTheme="majorHAnsi" w:eastAsiaTheme="majorEastAsia" w:hAnsiTheme="majorHAnsi" w:cstheme="majorBidi"/>
      <w:b/>
      <w:color w:val="142855" w:themeColor="text2"/>
      <w:sz w:val="28"/>
      <w:szCs w:val="26"/>
    </w:rPr>
  </w:style>
  <w:style w:type="paragraph" w:styleId="Heading3">
    <w:name w:val="heading 3"/>
    <w:basedOn w:val="Normal"/>
    <w:next w:val="Normal"/>
    <w:link w:val="Heading3Char"/>
    <w:uiPriority w:val="9"/>
    <w:unhideWhenUsed/>
    <w:qFormat/>
    <w:rsid w:val="0007649C"/>
    <w:pPr>
      <w:keepNext/>
      <w:keepLines/>
      <w:spacing w:before="440"/>
      <w:outlineLvl w:val="2"/>
    </w:pPr>
    <w:rPr>
      <w:rFonts w:asciiTheme="majorHAnsi" w:eastAsiaTheme="majorEastAsia" w:hAnsiTheme="majorHAnsi" w:cstheme="majorBidi"/>
      <w:b/>
      <w:color w:val="142855" w:themeColor="text2"/>
      <w:sz w:val="26"/>
      <w:szCs w:val="24"/>
    </w:rPr>
  </w:style>
  <w:style w:type="paragraph" w:styleId="Heading4">
    <w:name w:val="heading 4"/>
    <w:basedOn w:val="Normal"/>
    <w:next w:val="Normal"/>
    <w:link w:val="Heading4Char"/>
    <w:uiPriority w:val="9"/>
    <w:unhideWhenUsed/>
    <w:qFormat/>
    <w:rsid w:val="00E010AA"/>
    <w:pPr>
      <w:keepNext/>
      <w:keepLines/>
      <w:spacing w:before="440"/>
      <w:outlineLvl w:val="3"/>
    </w:pPr>
    <w:rPr>
      <w:rFonts w:asciiTheme="majorHAnsi" w:eastAsiaTheme="majorEastAsia" w:hAnsiTheme="majorHAnsi" w:cstheme="majorBidi"/>
      <w:iCs/>
      <w:color w:val="142855" w:themeColor="text2"/>
      <w:sz w:val="26"/>
    </w:rPr>
  </w:style>
  <w:style w:type="paragraph" w:styleId="Heading5">
    <w:name w:val="heading 5"/>
    <w:basedOn w:val="Normal"/>
    <w:next w:val="Normal"/>
    <w:link w:val="Heading5Char"/>
    <w:uiPriority w:val="9"/>
    <w:unhideWhenUsed/>
    <w:qFormat/>
    <w:rsid w:val="008C47D2"/>
    <w:pPr>
      <w:keepNext/>
      <w:keepLines/>
      <w:spacing w:before="320" w:after="120"/>
      <w:outlineLvl w:val="4"/>
    </w:pPr>
    <w:rPr>
      <w:rFonts w:asciiTheme="majorHAnsi" w:eastAsiaTheme="majorEastAsia" w:hAnsiTheme="majorHAnsi" w:cstheme="majorBidi"/>
      <w:b/>
      <w:color w:val="1D1D1B" w:themeColor="text1"/>
    </w:rPr>
  </w:style>
  <w:style w:type="paragraph" w:styleId="Heading6">
    <w:name w:val="heading 6"/>
    <w:basedOn w:val="Normal"/>
    <w:next w:val="Normal"/>
    <w:link w:val="Heading6Char"/>
    <w:uiPriority w:val="99"/>
    <w:semiHidden/>
    <w:qFormat/>
    <w:rsid w:val="00D17EFB"/>
    <w:pPr>
      <w:keepNext/>
      <w:keepLines/>
      <w:spacing w:before="200" w:after="0" w:line="240" w:lineRule="auto"/>
      <w:outlineLvl w:val="5"/>
    </w:pPr>
    <w:rPr>
      <w:rFonts w:asciiTheme="majorHAnsi" w:eastAsiaTheme="majorEastAsia" w:hAnsiTheme="majorHAnsi" w:cstheme="majorBidi"/>
      <w:i/>
      <w:iCs/>
      <w:color w:val="97000E" w:themeColor="accent1" w:themeShade="7F"/>
      <w:sz w:val="22"/>
    </w:rPr>
  </w:style>
  <w:style w:type="paragraph" w:styleId="Heading7">
    <w:name w:val="heading 7"/>
    <w:basedOn w:val="Normal"/>
    <w:next w:val="Normal"/>
    <w:link w:val="Heading7Char"/>
    <w:uiPriority w:val="99"/>
    <w:semiHidden/>
    <w:unhideWhenUsed/>
    <w:qFormat/>
    <w:rsid w:val="00D17EFB"/>
    <w:pPr>
      <w:keepNext/>
      <w:keepLines/>
      <w:spacing w:before="200" w:after="0" w:line="240" w:lineRule="auto"/>
      <w:outlineLvl w:val="6"/>
    </w:pPr>
    <w:rPr>
      <w:rFonts w:asciiTheme="majorHAnsi" w:eastAsiaTheme="majorEastAsia" w:hAnsiTheme="majorHAnsi" w:cstheme="majorBidi"/>
      <w:i/>
      <w:iCs/>
      <w:color w:val="575752" w:themeColor="text1" w:themeTint="BF"/>
      <w:sz w:val="22"/>
    </w:rPr>
  </w:style>
  <w:style w:type="paragraph" w:styleId="Heading8">
    <w:name w:val="heading 8"/>
    <w:basedOn w:val="Normal"/>
    <w:next w:val="Normal"/>
    <w:link w:val="Heading8Char"/>
    <w:uiPriority w:val="99"/>
    <w:semiHidden/>
    <w:unhideWhenUsed/>
    <w:qFormat/>
    <w:rsid w:val="00D17EFB"/>
    <w:pPr>
      <w:keepNext/>
      <w:keepLines/>
      <w:spacing w:before="200" w:after="0" w:line="240" w:lineRule="auto"/>
      <w:outlineLvl w:val="7"/>
    </w:pPr>
    <w:rPr>
      <w:rFonts w:asciiTheme="majorHAnsi" w:eastAsiaTheme="majorEastAsia" w:hAnsiTheme="majorHAnsi" w:cstheme="majorBidi"/>
      <w:color w:val="575752" w:themeColor="text1" w:themeTint="BF"/>
      <w:sz w:val="20"/>
      <w:szCs w:val="20"/>
    </w:rPr>
  </w:style>
  <w:style w:type="paragraph" w:styleId="Heading9">
    <w:name w:val="heading 9"/>
    <w:basedOn w:val="Normal"/>
    <w:next w:val="Normal"/>
    <w:link w:val="Heading9Char"/>
    <w:uiPriority w:val="99"/>
    <w:semiHidden/>
    <w:unhideWhenUsed/>
    <w:qFormat/>
    <w:rsid w:val="00D17EFB"/>
    <w:pPr>
      <w:keepNext/>
      <w:keepLines/>
      <w:spacing w:before="200" w:after="0" w:line="240" w:lineRule="auto"/>
      <w:outlineLvl w:val="8"/>
    </w:pPr>
    <w:rPr>
      <w:rFonts w:asciiTheme="majorHAnsi" w:eastAsiaTheme="majorEastAsia" w:hAnsiTheme="majorHAnsi" w:cstheme="majorBidi"/>
      <w:i/>
      <w:iCs/>
      <w:color w:val="575752"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3A17"/>
    <w:pPr>
      <w:spacing w:before="800" w:after="0" w:line="240" w:lineRule="auto"/>
      <w:contextualSpacing/>
    </w:pPr>
    <w:rPr>
      <w:rFonts w:asciiTheme="majorHAnsi" w:eastAsiaTheme="majorEastAsia" w:hAnsiTheme="majorHAnsi" w:cstheme="majorBidi"/>
      <w:color w:val="142855" w:themeColor="text2"/>
      <w:spacing w:val="-10"/>
      <w:kern w:val="28"/>
      <w:sz w:val="72"/>
      <w:szCs w:val="72"/>
    </w:rPr>
  </w:style>
  <w:style w:type="character" w:customStyle="1" w:styleId="TitleChar">
    <w:name w:val="Title Char"/>
    <w:basedOn w:val="DefaultParagraphFont"/>
    <w:link w:val="Title"/>
    <w:uiPriority w:val="10"/>
    <w:rsid w:val="00C13A17"/>
    <w:rPr>
      <w:rFonts w:asciiTheme="majorHAnsi" w:eastAsiaTheme="majorEastAsia" w:hAnsiTheme="majorHAnsi" w:cstheme="majorBidi"/>
      <w:color w:val="142855" w:themeColor="text2"/>
      <w:spacing w:val="-10"/>
      <w:kern w:val="28"/>
      <w:sz w:val="72"/>
      <w:szCs w:val="72"/>
    </w:rPr>
  </w:style>
  <w:style w:type="paragraph" w:styleId="Subtitle">
    <w:name w:val="Subtitle"/>
    <w:basedOn w:val="Normal"/>
    <w:next w:val="Normal"/>
    <w:link w:val="SubtitleChar"/>
    <w:uiPriority w:val="99"/>
    <w:qFormat/>
    <w:rsid w:val="000F53CC"/>
    <w:pPr>
      <w:numPr>
        <w:ilvl w:val="1"/>
      </w:numPr>
      <w:spacing w:before="760" w:after="0" w:line="240" w:lineRule="auto"/>
    </w:pPr>
    <w:rPr>
      <w:rFonts w:eastAsiaTheme="minorEastAsia"/>
      <w:b/>
      <w:color w:val="142855" w:themeColor="text2"/>
    </w:rPr>
  </w:style>
  <w:style w:type="character" w:customStyle="1" w:styleId="SubtitleChar">
    <w:name w:val="Subtitle Char"/>
    <w:basedOn w:val="DefaultParagraphFont"/>
    <w:link w:val="Subtitle"/>
    <w:uiPriority w:val="99"/>
    <w:rsid w:val="000F53CC"/>
    <w:rPr>
      <w:rFonts w:eastAsiaTheme="minorEastAsia"/>
      <w:b/>
      <w:color w:val="142855" w:themeColor="text2"/>
      <w:sz w:val="24"/>
    </w:rPr>
  </w:style>
  <w:style w:type="paragraph" w:styleId="Date">
    <w:name w:val="Date"/>
    <w:basedOn w:val="Normal"/>
    <w:next w:val="Normal"/>
    <w:link w:val="DateChar"/>
    <w:uiPriority w:val="99"/>
    <w:unhideWhenUsed/>
    <w:rsid w:val="00C13A17"/>
    <w:pPr>
      <w:spacing w:after="0" w:line="264" w:lineRule="auto"/>
    </w:pPr>
    <w:rPr>
      <w:color w:val="142855" w:themeColor="text2"/>
    </w:rPr>
  </w:style>
  <w:style w:type="character" w:customStyle="1" w:styleId="DateChar">
    <w:name w:val="Date Char"/>
    <w:basedOn w:val="DefaultParagraphFont"/>
    <w:link w:val="Date"/>
    <w:uiPriority w:val="99"/>
    <w:rsid w:val="00C13A17"/>
    <w:rPr>
      <w:color w:val="142855" w:themeColor="text2"/>
      <w:sz w:val="24"/>
    </w:rPr>
  </w:style>
  <w:style w:type="character" w:customStyle="1" w:styleId="Heading1Char">
    <w:name w:val="Heading 1 Char"/>
    <w:basedOn w:val="DefaultParagraphFont"/>
    <w:link w:val="Heading1"/>
    <w:uiPriority w:val="99"/>
    <w:rsid w:val="00240A4C"/>
    <w:rPr>
      <w:rFonts w:asciiTheme="majorHAnsi" w:eastAsiaTheme="majorEastAsia" w:hAnsiTheme="majorHAnsi" w:cstheme="majorBidi"/>
      <w:b/>
      <w:color w:val="142855" w:themeColor="text2"/>
      <w:sz w:val="44"/>
      <w:szCs w:val="32"/>
    </w:rPr>
  </w:style>
  <w:style w:type="paragraph" w:styleId="TOCHeading">
    <w:name w:val="TOC Heading"/>
    <w:basedOn w:val="Heading1"/>
    <w:next w:val="Normal"/>
    <w:uiPriority w:val="39"/>
    <w:unhideWhenUsed/>
    <w:qFormat/>
    <w:rsid w:val="00F731CB"/>
    <w:pPr>
      <w:outlineLvl w:val="9"/>
    </w:pPr>
    <w:rPr>
      <w:lang w:val="en-US"/>
    </w:rPr>
  </w:style>
  <w:style w:type="character" w:customStyle="1" w:styleId="Heading2Char">
    <w:name w:val="Heading 2 Char"/>
    <w:basedOn w:val="DefaultParagraphFont"/>
    <w:link w:val="Heading2"/>
    <w:uiPriority w:val="9"/>
    <w:rsid w:val="006E4288"/>
    <w:rPr>
      <w:rFonts w:asciiTheme="majorHAnsi" w:eastAsiaTheme="majorEastAsia" w:hAnsiTheme="majorHAnsi" w:cstheme="majorBidi"/>
      <w:b/>
      <w:color w:val="142855" w:themeColor="text2"/>
      <w:sz w:val="28"/>
      <w:szCs w:val="26"/>
    </w:rPr>
  </w:style>
  <w:style w:type="character" w:customStyle="1" w:styleId="Heading3Char">
    <w:name w:val="Heading 3 Char"/>
    <w:basedOn w:val="DefaultParagraphFont"/>
    <w:link w:val="Heading3"/>
    <w:uiPriority w:val="9"/>
    <w:rsid w:val="0007649C"/>
    <w:rPr>
      <w:rFonts w:asciiTheme="majorHAnsi" w:eastAsiaTheme="majorEastAsia" w:hAnsiTheme="majorHAnsi" w:cstheme="majorBidi"/>
      <w:b/>
      <w:color w:val="142855" w:themeColor="text2"/>
      <w:sz w:val="26"/>
      <w:szCs w:val="24"/>
    </w:rPr>
  </w:style>
  <w:style w:type="character" w:customStyle="1" w:styleId="Heading4Char">
    <w:name w:val="Heading 4 Char"/>
    <w:basedOn w:val="DefaultParagraphFont"/>
    <w:link w:val="Heading4"/>
    <w:uiPriority w:val="9"/>
    <w:rsid w:val="00E010AA"/>
    <w:rPr>
      <w:rFonts w:asciiTheme="majorHAnsi" w:eastAsiaTheme="majorEastAsia" w:hAnsiTheme="majorHAnsi" w:cstheme="majorBidi"/>
      <w:iCs/>
      <w:color w:val="142855" w:themeColor="text2"/>
      <w:sz w:val="26"/>
    </w:rPr>
  </w:style>
  <w:style w:type="character" w:styleId="Emphasis">
    <w:name w:val="Emphasis"/>
    <w:basedOn w:val="DefaultParagraphFont"/>
    <w:uiPriority w:val="99"/>
    <w:qFormat/>
    <w:rsid w:val="00240A4C"/>
    <w:rPr>
      <w:rFonts w:asciiTheme="minorHAnsi" w:hAnsiTheme="minorHAnsi"/>
      <w:b/>
      <w:i w:val="0"/>
      <w:iCs/>
      <w:color w:val="142855" w:themeColor="text2"/>
      <w:sz w:val="24"/>
    </w:rPr>
  </w:style>
  <w:style w:type="character" w:customStyle="1" w:styleId="Heading5Char">
    <w:name w:val="Heading 5 Char"/>
    <w:basedOn w:val="DefaultParagraphFont"/>
    <w:link w:val="Heading5"/>
    <w:uiPriority w:val="9"/>
    <w:rsid w:val="008C47D2"/>
    <w:rPr>
      <w:rFonts w:asciiTheme="majorHAnsi" w:eastAsiaTheme="majorEastAsia" w:hAnsiTheme="majorHAnsi" w:cstheme="majorBidi"/>
      <w:b/>
      <w:color w:val="1D1D1B" w:themeColor="text1"/>
    </w:rPr>
  </w:style>
  <w:style w:type="paragraph" w:styleId="ListBullet">
    <w:name w:val="List Bullet"/>
    <w:basedOn w:val="Normal"/>
    <w:uiPriority w:val="99"/>
    <w:unhideWhenUsed/>
    <w:rsid w:val="00EE1E70"/>
    <w:pPr>
      <w:numPr>
        <w:numId w:val="50"/>
      </w:numPr>
      <w:tabs>
        <w:tab w:val="num" w:pos="360"/>
      </w:tabs>
      <w:spacing w:before="120"/>
    </w:pPr>
  </w:style>
  <w:style w:type="paragraph" w:styleId="ListBullet2">
    <w:name w:val="List Bullet 2"/>
    <w:basedOn w:val="Normal"/>
    <w:uiPriority w:val="99"/>
    <w:unhideWhenUsed/>
    <w:rsid w:val="008C47D2"/>
    <w:pPr>
      <w:numPr>
        <w:numId w:val="1"/>
      </w:numPr>
      <w:contextualSpacing/>
    </w:pPr>
  </w:style>
  <w:style w:type="paragraph" w:styleId="ListBullet3">
    <w:name w:val="List Bullet 3"/>
    <w:basedOn w:val="Normal"/>
    <w:uiPriority w:val="99"/>
    <w:unhideWhenUsed/>
    <w:rsid w:val="008C47D2"/>
    <w:pPr>
      <w:numPr>
        <w:numId w:val="2"/>
      </w:numPr>
      <w:contextualSpacing/>
    </w:pPr>
  </w:style>
  <w:style w:type="paragraph" w:styleId="ListBullet4">
    <w:name w:val="List Bullet 4"/>
    <w:basedOn w:val="Normal"/>
    <w:uiPriority w:val="99"/>
    <w:unhideWhenUsed/>
    <w:rsid w:val="008C47D2"/>
    <w:pPr>
      <w:numPr>
        <w:numId w:val="3"/>
      </w:numPr>
      <w:contextualSpacing/>
    </w:pPr>
  </w:style>
  <w:style w:type="paragraph" w:styleId="ListBullet5">
    <w:name w:val="List Bullet 5"/>
    <w:basedOn w:val="Normal"/>
    <w:uiPriority w:val="99"/>
    <w:unhideWhenUsed/>
    <w:rsid w:val="008C47D2"/>
    <w:pPr>
      <w:numPr>
        <w:numId w:val="4"/>
      </w:numPr>
      <w:contextualSpacing/>
    </w:pPr>
  </w:style>
  <w:style w:type="paragraph" w:styleId="Quote">
    <w:name w:val="Quote"/>
    <w:basedOn w:val="Normal"/>
    <w:next w:val="Normal"/>
    <w:link w:val="QuoteChar"/>
    <w:uiPriority w:val="29"/>
    <w:qFormat/>
    <w:rsid w:val="004F0F77"/>
    <w:pPr>
      <w:spacing w:before="400" w:after="400"/>
    </w:pPr>
    <w:rPr>
      <w:iCs/>
      <w:color w:val="0054BA" w:themeColor="accent2"/>
    </w:rPr>
  </w:style>
  <w:style w:type="character" w:customStyle="1" w:styleId="QuoteChar">
    <w:name w:val="Quote Char"/>
    <w:basedOn w:val="DefaultParagraphFont"/>
    <w:link w:val="Quote"/>
    <w:uiPriority w:val="29"/>
    <w:rsid w:val="004F0F77"/>
    <w:rPr>
      <w:iCs/>
      <w:color w:val="0054BA" w:themeColor="accent2"/>
      <w:sz w:val="24"/>
    </w:rPr>
  </w:style>
  <w:style w:type="table" w:styleId="TableGrid">
    <w:name w:val="Table Grid"/>
    <w:aliases w:val="BBB Table option 2"/>
    <w:basedOn w:val="TableNormal"/>
    <w:uiPriority w:val="59"/>
    <w:rsid w:val="00E523BE"/>
    <w:pPr>
      <w:spacing w:after="120" w:line="360" w:lineRule="auto"/>
    </w:pPr>
    <w:rPr>
      <w:color w:val="142855" w:themeColor="text2"/>
      <w:sz w:val="20"/>
    </w:rPr>
    <w:tblPr>
      <w:tblStyleRowBandSize w:val="1"/>
    </w:tblPr>
    <w:tcPr>
      <w:vAlign w:val="bottom"/>
    </w:tcPr>
    <w:tblStylePr w:type="firstRow">
      <w:pPr>
        <w:wordWrap/>
        <w:spacing w:beforeLines="0" w:before="120" w:beforeAutospacing="0" w:afterLines="0" w:after="0" w:afterAutospacing="0" w:line="360" w:lineRule="auto"/>
      </w:pPr>
      <w:rPr>
        <w:rFonts w:ascii="Arial" w:hAnsi="Arial"/>
        <w:b/>
        <w:color w:val="FFFFFF" w:themeColor="background1"/>
        <w:sz w:val="24"/>
      </w:rPr>
      <w:tblPr>
        <w:tblCellMar>
          <w:top w:w="0" w:type="dxa"/>
          <w:left w:w="113" w:type="dxa"/>
          <w:bottom w:w="0" w:type="dxa"/>
          <w:right w:w="113" w:type="dxa"/>
        </w:tblCellMar>
      </w:tblPr>
      <w:tcPr>
        <w:shd w:val="clear" w:color="auto" w:fill="0054BA" w:themeFill="accent2"/>
      </w:tcPr>
    </w:tblStylePr>
    <w:tblStylePr w:type="band1Horz">
      <w:tblPr/>
      <w:tcPr>
        <w:shd w:val="clear" w:color="auto" w:fill="CCDDEF"/>
      </w:tcPr>
    </w:tblStylePr>
  </w:style>
  <w:style w:type="paragraph" w:customStyle="1" w:styleId="Tablecolumnheading-inkblue">
    <w:name w:val="Table column heading - ink blue"/>
    <w:basedOn w:val="Normal"/>
    <w:qFormat/>
    <w:rsid w:val="00BC6757"/>
    <w:pPr>
      <w:keepNext/>
      <w:spacing w:before="120" w:after="0"/>
    </w:pPr>
    <w:rPr>
      <w:color w:val="142855" w:themeColor="text2"/>
    </w:rPr>
  </w:style>
  <w:style w:type="paragraph" w:customStyle="1" w:styleId="Tabletext">
    <w:name w:val="Table text"/>
    <w:basedOn w:val="Normal"/>
    <w:uiPriority w:val="99"/>
    <w:qFormat/>
    <w:rsid w:val="006E4288"/>
    <w:pPr>
      <w:spacing w:before="120" w:after="0"/>
    </w:pPr>
    <w:rPr>
      <w:color w:val="142855" w:themeColor="text2"/>
    </w:rPr>
  </w:style>
  <w:style w:type="character" w:customStyle="1" w:styleId="Bold">
    <w:name w:val="Bold"/>
    <w:uiPriority w:val="1"/>
    <w:qFormat/>
    <w:rsid w:val="001E2B20"/>
    <w:rPr>
      <w:b/>
    </w:rPr>
  </w:style>
  <w:style w:type="paragraph" w:styleId="Caption">
    <w:name w:val="caption"/>
    <w:basedOn w:val="Normal"/>
    <w:next w:val="Normal"/>
    <w:uiPriority w:val="35"/>
    <w:unhideWhenUsed/>
    <w:qFormat/>
    <w:rsid w:val="006E4288"/>
    <w:pPr>
      <w:spacing w:before="120"/>
    </w:pPr>
    <w:rPr>
      <w:iCs/>
      <w:color w:val="555674"/>
      <w:szCs w:val="18"/>
    </w:rPr>
  </w:style>
  <w:style w:type="paragraph" w:customStyle="1" w:styleId="Tablecolumnheading-white">
    <w:name w:val="Table column heading - white"/>
    <w:basedOn w:val="Tablecolumnheading-inkblue"/>
    <w:qFormat/>
    <w:rsid w:val="00C62D36"/>
    <w:rPr>
      <w:rFonts w:ascii="Arial" w:hAnsi="Arial"/>
      <w:color w:val="FFFFFF" w:themeColor="background1"/>
    </w:rPr>
  </w:style>
  <w:style w:type="table" w:customStyle="1" w:styleId="BBBTableoption1">
    <w:name w:val="BBB Table option 1"/>
    <w:basedOn w:val="TableNormal"/>
    <w:uiPriority w:val="99"/>
    <w:rsid w:val="00E523BE"/>
    <w:pPr>
      <w:spacing w:after="0" w:line="240" w:lineRule="auto"/>
    </w:pPr>
    <w:rPr>
      <w:sz w:val="24"/>
    </w:rPr>
    <w:tblPr>
      <w:tblBorders>
        <w:bottom w:val="single" w:sz="4" w:space="0" w:color="0054BA" w:themeColor="accent2"/>
        <w:insideH w:val="single" w:sz="4" w:space="0" w:color="0054BA" w:themeColor="accent2"/>
      </w:tblBorders>
      <w:tblCellMar>
        <w:left w:w="0" w:type="dxa"/>
        <w:right w:w="0" w:type="dxa"/>
      </w:tblCellMar>
    </w:tblPr>
    <w:tcPr>
      <w:vAlign w:val="bottom"/>
    </w:tcPr>
    <w:tblStylePr w:type="firstRow">
      <w:rPr>
        <w:b/>
      </w:rPr>
      <w:tblPr/>
      <w:tcPr>
        <w:vAlign w:val="bottom"/>
      </w:tcPr>
    </w:tblStylePr>
  </w:style>
  <w:style w:type="table" w:styleId="TableGridLight">
    <w:name w:val="Grid Table Light"/>
    <w:aliases w:val="BBB small table"/>
    <w:basedOn w:val="TableNormal"/>
    <w:uiPriority w:val="40"/>
    <w:rsid w:val="00C62D36"/>
    <w:pPr>
      <w:spacing w:after="0" w:line="240" w:lineRule="auto"/>
    </w:pPr>
    <w:rPr>
      <w:color w:val="142855" w:themeColor="text2"/>
      <w:sz w:val="24"/>
    </w:rPr>
    <w:tblPr>
      <w:tblBorders>
        <w:bottom w:val="single" w:sz="4" w:space="0" w:color="0054BA" w:themeColor="accent2"/>
        <w:insideH w:val="single" w:sz="4" w:space="0" w:color="0054BA" w:themeColor="accent2"/>
      </w:tblBorders>
    </w:tblPr>
    <w:tcPr>
      <w:shd w:val="clear" w:color="auto" w:fill="EFF4F6"/>
    </w:tcPr>
    <w:tblStylePr w:type="firstRow">
      <w:pPr>
        <w:wordWrap/>
        <w:spacing w:beforeLines="0" w:before="120" w:beforeAutospacing="0" w:afterLines="0" w:after="0" w:afterAutospacing="0" w:line="360" w:lineRule="auto"/>
      </w:pPr>
      <w:rPr>
        <w:rFonts w:asciiTheme="minorHAnsi" w:hAnsiTheme="minorHAnsi"/>
        <w:b/>
        <w:sz w:val="24"/>
      </w:rPr>
    </w:tblStylePr>
  </w:style>
  <w:style w:type="paragraph" w:customStyle="1" w:styleId="Contentsheading">
    <w:name w:val="Contents heading"/>
    <w:basedOn w:val="Normal"/>
    <w:qFormat/>
    <w:rsid w:val="00C62D36"/>
    <w:pPr>
      <w:spacing w:after="1200"/>
    </w:pPr>
    <w:rPr>
      <w:b/>
      <w:color w:val="142855" w:themeColor="text2"/>
      <w:sz w:val="44"/>
    </w:rPr>
  </w:style>
  <w:style w:type="paragraph" w:styleId="TOC1">
    <w:name w:val="toc 1"/>
    <w:basedOn w:val="Normal"/>
    <w:next w:val="Normal"/>
    <w:autoRedefine/>
    <w:uiPriority w:val="39"/>
    <w:unhideWhenUsed/>
    <w:rsid w:val="00990DF7"/>
    <w:pPr>
      <w:pBdr>
        <w:top w:val="single" w:sz="4" w:space="4" w:color="0054BA" w:themeColor="accent2"/>
        <w:bottom w:val="single" w:sz="4" w:space="4" w:color="0054BA" w:themeColor="accent2"/>
      </w:pBdr>
      <w:tabs>
        <w:tab w:val="right" w:pos="6629"/>
      </w:tabs>
      <w:spacing w:after="100" w:line="288" w:lineRule="auto"/>
    </w:pPr>
    <w:rPr>
      <w:b/>
      <w:color w:val="142855" w:themeColor="text2"/>
      <w:sz w:val="28"/>
    </w:rPr>
  </w:style>
  <w:style w:type="paragraph" w:styleId="TOC2">
    <w:name w:val="toc 2"/>
    <w:basedOn w:val="Normal"/>
    <w:next w:val="Normal"/>
    <w:autoRedefine/>
    <w:uiPriority w:val="39"/>
    <w:unhideWhenUsed/>
    <w:rsid w:val="00C902FF"/>
    <w:pPr>
      <w:tabs>
        <w:tab w:val="right" w:pos="6629"/>
      </w:tabs>
      <w:spacing w:before="120" w:line="288" w:lineRule="auto"/>
      <w:ind w:left="221"/>
    </w:pPr>
    <w:rPr>
      <w:color w:val="142855" w:themeColor="text2"/>
      <w:sz w:val="28"/>
    </w:rPr>
  </w:style>
  <w:style w:type="paragraph" w:styleId="TOC3">
    <w:name w:val="toc 3"/>
    <w:basedOn w:val="Normal"/>
    <w:next w:val="Normal"/>
    <w:autoRedefine/>
    <w:uiPriority w:val="39"/>
    <w:unhideWhenUsed/>
    <w:rsid w:val="00BF74DD"/>
    <w:pPr>
      <w:tabs>
        <w:tab w:val="right" w:pos="6629"/>
      </w:tabs>
      <w:spacing w:after="100" w:line="288" w:lineRule="auto"/>
      <w:ind w:left="442"/>
      <w:jc w:val="right"/>
    </w:pPr>
    <w:rPr>
      <w:color w:val="142855" w:themeColor="text2"/>
      <w:sz w:val="28"/>
    </w:rPr>
  </w:style>
  <w:style w:type="character" w:styleId="Hyperlink">
    <w:name w:val="Hyperlink"/>
    <w:basedOn w:val="DefaultParagraphFont"/>
    <w:uiPriority w:val="99"/>
    <w:unhideWhenUsed/>
    <w:rsid w:val="00157ACD"/>
    <w:rPr>
      <w:color w:val="142855" w:themeColor="text2"/>
      <w:u w:val="single"/>
    </w:rPr>
  </w:style>
  <w:style w:type="paragraph" w:styleId="Header">
    <w:name w:val="header"/>
    <w:basedOn w:val="Normal"/>
    <w:link w:val="HeaderChar"/>
    <w:uiPriority w:val="99"/>
    <w:unhideWhenUsed/>
    <w:rsid w:val="00D13154"/>
    <w:pPr>
      <w:tabs>
        <w:tab w:val="center" w:pos="4513"/>
        <w:tab w:val="right" w:pos="9026"/>
      </w:tabs>
      <w:spacing w:after="0" w:line="240" w:lineRule="auto"/>
    </w:pPr>
    <w:rPr>
      <w:b/>
      <w:color w:val="0054BA" w:themeColor="accent2"/>
    </w:rPr>
  </w:style>
  <w:style w:type="character" w:customStyle="1" w:styleId="HeaderChar">
    <w:name w:val="Header Char"/>
    <w:basedOn w:val="DefaultParagraphFont"/>
    <w:link w:val="Header"/>
    <w:uiPriority w:val="99"/>
    <w:rsid w:val="00D13154"/>
    <w:rPr>
      <w:b/>
      <w:color w:val="0054BA" w:themeColor="accent2"/>
      <w:sz w:val="24"/>
    </w:rPr>
  </w:style>
  <w:style w:type="paragraph" w:styleId="Footer">
    <w:name w:val="footer"/>
    <w:basedOn w:val="Normal"/>
    <w:link w:val="FooterChar"/>
    <w:uiPriority w:val="99"/>
    <w:unhideWhenUsed/>
    <w:rsid w:val="00BC44D7"/>
    <w:pPr>
      <w:tabs>
        <w:tab w:val="center" w:pos="4513"/>
        <w:tab w:val="right" w:pos="9026"/>
      </w:tabs>
      <w:spacing w:after="0" w:line="240" w:lineRule="auto"/>
    </w:pPr>
    <w:rPr>
      <w:color w:val="142855" w:themeColor="text2"/>
    </w:rPr>
  </w:style>
  <w:style w:type="character" w:customStyle="1" w:styleId="FooterChar">
    <w:name w:val="Footer Char"/>
    <w:basedOn w:val="DefaultParagraphFont"/>
    <w:link w:val="Footer"/>
    <w:uiPriority w:val="99"/>
    <w:rsid w:val="00BC44D7"/>
    <w:rPr>
      <w:color w:val="142855" w:themeColor="text2"/>
      <w:sz w:val="24"/>
    </w:rPr>
  </w:style>
  <w:style w:type="paragraph" w:styleId="Closing">
    <w:name w:val="Closing"/>
    <w:basedOn w:val="Normal"/>
    <w:link w:val="ClosingChar"/>
    <w:uiPriority w:val="99"/>
    <w:unhideWhenUsed/>
    <w:rsid w:val="00F56FD5"/>
    <w:pPr>
      <w:spacing w:after="0"/>
    </w:pPr>
    <w:rPr>
      <w:color w:val="142855" w:themeColor="text2"/>
    </w:rPr>
  </w:style>
  <w:style w:type="character" w:customStyle="1" w:styleId="ClosingChar">
    <w:name w:val="Closing Char"/>
    <w:basedOn w:val="DefaultParagraphFont"/>
    <w:link w:val="Closing"/>
    <w:uiPriority w:val="99"/>
    <w:rsid w:val="00F56FD5"/>
    <w:rPr>
      <w:color w:val="142855" w:themeColor="text2"/>
      <w:sz w:val="24"/>
    </w:rPr>
  </w:style>
  <w:style w:type="character" w:styleId="UnresolvedMention">
    <w:name w:val="Unresolved Mention"/>
    <w:basedOn w:val="DefaultParagraphFont"/>
    <w:uiPriority w:val="99"/>
    <w:unhideWhenUsed/>
    <w:rsid w:val="00F56FD5"/>
    <w:rPr>
      <w:color w:val="605E5C"/>
      <w:shd w:val="clear" w:color="auto" w:fill="E1DFDD"/>
    </w:rPr>
  </w:style>
  <w:style w:type="paragraph" w:customStyle="1" w:styleId="Tablerowheading-inkblue">
    <w:name w:val="Table row heading - ink blue"/>
    <w:basedOn w:val="Tablecolumnheading-white"/>
    <w:qFormat/>
    <w:rsid w:val="00D750DE"/>
    <w:rPr>
      <w:color w:val="142855" w:themeColor="text2"/>
    </w:rPr>
  </w:style>
  <w:style w:type="table" w:customStyle="1" w:styleId="BBBsummarytable">
    <w:name w:val="BBB summary table"/>
    <w:basedOn w:val="TableNormal"/>
    <w:uiPriority w:val="99"/>
    <w:rsid w:val="00E523BE"/>
    <w:pPr>
      <w:spacing w:after="0" w:line="240" w:lineRule="auto"/>
    </w:pPr>
    <w:rPr>
      <w:color w:val="142855" w:themeColor="text2"/>
      <w:sz w:val="24"/>
    </w:rPr>
    <w:tblPr>
      <w:tblBorders>
        <w:bottom w:val="single" w:sz="4" w:space="0" w:color="0054BA" w:themeColor="accent2"/>
        <w:insideH w:val="single" w:sz="4" w:space="0" w:color="0054BA" w:themeColor="accent2"/>
      </w:tblBorders>
    </w:tblPr>
    <w:tcPr>
      <w:shd w:val="clear" w:color="auto" w:fill="FFFFFF" w:themeFill="background1"/>
      <w:vAlign w:val="bottom"/>
    </w:tcPr>
    <w:tblStylePr w:type="firstCol">
      <w:rPr>
        <w:b/>
      </w:rPr>
      <w:tblPr/>
      <w:tcPr>
        <w:shd w:val="clear" w:color="auto" w:fill="EFF4F6"/>
      </w:tcPr>
    </w:tblStylePr>
  </w:style>
  <w:style w:type="paragraph" w:styleId="ListNumber">
    <w:name w:val="List Number"/>
    <w:basedOn w:val="Normal"/>
    <w:uiPriority w:val="99"/>
    <w:unhideWhenUsed/>
    <w:rsid w:val="00356261"/>
    <w:pPr>
      <w:numPr>
        <w:numId w:val="24"/>
      </w:numPr>
    </w:pPr>
  </w:style>
  <w:style w:type="table" w:styleId="PlainTable2">
    <w:name w:val="Plain Table 2"/>
    <w:basedOn w:val="TableNormal"/>
    <w:uiPriority w:val="42"/>
    <w:rsid w:val="00BC44D7"/>
    <w:pPr>
      <w:spacing w:after="0" w:line="240" w:lineRule="auto"/>
    </w:pPr>
    <w:tblPr>
      <w:tblStyleRowBandSize w:val="1"/>
      <w:tblStyleColBandSize w:val="1"/>
      <w:tblBorders>
        <w:top w:val="single" w:sz="4" w:space="0" w:color="919188" w:themeColor="text1" w:themeTint="80"/>
        <w:bottom w:val="single" w:sz="4" w:space="0" w:color="919188" w:themeColor="text1" w:themeTint="80"/>
      </w:tblBorders>
    </w:tblPr>
    <w:tblStylePr w:type="firstRow">
      <w:rPr>
        <w:b/>
        <w:bCs/>
      </w:rPr>
      <w:tblPr/>
      <w:tcPr>
        <w:tcBorders>
          <w:bottom w:val="single" w:sz="4" w:space="0" w:color="919188" w:themeColor="text1" w:themeTint="80"/>
        </w:tcBorders>
      </w:tcPr>
    </w:tblStylePr>
    <w:tblStylePr w:type="lastRow">
      <w:rPr>
        <w:b/>
        <w:bCs/>
      </w:rPr>
      <w:tblPr/>
      <w:tcPr>
        <w:tcBorders>
          <w:top w:val="single" w:sz="4" w:space="0" w:color="919188" w:themeColor="text1" w:themeTint="80"/>
        </w:tcBorders>
      </w:tcPr>
    </w:tblStylePr>
    <w:tblStylePr w:type="firstCol">
      <w:rPr>
        <w:b/>
        <w:bCs/>
      </w:rPr>
    </w:tblStylePr>
    <w:tblStylePr w:type="lastCol">
      <w:rPr>
        <w:b/>
        <w:bCs/>
      </w:rPr>
    </w:tblStylePr>
    <w:tblStylePr w:type="band1Vert">
      <w:tblPr/>
      <w:tcPr>
        <w:tcBorders>
          <w:left w:val="single" w:sz="4" w:space="0" w:color="919188" w:themeColor="text1" w:themeTint="80"/>
          <w:right w:val="single" w:sz="4" w:space="0" w:color="919188" w:themeColor="text1" w:themeTint="80"/>
        </w:tcBorders>
      </w:tcPr>
    </w:tblStylePr>
    <w:tblStylePr w:type="band2Vert">
      <w:tblPr/>
      <w:tcPr>
        <w:tcBorders>
          <w:left w:val="single" w:sz="4" w:space="0" w:color="919188" w:themeColor="text1" w:themeTint="80"/>
          <w:right w:val="single" w:sz="4" w:space="0" w:color="919188" w:themeColor="text1" w:themeTint="80"/>
        </w:tcBorders>
      </w:tcPr>
    </w:tblStylePr>
    <w:tblStylePr w:type="band1Horz">
      <w:tblPr/>
      <w:tcPr>
        <w:tcBorders>
          <w:top w:val="single" w:sz="4" w:space="0" w:color="919188" w:themeColor="text1" w:themeTint="80"/>
          <w:bottom w:val="single" w:sz="4" w:space="0" w:color="919188" w:themeColor="text1" w:themeTint="80"/>
        </w:tcBorders>
      </w:tcPr>
    </w:tblStylePr>
  </w:style>
  <w:style w:type="table" w:customStyle="1" w:styleId="BBBfootertable">
    <w:name w:val="BBB footer table"/>
    <w:basedOn w:val="TableNormal"/>
    <w:uiPriority w:val="99"/>
    <w:rsid w:val="00BC44D7"/>
    <w:pPr>
      <w:spacing w:after="0" w:line="240" w:lineRule="auto"/>
    </w:pPr>
    <w:rPr>
      <w:color w:val="142855" w:themeColor="text2"/>
      <w:sz w:val="24"/>
    </w:rPr>
    <w:tblPr>
      <w:tblBorders>
        <w:top w:val="single" w:sz="4" w:space="0" w:color="142855" w:themeColor="text2"/>
      </w:tblBorders>
      <w:tblCellMar>
        <w:top w:w="113" w:type="dxa"/>
        <w:left w:w="0" w:type="dxa"/>
        <w:right w:w="0" w:type="dxa"/>
      </w:tblCellMar>
    </w:tblPr>
    <w:tblStylePr w:type="firstCol">
      <w:rPr>
        <w:b/>
      </w:rPr>
    </w:tblStylePr>
  </w:style>
  <w:style w:type="paragraph" w:styleId="NoSpacing">
    <w:name w:val="No Spacing"/>
    <w:uiPriority w:val="1"/>
    <w:qFormat/>
    <w:rsid w:val="00176EA1"/>
    <w:pPr>
      <w:spacing w:after="0" w:line="240" w:lineRule="auto"/>
    </w:pPr>
    <w:rPr>
      <w:sz w:val="24"/>
    </w:rPr>
  </w:style>
  <w:style w:type="character" w:customStyle="1" w:styleId="Italic">
    <w:name w:val="Italic"/>
    <w:uiPriority w:val="1"/>
    <w:qFormat/>
    <w:rsid w:val="00877B1E"/>
    <w:rPr>
      <w:i/>
    </w:rPr>
  </w:style>
  <w:style w:type="paragraph" w:styleId="Signature">
    <w:name w:val="Signature"/>
    <w:basedOn w:val="Normal"/>
    <w:link w:val="SignatureChar"/>
    <w:uiPriority w:val="99"/>
    <w:unhideWhenUsed/>
    <w:rsid w:val="009E00AB"/>
    <w:pPr>
      <w:spacing w:after="0" w:line="240" w:lineRule="auto"/>
      <w:ind w:left="4252"/>
    </w:pPr>
  </w:style>
  <w:style w:type="character" w:customStyle="1" w:styleId="SignatureChar">
    <w:name w:val="Signature Char"/>
    <w:basedOn w:val="DefaultParagraphFont"/>
    <w:link w:val="Signature"/>
    <w:uiPriority w:val="99"/>
    <w:rsid w:val="009E00AB"/>
    <w:rPr>
      <w:sz w:val="24"/>
    </w:rPr>
  </w:style>
  <w:style w:type="paragraph" w:customStyle="1" w:styleId="Companyinformation">
    <w:name w:val="Company information"/>
    <w:basedOn w:val="Normal"/>
    <w:qFormat/>
    <w:rsid w:val="004925DB"/>
    <w:pPr>
      <w:tabs>
        <w:tab w:val="left" w:pos="284"/>
      </w:tabs>
      <w:spacing w:before="360" w:after="0"/>
    </w:pPr>
    <w:rPr>
      <w:rFonts w:eastAsiaTheme="minorEastAsia"/>
      <w:iCs/>
      <w:color w:val="555674"/>
    </w:rPr>
  </w:style>
  <w:style w:type="character" w:styleId="CommentReference">
    <w:name w:val="annotation reference"/>
    <w:basedOn w:val="DefaultParagraphFont"/>
    <w:uiPriority w:val="99"/>
    <w:semiHidden/>
    <w:unhideWhenUsed/>
    <w:rsid w:val="006A7EC1"/>
    <w:rPr>
      <w:sz w:val="16"/>
      <w:szCs w:val="16"/>
    </w:rPr>
  </w:style>
  <w:style w:type="paragraph" w:customStyle="1" w:styleId="Numblist1">
    <w:name w:val="Numblist 1"/>
    <w:basedOn w:val="ListParagraph"/>
    <w:uiPriority w:val="9"/>
    <w:qFormat/>
    <w:rsid w:val="00917A98"/>
    <w:pPr>
      <w:numPr>
        <w:numId w:val="6"/>
      </w:numPr>
      <w:tabs>
        <w:tab w:val="clear" w:pos="1077"/>
        <w:tab w:val="num" w:pos="360"/>
      </w:tabs>
      <w:spacing w:before="60" w:after="60" w:line="240" w:lineRule="auto"/>
      <w:ind w:left="720" w:firstLine="0"/>
      <w:contextualSpacing w:val="0"/>
      <w:jc w:val="both"/>
    </w:pPr>
    <w:rPr>
      <w:rFonts w:ascii="Calibri" w:hAnsi="Calibri"/>
      <w:sz w:val="22"/>
    </w:rPr>
  </w:style>
  <w:style w:type="paragraph" w:customStyle="1" w:styleId="Numblist2">
    <w:name w:val="Numblist 2"/>
    <w:basedOn w:val="Numblist1"/>
    <w:uiPriority w:val="9"/>
    <w:qFormat/>
    <w:rsid w:val="00917A98"/>
    <w:pPr>
      <w:numPr>
        <w:ilvl w:val="1"/>
      </w:numPr>
      <w:tabs>
        <w:tab w:val="clear" w:pos="1134"/>
        <w:tab w:val="num" w:pos="360"/>
      </w:tabs>
      <w:ind w:left="360" w:hanging="360"/>
    </w:pPr>
  </w:style>
  <w:style w:type="paragraph" w:customStyle="1" w:styleId="Numblist3">
    <w:name w:val="Numblist 3"/>
    <w:basedOn w:val="Numblist2"/>
    <w:uiPriority w:val="9"/>
    <w:qFormat/>
    <w:rsid w:val="00917A98"/>
    <w:pPr>
      <w:numPr>
        <w:ilvl w:val="2"/>
      </w:numPr>
      <w:tabs>
        <w:tab w:val="clear" w:pos="1531"/>
        <w:tab w:val="num" w:pos="360"/>
      </w:tabs>
      <w:ind w:left="360" w:hanging="360"/>
    </w:pPr>
  </w:style>
  <w:style w:type="paragraph" w:customStyle="1" w:styleId="MinorBullet1">
    <w:name w:val="Minor Bullet 1"/>
    <w:basedOn w:val="Normal"/>
    <w:uiPriority w:val="8"/>
    <w:qFormat/>
    <w:rsid w:val="00917A98"/>
    <w:pPr>
      <w:numPr>
        <w:numId w:val="8"/>
      </w:numPr>
      <w:spacing w:before="60" w:after="60" w:line="240" w:lineRule="auto"/>
      <w:jc w:val="both"/>
    </w:pPr>
    <w:rPr>
      <w:rFonts w:ascii="Calibri" w:hAnsi="Calibri"/>
      <w:sz w:val="22"/>
    </w:rPr>
  </w:style>
  <w:style w:type="paragraph" w:customStyle="1" w:styleId="MinorBullet2">
    <w:name w:val="Minor Bullet 2"/>
    <w:basedOn w:val="Normal"/>
    <w:uiPriority w:val="8"/>
    <w:qFormat/>
    <w:rsid w:val="00917A98"/>
    <w:pPr>
      <w:numPr>
        <w:ilvl w:val="1"/>
        <w:numId w:val="8"/>
      </w:numPr>
      <w:spacing w:before="60" w:after="60" w:line="240" w:lineRule="auto"/>
      <w:jc w:val="both"/>
    </w:pPr>
    <w:rPr>
      <w:rFonts w:ascii="Calibri" w:hAnsi="Calibri"/>
      <w:sz w:val="22"/>
    </w:rPr>
  </w:style>
  <w:style w:type="paragraph" w:customStyle="1" w:styleId="MinorBullet3">
    <w:name w:val="Minor Bullet 3"/>
    <w:basedOn w:val="Normal"/>
    <w:uiPriority w:val="8"/>
    <w:qFormat/>
    <w:rsid w:val="00917A98"/>
    <w:pPr>
      <w:numPr>
        <w:ilvl w:val="2"/>
        <w:numId w:val="8"/>
      </w:numPr>
      <w:spacing w:before="60" w:after="60" w:line="240" w:lineRule="auto"/>
      <w:jc w:val="both"/>
    </w:pPr>
    <w:rPr>
      <w:rFonts w:ascii="Calibri" w:hAnsi="Calibri"/>
      <w:sz w:val="22"/>
    </w:rPr>
  </w:style>
  <w:style w:type="numbering" w:customStyle="1" w:styleId="NumbListMinorBullet">
    <w:name w:val="NumbList Minor Bullet"/>
    <w:uiPriority w:val="99"/>
    <w:rsid w:val="00917A98"/>
    <w:pPr>
      <w:numPr>
        <w:numId w:val="7"/>
      </w:numPr>
    </w:pPr>
  </w:style>
  <w:style w:type="paragraph" w:styleId="ListParagraph">
    <w:name w:val="List Paragraph"/>
    <w:aliases w:val="Lettre d'introduction,Paragrafo elenco,List Paragraph1,1st level - Bullet List Paragraph,Medium Grid 1 - Accent 21,Normal bullet 2,Bullet list,Numbered List,Bullet (Square),Numbered Para 1,Dot pt,No Spacing1,List Paragraph Char Char Char"/>
    <w:basedOn w:val="Normal"/>
    <w:link w:val="ListParagraphChar"/>
    <w:uiPriority w:val="34"/>
    <w:qFormat/>
    <w:rsid w:val="00917A98"/>
    <w:pPr>
      <w:ind w:left="720"/>
      <w:contextualSpacing/>
    </w:pPr>
  </w:style>
  <w:style w:type="paragraph" w:styleId="CommentSubject">
    <w:name w:val="annotation subject"/>
    <w:basedOn w:val="Normal"/>
    <w:next w:val="Normal"/>
    <w:link w:val="CommentSubjectChar"/>
    <w:uiPriority w:val="99"/>
    <w:semiHidden/>
    <w:unhideWhenUsed/>
    <w:rsid w:val="004925DB"/>
    <w:rPr>
      <w:b/>
      <w:bCs/>
    </w:rPr>
  </w:style>
  <w:style w:type="character" w:customStyle="1" w:styleId="CommentSubjectChar">
    <w:name w:val="Comment Subject Char"/>
    <w:basedOn w:val="DefaultParagraphFont"/>
    <w:link w:val="CommentSubject"/>
    <w:uiPriority w:val="99"/>
    <w:semiHidden/>
    <w:rsid w:val="00111EC5"/>
    <w:rPr>
      <w:b/>
      <w:bCs/>
      <w:sz w:val="24"/>
    </w:rPr>
  </w:style>
  <w:style w:type="paragraph" w:styleId="ListNumber2">
    <w:name w:val="List Number 2"/>
    <w:basedOn w:val="Normal"/>
    <w:uiPriority w:val="99"/>
    <w:semiHidden/>
    <w:unhideWhenUsed/>
    <w:rsid w:val="00336487"/>
    <w:pPr>
      <w:tabs>
        <w:tab w:val="num" w:pos="643"/>
      </w:tabs>
      <w:spacing w:before="240" w:after="240" w:line="240" w:lineRule="auto"/>
      <w:ind w:left="643" w:hanging="360"/>
      <w:contextualSpacing/>
      <w:jc w:val="both"/>
    </w:pPr>
    <w:rPr>
      <w:rFonts w:ascii="Calibri" w:hAnsi="Calibri"/>
      <w:sz w:val="22"/>
    </w:rPr>
  </w:style>
  <w:style w:type="paragraph" w:styleId="FootnoteText">
    <w:name w:val="footnote text"/>
    <w:aliases w:val="fn,Char Char,Footnote Text Char Char,Footnote Text Char1 Char Char,Footnote Text Char Char Char Char,Footnote Text Char1 Char Char Char Char,Footnote Text Char Char Char Char Char Char,Fußnotentextf,stile 1,Voetnoottekst Maarten,DHFußn"/>
    <w:basedOn w:val="Normal"/>
    <w:link w:val="FootnoteTextChar"/>
    <w:uiPriority w:val="99"/>
    <w:unhideWhenUsed/>
    <w:qFormat/>
    <w:rsid w:val="004925DB"/>
    <w:pPr>
      <w:spacing w:after="0" w:line="240" w:lineRule="auto"/>
    </w:pPr>
    <w:rPr>
      <w:sz w:val="20"/>
      <w:szCs w:val="20"/>
    </w:rPr>
  </w:style>
  <w:style w:type="character" w:customStyle="1" w:styleId="FootnoteTextChar">
    <w:name w:val="Footnote Text Char"/>
    <w:aliases w:val="fn Char,Char Char Char,Footnote Text Char Char Char,Footnote Text Char1 Char Char Char,Footnote Text Char Char Char Char Char,Footnote Text Char1 Char Char Char Char Char,Footnote Text Char Char Char Char Char Char Char,stile 1 Char"/>
    <w:basedOn w:val="DefaultParagraphFont"/>
    <w:link w:val="FootnoteText"/>
    <w:uiPriority w:val="99"/>
    <w:rsid w:val="00524D07"/>
    <w:rPr>
      <w:sz w:val="20"/>
      <w:szCs w:val="20"/>
    </w:rPr>
  </w:style>
  <w:style w:type="character" w:styleId="FootnoteReference">
    <w:name w:val="footnote reference"/>
    <w:aliases w:val="Footnote symbol,Voetnootverwijzing,Times 10 Point,Exposant 3 Point,Footnote reference number,Ref,de nota al pie,note TESI,SUPERS,EN Footnote Reference,Footnote sign,stylish,Footnote Reference1,BVI fnr,fr,FR,Foo,ftref"/>
    <w:basedOn w:val="DefaultParagraphFont"/>
    <w:link w:val="FootnotesymbolCarZchn"/>
    <w:uiPriority w:val="99"/>
    <w:unhideWhenUsed/>
    <w:qFormat/>
    <w:rsid w:val="00524D07"/>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211A10"/>
    <w:pPr>
      <w:spacing w:after="160" w:line="240" w:lineRule="exact"/>
      <w:jc w:val="both"/>
    </w:pPr>
    <w:rPr>
      <w:sz w:val="22"/>
      <w:vertAlign w:val="superscript"/>
    </w:rPr>
  </w:style>
  <w:style w:type="paragraph" w:customStyle="1" w:styleId="MajorBullet3">
    <w:name w:val="Major Bullet 3"/>
    <w:basedOn w:val="Normal"/>
    <w:uiPriority w:val="7"/>
    <w:qFormat/>
    <w:rsid w:val="00EB6549"/>
    <w:pPr>
      <w:tabs>
        <w:tab w:val="num" w:pos="1520"/>
      </w:tabs>
      <w:spacing w:before="60" w:after="60" w:line="240" w:lineRule="auto"/>
      <w:ind w:left="1520" w:hanging="363"/>
      <w:jc w:val="both"/>
    </w:pPr>
    <w:rPr>
      <w:rFonts w:ascii="Calibri" w:hAnsi="Calibri"/>
      <w:sz w:val="22"/>
    </w:rPr>
  </w:style>
  <w:style w:type="numbering" w:customStyle="1" w:styleId="NumblistNumb">
    <w:name w:val="Numblist Numb"/>
    <w:uiPriority w:val="99"/>
    <w:rsid w:val="00980723"/>
    <w:pPr>
      <w:numPr>
        <w:numId w:val="9"/>
      </w:numPr>
    </w:pPr>
  </w:style>
  <w:style w:type="paragraph" w:styleId="Revision">
    <w:name w:val="Revision"/>
    <w:hidden/>
    <w:uiPriority w:val="99"/>
    <w:semiHidden/>
    <w:rsid w:val="009D2571"/>
    <w:pPr>
      <w:spacing w:after="0" w:line="240" w:lineRule="auto"/>
    </w:pPr>
    <w:rPr>
      <w:sz w:val="24"/>
    </w:rPr>
  </w:style>
  <w:style w:type="character" w:styleId="PlaceholderText">
    <w:name w:val="Placeholder Text"/>
    <w:basedOn w:val="DefaultParagraphFont"/>
    <w:uiPriority w:val="99"/>
    <w:semiHidden/>
    <w:rsid w:val="00BC3121"/>
    <w:rPr>
      <w:color w:val="808080"/>
    </w:rPr>
  </w:style>
  <w:style w:type="paragraph" w:customStyle="1" w:styleId="TableText0">
    <w:name w:val="Table Text"/>
    <w:basedOn w:val="Normal"/>
    <w:uiPriority w:val="34"/>
    <w:qFormat/>
    <w:rsid w:val="000C33D0"/>
    <w:pPr>
      <w:spacing w:after="0" w:line="240" w:lineRule="auto"/>
      <w:ind w:left="113"/>
    </w:pPr>
    <w:rPr>
      <w:rFonts w:ascii="Calibri" w:hAnsi="Calibri"/>
      <w:sz w:val="20"/>
    </w:rPr>
  </w:style>
  <w:style w:type="paragraph" w:customStyle="1" w:styleId="TableTextCentered">
    <w:name w:val="Table Text Centered"/>
    <w:basedOn w:val="Tabletext"/>
    <w:uiPriority w:val="34"/>
    <w:qFormat/>
    <w:rsid w:val="005761BE"/>
    <w:pPr>
      <w:spacing w:before="0" w:line="240" w:lineRule="auto"/>
      <w:ind w:left="113"/>
      <w:jc w:val="center"/>
    </w:pPr>
    <w:rPr>
      <w:rFonts w:ascii="Calibri" w:hAnsi="Calibri"/>
      <w:color w:val="auto"/>
      <w:sz w:val="20"/>
    </w:rPr>
  </w:style>
  <w:style w:type="table" w:customStyle="1" w:styleId="GridTable6Colorful1">
    <w:name w:val="Grid Table 6 Colorful1"/>
    <w:basedOn w:val="TableNormal"/>
    <w:uiPriority w:val="51"/>
    <w:rsid w:val="005761BE"/>
    <w:pPr>
      <w:spacing w:after="0" w:line="240" w:lineRule="auto"/>
    </w:pPr>
    <w:rPr>
      <w:color w:val="1D1D1B" w:themeColor="text1"/>
    </w:rPr>
    <w:tblPr>
      <w:tblStyleRowBandSize w:val="1"/>
      <w:tblStyleColBandSize w:val="1"/>
      <w:tblBorders>
        <w:top w:val="single" w:sz="4" w:space="0" w:color="7A7A72" w:themeColor="text1" w:themeTint="99"/>
        <w:left w:val="single" w:sz="4" w:space="0" w:color="7A7A72" w:themeColor="text1" w:themeTint="99"/>
        <w:bottom w:val="single" w:sz="4" w:space="0" w:color="7A7A72" w:themeColor="text1" w:themeTint="99"/>
        <w:right w:val="single" w:sz="4" w:space="0" w:color="7A7A72" w:themeColor="text1" w:themeTint="99"/>
        <w:insideH w:val="single" w:sz="4" w:space="0" w:color="7A7A72" w:themeColor="text1" w:themeTint="99"/>
        <w:insideV w:val="single" w:sz="4" w:space="0" w:color="7A7A72" w:themeColor="text1" w:themeTint="99"/>
      </w:tblBorders>
    </w:tblPr>
    <w:tblStylePr w:type="firstRow">
      <w:rPr>
        <w:b/>
        <w:bCs/>
      </w:rPr>
      <w:tblPr/>
      <w:tcPr>
        <w:tcBorders>
          <w:bottom w:val="single" w:sz="12" w:space="0" w:color="7A7A72" w:themeColor="text1" w:themeTint="99"/>
        </w:tcBorders>
      </w:tcPr>
    </w:tblStylePr>
    <w:tblStylePr w:type="lastRow">
      <w:rPr>
        <w:b/>
        <w:bCs/>
      </w:rPr>
      <w:tblPr/>
      <w:tcPr>
        <w:tcBorders>
          <w:top w:val="double" w:sz="4" w:space="0" w:color="7A7A72" w:themeColor="text1" w:themeTint="99"/>
        </w:tcBorders>
      </w:tcPr>
    </w:tblStylePr>
    <w:tblStylePr w:type="firstCol">
      <w:rPr>
        <w:b/>
        <w:bCs/>
      </w:rPr>
    </w:tblStylePr>
    <w:tblStylePr w:type="lastCol">
      <w:rPr>
        <w:b/>
        <w:bCs/>
      </w:rPr>
    </w:tblStylePr>
    <w:tblStylePr w:type="band1Vert">
      <w:tblPr/>
      <w:tcPr>
        <w:shd w:val="clear" w:color="auto" w:fill="D3D3CF" w:themeFill="text1" w:themeFillTint="33"/>
      </w:tcPr>
    </w:tblStylePr>
    <w:tblStylePr w:type="band1Horz">
      <w:tblPr/>
      <w:tcPr>
        <w:shd w:val="clear" w:color="auto" w:fill="D3D3CF" w:themeFill="text1" w:themeFillTint="33"/>
      </w:tcPr>
    </w:tblStylePr>
  </w:style>
  <w:style w:type="numbering" w:customStyle="1" w:styleId="JayeshNavinShahEasterEgg">
    <w:name w:val="JayeshNavinShahEasterEgg"/>
    <w:uiPriority w:val="99"/>
    <w:rsid w:val="005C1A49"/>
    <w:pPr>
      <w:numPr>
        <w:numId w:val="11"/>
      </w:numPr>
    </w:pPr>
  </w:style>
  <w:style w:type="paragraph" w:customStyle="1" w:styleId="TableHeading">
    <w:name w:val="Table Heading"/>
    <w:basedOn w:val="TableText0"/>
    <w:uiPriority w:val="34"/>
    <w:qFormat/>
    <w:rsid w:val="000C33D0"/>
    <w:rPr>
      <w:b/>
      <w:color w:val="06357A"/>
    </w:rPr>
  </w:style>
  <w:style w:type="character" w:styleId="Mention">
    <w:name w:val="Mention"/>
    <w:basedOn w:val="DefaultParagraphFont"/>
    <w:uiPriority w:val="99"/>
    <w:unhideWhenUsed/>
    <w:rsid w:val="009D150F"/>
    <w:rPr>
      <w:color w:val="2B579A"/>
      <w:shd w:val="clear" w:color="auto" w:fill="E1DFDD"/>
    </w:rPr>
  </w:style>
  <w:style w:type="character" w:styleId="FollowedHyperlink">
    <w:name w:val="FollowedHyperlink"/>
    <w:basedOn w:val="DefaultParagraphFont"/>
    <w:uiPriority w:val="99"/>
    <w:semiHidden/>
    <w:unhideWhenUsed/>
    <w:rsid w:val="0072119D"/>
    <w:rPr>
      <w:color w:val="142855" w:themeColor="followedHyperlink"/>
      <w:u w:val="single"/>
    </w:rPr>
  </w:style>
  <w:style w:type="paragraph" w:customStyle="1" w:styleId="BoxTitle">
    <w:name w:val="Box Title"/>
    <w:basedOn w:val="Normal"/>
    <w:next w:val="Normal"/>
    <w:uiPriority w:val="33"/>
    <w:qFormat/>
    <w:rsid w:val="001668D5"/>
    <w:pPr>
      <w:keepNext/>
      <w:keepLines/>
      <w:numPr>
        <w:numId w:val="14"/>
      </w:numPr>
      <w:spacing w:before="240" w:after="240" w:line="240" w:lineRule="auto"/>
    </w:pPr>
    <w:rPr>
      <w:rFonts w:ascii="Calibri" w:hAnsi="Calibri"/>
      <w:b/>
      <w:color w:val="06357A"/>
      <w:sz w:val="22"/>
    </w:rPr>
  </w:style>
  <w:style w:type="numbering" w:customStyle="1" w:styleId="NumblistBox">
    <w:name w:val="NumblistBox"/>
    <w:uiPriority w:val="99"/>
    <w:rsid w:val="001668D5"/>
    <w:pPr>
      <w:numPr>
        <w:numId w:val="13"/>
      </w:numPr>
    </w:pPr>
  </w:style>
  <w:style w:type="numbering" w:customStyle="1" w:styleId="JayeshNavinShahEasterEgg2">
    <w:name w:val="JayeshNavinShahEasterEgg2"/>
    <w:basedOn w:val="NoList"/>
    <w:uiPriority w:val="99"/>
    <w:rsid w:val="002426F0"/>
    <w:pPr>
      <w:numPr>
        <w:numId w:val="15"/>
      </w:numPr>
    </w:pPr>
  </w:style>
  <w:style w:type="paragraph" w:customStyle="1" w:styleId="01BMainHeadingNumberedTOC">
    <w:name w:val="01B Main Heading Numbered (TOC)"/>
    <w:basedOn w:val="Heading1"/>
    <w:next w:val="Normal"/>
    <w:qFormat/>
    <w:rsid w:val="002426F0"/>
    <w:pPr>
      <w:keepLines w:val="0"/>
      <w:pageBreakBefore/>
      <w:numPr>
        <w:numId w:val="16"/>
      </w:numPr>
      <w:spacing w:after="120" w:line="240" w:lineRule="auto"/>
    </w:pPr>
    <w:rPr>
      <w:rFonts w:ascii="Arial Black" w:eastAsia="Times New Roman" w:hAnsi="Arial Black" w:cs="Arial"/>
      <w:color w:val="FFFFFF" w:themeColor="background2"/>
      <w:sz w:val="48"/>
      <w:szCs w:val="48"/>
      <w:lang w:eastAsia="en-GB"/>
    </w:rPr>
  </w:style>
  <w:style w:type="paragraph" w:customStyle="1" w:styleId="07BImageCaptionNumbered">
    <w:name w:val="07B Image Caption Numbered"/>
    <w:basedOn w:val="Normal"/>
    <w:next w:val="Normal"/>
    <w:qFormat/>
    <w:rsid w:val="002426F0"/>
    <w:pPr>
      <w:keepNext/>
      <w:keepLines/>
      <w:numPr>
        <w:ilvl w:val="3"/>
        <w:numId w:val="16"/>
      </w:numPr>
      <w:spacing w:before="240" w:after="120" w:line="240" w:lineRule="auto"/>
      <w:ind w:left="0" w:right="2268" w:firstLine="0"/>
      <w:outlineLvl w:val="2"/>
    </w:pPr>
    <w:rPr>
      <w:rFonts w:ascii="Arial" w:eastAsia="Times New Roman" w:hAnsi="Arial" w:cs="Arial"/>
      <w:b/>
      <w:color w:val="1D1D1B" w:themeColor="text1"/>
      <w:sz w:val="22"/>
      <w:szCs w:val="20"/>
      <w:lang w:eastAsia="en-GB"/>
    </w:rPr>
  </w:style>
  <w:style w:type="paragraph" w:customStyle="1" w:styleId="07DTableCaptionNumbered">
    <w:name w:val="07D Table Caption Numbered"/>
    <w:basedOn w:val="Normal"/>
    <w:next w:val="Normal"/>
    <w:link w:val="07DTableCaptionNumberedChar"/>
    <w:qFormat/>
    <w:rsid w:val="002426F0"/>
    <w:pPr>
      <w:keepNext/>
      <w:keepLines/>
      <w:numPr>
        <w:ilvl w:val="4"/>
        <w:numId w:val="16"/>
      </w:numPr>
      <w:spacing w:before="240" w:after="120" w:line="240" w:lineRule="auto"/>
      <w:ind w:left="0" w:right="2268" w:firstLine="0"/>
      <w:outlineLvl w:val="2"/>
    </w:pPr>
    <w:rPr>
      <w:rFonts w:ascii="Arial" w:eastAsia="Times New Roman" w:hAnsi="Arial" w:cs="Arial"/>
      <w:b/>
      <w:color w:val="1D1D1B" w:themeColor="text1"/>
      <w:sz w:val="22"/>
      <w:szCs w:val="20"/>
      <w:lang w:eastAsia="en-GB"/>
    </w:rPr>
  </w:style>
  <w:style w:type="character" w:customStyle="1" w:styleId="07DTableCaptionNumberedChar">
    <w:name w:val="07D Table Caption Numbered Char"/>
    <w:basedOn w:val="DefaultParagraphFont"/>
    <w:link w:val="07DTableCaptionNumbered"/>
    <w:rsid w:val="002426F0"/>
    <w:rPr>
      <w:rFonts w:ascii="Arial" w:eastAsia="Times New Roman" w:hAnsi="Arial" w:cs="Arial"/>
      <w:b/>
      <w:color w:val="1D1D1B" w:themeColor="text1"/>
      <w:szCs w:val="20"/>
      <w:lang w:eastAsia="en-GB"/>
    </w:rPr>
  </w:style>
  <w:style w:type="paragraph" w:customStyle="1" w:styleId="02BSubheadingNumbered1stlevelTOC">
    <w:name w:val="02B Subheading Numbered (1st level) (TOC)"/>
    <w:basedOn w:val="Normal"/>
    <w:next w:val="Normal"/>
    <w:qFormat/>
    <w:rsid w:val="002426F0"/>
    <w:pPr>
      <w:keepNext/>
      <w:keepLines/>
      <w:numPr>
        <w:ilvl w:val="1"/>
        <w:numId w:val="16"/>
      </w:numPr>
      <w:spacing w:before="240" w:after="120" w:line="240" w:lineRule="auto"/>
      <w:outlineLvl w:val="1"/>
    </w:pPr>
    <w:rPr>
      <w:rFonts w:ascii="Arial" w:eastAsia="Times New Roman" w:hAnsi="Arial" w:cs="Arial"/>
      <w:b/>
      <w:color w:val="FFFFFF" w:themeColor="background2"/>
      <w:szCs w:val="20"/>
      <w:lang w:eastAsia="en-GB"/>
    </w:rPr>
  </w:style>
  <w:style w:type="paragraph" w:customStyle="1" w:styleId="03BSubheadingNumbered2ndlevelNON-TOC">
    <w:name w:val="03B Subheading Numbered (2nd level) (NON-TOC)"/>
    <w:basedOn w:val="Normal"/>
    <w:next w:val="Normal"/>
    <w:qFormat/>
    <w:rsid w:val="002426F0"/>
    <w:pPr>
      <w:keepNext/>
      <w:keepLines/>
      <w:numPr>
        <w:ilvl w:val="2"/>
        <w:numId w:val="16"/>
      </w:numPr>
      <w:spacing w:before="240" w:after="120" w:line="240" w:lineRule="auto"/>
      <w:outlineLvl w:val="2"/>
    </w:pPr>
    <w:rPr>
      <w:rFonts w:ascii="Arial" w:eastAsia="Times New Roman" w:hAnsi="Arial" w:cs="Arial"/>
      <w:color w:val="0F1D3F" w:themeColor="text2" w:themeShade="BF"/>
      <w:sz w:val="22"/>
      <w:szCs w:val="20"/>
      <w:lang w:eastAsia="en-GB"/>
    </w:rPr>
  </w:style>
  <w:style w:type="paragraph" w:customStyle="1" w:styleId="05BBullets2ndlevel">
    <w:name w:val="05B Bullets (2nd level)"/>
    <w:basedOn w:val="Normal"/>
    <w:link w:val="05BBullets2ndlevelChar"/>
    <w:qFormat/>
    <w:rsid w:val="004925DB"/>
    <w:pPr>
      <w:spacing w:before="120" w:after="240" w:line="288" w:lineRule="auto"/>
      <w:ind w:left="851" w:hanging="284"/>
    </w:pPr>
    <w:rPr>
      <w:rFonts w:ascii="Arial" w:eastAsia="Times New Roman" w:hAnsi="Arial" w:cs="Arial"/>
      <w:color w:val="1D1D1B" w:themeColor="text1"/>
      <w:sz w:val="22"/>
      <w:szCs w:val="20"/>
      <w:lang w:eastAsia="en-GB"/>
    </w:rPr>
  </w:style>
  <w:style w:type="paragraph" w:customStyle="1" w:styleId="06ANumberedList1stlevel">
    <w:name w:val="06A Numbered List (1st level)"/>
    <w:basedOn w:val="Normal"/>
    <w:qFormat/>
    <w:rsid w:val="004925DB"/>
    <w:pPr>
      <w:spacing w:before="120" w:after="240" w:line="288" w:lineRule="auto"/>
      <w:ind w:left="567" w:hanging="283"/>
    </w:pPr>
    <w:rPr>
      <w:rFonts w:ascii="Arial" w:eastAsia="Times New Roman" w:hAnsi="Arial" w:cs="Arial"/>
      <w:color w:val="1D1D1B" w:themeColor="text1"/>
      <w:sz w:val="22"/>
      <w:szCs w:val="20"/>
      <w:lang w:eastAsia="en-GB"/>
    </w:rPr>
  </w:style>
  <w:style w:type="paragraph" w:customStyle="1" w:styleId="06BNumberedList2ndlevel">
    <w:name w:val="06B Numbered List (2nd level)"/>
    <w:basedOn w:val="Normal"/>
    <w:qFormat/>
    <w:rsid w:val="004925DB"/>
    <w:pPr>
      <w:spacing w:before="120" w:after="240" w:line="288" w:lineRule="auto"/>
      <w:ind w:left="851" w:hanging="284"/>
    </w:pPr>
    <w:rPr>
      <w:rFonts w:ascii="Arial" w:eastAsia="Times New Roman" w:hAnsi="Arial" w:cs="Arial"/>
      <w:color w:val="1D1D1B" w:themeColor="text1"/>
      <w:sz w:val="22"/>
      <w:szCs w:val="20"/>
      <w:lang w:eastAsia="en-GB"/>
    </w:rPr>
  </w:style>
  <w:style w:type="paragraph" w:customStyle="1" w:styleId="05CBulletswithoutspacing1stlevel">
    <w:name w:val="05C Bullets without spacing (1st level)"/>
    <w:basedOn w:val="Normal"/>
    <w:qFormat/>
    <w:rsid w:val="004925DB"/>
    <w:pPr>
      <w:spacing w:before="120" w:after="240" w:line="288" w:lineRule="auto"/>
      <w:ind w:left="567" w:hanging="283"/>
      <w:contextualSpacing/>
    </w:pPr>
    <w:rPr>
      <w:rFonts w:ascii="Arial" w:eastAsia="Times New Roman" w:hAnsi="Arial" w:cs="Arial"/>
      <w:color w:val="1D1D1B" w:themeColor="text1"/>
      <w:sz w:val="22"/>
      <w:szCs w:val="20"/>
      <w:lang w:eastAsia="en-GB"/>
    </w:rPr>
  </w:style>
  <w:style w:type="paragraph" w:customStyle="1" w:styleId="06CNumberedListwithoutspacing1stlevel">
    <w:name w:val="06C Numbered List without spacing (1st level)"/>
    <w:basedOn w:val="06ANumberedList1stlevel"/>
    <w:qFormat/>
    <w:rsid w:val="00F30F2D"/>
    <w:pPr>
      <w:contextualSpacing/>
    </w:pPr>
  </w:style>
  <w:style w:type="paragraph" w:styleId="TOC4">
    <w:name w:val="toc 4"/>
    <w:basedOn w:val="Normal"/>
    <w:next w:val="Normal"/>
    <w:autoRedefine/>
    <w:uiPriority w:val="39"/>
    <w:unhideWhenUsed/>
    <w:rsid w:val="003172F5"/>
    <w:pPr>
      <w:spacing w:after="100" w:line="259" w:lineRule="auto"/>
      <w:ind w:left="660"/>
    </w:pPr>
    <w:rPr>
      <w:rFonts w:eastAsiaTheme="minorEastAsia"/>
      <w:sz w:val="22"/>
      <w:lang w:eastAsia="en-GB"/>
    </w:rPr>
  </w:style>
  <w:style w:type="paragraph" w:styleId="TOC5">
    <w:name w:val="toc 5"/>
    <w:basedOn w:val="Normal"/>
    <w:next w:val="Normal"/>
    <w:autoRedefine/>
    <w:uiPriority w:val="39"/>
    <w:unhideWhenUsed/>
    <w:rsid w:val="003172F5"/>
    <w:pPr>
      <w:spacing w:after="100" w:line="259" w:lineRule="auto"/>
      <w:ind w:left="880"/>
    </w:pPr>
    <w:rPr>
      <w:rFonts w:eastAsiaTheme="minorEastAsia"/>
      <w:sz w:val="22"/>
      <w:lang w:eastAsia="en-GB"/>
    </w:rPr>
  </w:style>
  <w:style w:type="paragraph" w:styleId="TOC6">
    <w:name w:val="toc 6"/>
    <w:basedOn w:val="Normal"/>
    <w:next w:val="Normal"/>
    <w:autoRedefine/>
    <w:uiPriority w:val="39"/>
    <w:unhideWhenUsed/>
    <w:rsid w:val="003172F5"/>
    <w:pPr>
      <w:spacing w:after="100" w:line="259" w:lineRule="auto"/>
      <w:ind w:left="1100"/>
    </w:pPr>
    <w:rPr>
      <w:rFonts w:eastAsiaTheme="minorEastAsia"/>
      <w:sz w:val="22"/>
      <w:lang w:eastAsia="en-GB"/>
    </w:rPr>
  </w:style>
  <w:style w:type="paragraph" w:styleId="TOC7">
    <w:name w:val="toc 7"/>
    <w:basedOn w:val="Normal"/>
    <w:next w:val="Normal"/>
    <w:autoRedefine/>
    <w:uiPriority w:val="39"/>
    <w:unhideWhenUsed/>
    <w:rsid w:val="003172F5"/>
    <w:pPr>
      <w:spacing w:after="100" w:line="259" w:lineRule="auto"/>
      <w:ind w:left="1320"/>
    </w:pPr>
    <w:rPr>
      <w:rFonts w:eastAsiaTheme="minorEastAsia"/>
      <w:sz w:val="22"/>
      <w:lang w:eastAsia="en-GB"/>
    </w:rPr>
  </w:style>
  <w:style w:type="paragraph" w:styleId="TOC8">
    <w:name w:val="toc 8"/>
    <w:basedOn w:val="Normal"/>
    <w:next w:val="Normal"/>
    <w:autoRedefine/>
    <w:uiPriority w:val="39"/>
    <w:unhideWhenUsed/>
    <w:rsid w:val="003172F5"/>
    <w:pPr>
      <w:spacing w:after="100" w:line="259" w:lineRule="auto"/>
      <w:ind w:left="1540"/>
    </w:pPr>
    <w:rPr>
      <w:rFonts w:eastAsiaTheme="minorEastAsia"/>
      <w:sz w:val="22"/>
      <w:lang w:eastAsia="en-GB"/>
    </w:rPr>
  </w:style>
  <w:style w:type="paragraph" w:styleId="TOC9">
    <w:name w:val="toc 9"/>
    <w:basedOn w:val="Normal"/>
    <w:next w:val="Normal"/>
    <w:autoRedefine/>
    <w:uiPriority w:val="39"/>
    <w:unhideWhenUsed/>
    <w:rsid w:val="003172F5"/>
    <w:pPr>
      <w:spacing w:after="100" w:line="259" w:lineRule="auto"/>
      <w:ind w:left="1760"/>
    </w:pPr>
    <w:rPr>
      <w:rFonts w:eastAsiaTheme="minorEastAsia"/>
      <w:sz w:val="22"/>
      <w:lang w:eastAsia="en-GB"/>
    </w:rPr>
  </w:style>
  <w:style w:type="paragraph" w:styleId="NormalWeb">
    <w:name w:val="Normal (Web)"/>
    <w:basedOn w:val="Normal"/>
    <w:uiPriority w:val="99"/>
    <w:semiHidden/>
    <w:unhideWhenUsed/>
    <w:rsid w:val="00094F8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BF7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DD"/>
    <w:rPr>
      <w:rFonts w:ascii="Segoe UI" w:hAnsi="Segoe UI" w:cs="Segoe UI"/>
      <w:sz w:val="18"/>
      <w:szCs w:val="18"/>
    </w:rPr>
  </w:style>
  <w:style w:type="paragraph" w:styleId="CommentText">
    <w:name w:val="annotation text"/>
    <w:basedOn w:val="Normal"/>
    <w:link w:val="CommentTextChar"/>
    <w:uiPriority w:val="99"/>
    <w:unhideWhenUsed/>
    <w:rsid w:val="004925DB"/>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lockText">
    <w:name w:val="Block Text"/>
    <w:basedOn w:val="Normal"/>
    <w:uiPriority w:val="99"/>
    <w:unhideWhenUsed/>
    <w:rsid w:val="004925DB"/>
    <w:pPr>
      <w:tabs>
        <w:tab w:val="left" w:pos="284"/>
      </w:tabs>
      <w:spacing w:after="120"/>
    </w:pPr>
    <w:rPr>
      <w:rFonts w:eastAsiaTheme="minorEastAsia"/>
      <w:iCs/>
      <w:color w:val="142855" w:themeColor="text2"/>
    </w:rPr>
  </w:style>
  <w:style w:type="paragraph" w:customStyle="1" w:styleId="05ABullets1stlevel">
    <w:name w:val="05A Bullets (1st level)"/>
    <w:basedOn w:val="Normal"/>
    <w:link w:val="05ABullets1stlevelChar"/>
    <w:qFormat/>
    <w:rsid w:val="00D73D6A"/>
    <w:pPr>
      <w:tabs>
        <w:tab w:val="num" w:pos="360"/>
        <w:tab w:val="num" w:pos="1077"/>
      </w:tabs>
    </w:pPr>
  </w:style>
  <w:style w:type="paragraph" w:customStyle="1" w:styleId="04ABodyText">
    <w:name w:val="04A Body Text"/>
    <w:basedOn w:val="Normal"/>
    <w:link w:val="04ABodyTextChar"/>
    <w:qFormat/>
    <w:rsid w:val="00151007"/>
    <w:pPr>
      <w:spacing w:before="240" w:after="240" w:line="288" w:lineRule="auto"/>
    </w:pPr>
    <w:rPr>
      <w:rFonts w:ascii="Segoe UI Light" w:eastAsia="Times New Roman" w:hAnsi="Segoe UI Light" w:cs="Arial"/>
      <w:color w:val="1D1D1B" w:themeColor="text1"/>
      <w:sz w:val="20"/>
      <w:szCs w:val="20"/>
      <w:lang w:eastAsia="en-GB"/>
    </w:rPr>
  </w:style>
  <w:style w:type="character" w:customStyle="1" w:styleId="04ABodyTextChar">
    <w:name w:val="04A Body Text Char"/>
    <w:basedOn w:val="DefaultParagraphFont"/>
    <w:link w:val="04ABodyText"/>
    <w:qFormat/>
    <w:rsid w:val="00151007"/>
    <w:rPr>
      <w:rFonts w:ascii="Segoe UI Light" w:eastAsia="Times New Roman" w:hAnsi="Segoe UI Light" w:cs="Arial"/>
      <w:color w:val="1D1D1B" w:themeColor="text1"/>
      <w:sz w:val="20"/>
      <w:szCs w:val="20"/>
      <w:lang w:eastAsia="en-GB"/>
    </w:rPr>
  </w:style>
  <w:style w:type="paragraph" w:styleId="BodyText3">
    <w:name w:val="Body Text 3"/>
    <w:basedOn w:val="Normal"/>
    <w:link w:val="BodyText3Char"/>
    <w:uiPriority w:val="99"/>
    <w:semiHidden/>
    <w:unhideWhenUsed/>
    <w:rsid w:val="00830850"/>
    <w:pPr>
      <w:spacing w:after="120" w:line="240" w:lineRule="auto"/>
    </w:pPr>
    <w:rPr>
      <w:rFonts w:ascii="Arial" w:eastAsia="SimSun" w:hAnsi="Arial" w:cs="Times New Roman"/>
      <w:sz w:val="16"/>
      <w:szCs w:val="16"/>
    </w:rPr>
  </w:style>
  <w:style w:type="character" w:customStyle="1" w:styleId="BodyText3Char">
    <w:name w:val="Body Text 3 Char"/>
    <w:basedOn w:val="DefaultParagraphFont"/>
    <w:link w:val="BodyText3"/>
    <w:uiPriority w:val="99"/>
    <w:semiHidden/>
    <w:rsid w:val="00830850"/>
    <w:rPr>
      <w:rFonts w:ascii="Arial" w:eastAsia="SimSun" w:hAnsi="Arial" w:cs="Times New Roman"/>
      <w:sz w:val="16"/>
      <w:szCs w:val="16"/>
    </w:rPr>
  </w:style>
  <w:style w:type="character" w:customStyle="1" w:styleId="ListParagraphChar">
    <w:name w:val="List Paragraph Char"/>
    <w:aliases w:val="Lettre d'introduction Char,Paragrafo elenco Char,List Paragraph1 Char,1st level - Bullet List Paragraph Char,Medium Grid 1 - Accent 21 Char,Normal bullet 2 Char,Bullet list Char,Numbered List Char,Bullet (Square) Char,Dot pt Char"/>
    <w:basedOn w:val="DefaultParagraphFont"/>
    <w:link w:val="ListParagraph"/>
    <w:uiPriority w:val="34"/>
    <w:qFormat/>
    <w:locked/>
    <w:rsid w:val="00830850"/>
    <w:rPr>
      <w:sz w:val="24"/>
    </w:rPr>
  </w:style>
  <w:style w:type="character" w:customStyle="1" w:styleId="QuestionNumberChar1">
    <w:name w:val="Question Number Char1"/>
    <w:basedOn w:val="DefaultParagraphFont"/>
    <w:link w:val="QuestionNumber"/>
    <w:uiPriority w:val="99"/>
    <w:locked/>
    <w:rsid w:val="00830850"/>
    <w:rPr>
      <w:rFonts w:ascii="Arial" w:eastAsia="Times New Roman" w:hAnsi="Arial" w:cs="Arial"/>
    </w:rPr>
  </w:style>
  <w:style w:type="paragraph" w:customStyle="1" w:styleId="QuestionNumber">
    <w:name w:val="Question Number"/>
    <w:next w:val="Normal"/>
    <w:link w:val="QuestionNumberChar1"/>
    <w:uiPriority w:val="99"/>
    <w:rsid w:val="00830850"/>
    <w:pPr>
      <w:spacing w:after="0" w:line="240" w:lineRule="auto"/>
      <w:jc w:val="both"/>
    </w:pPr>
    <w:rPr>
      <w:rFonts w:ascii="Arial" w:eastAsia="Times New Roman" w:hAnsi="Arial" w:cs="Arial"/>
    </w:rPr>
  </w:style>
  <w:style w:type="paragraph" w:customStyle="1" w:styleId="InstuctBeforeQuest">
    <w:name w:val="Instuct Before Quest"/>
    <w:next w:val="Normal"/>
    <w:uiPriority w:val="99"/>
    <w:rsid w:val="00830850"/>
    <w:pPr>
      <w:spacing w:after="0" w:line="240" w:lineRule="auto"/>
      <w:ind w:left="720"/>
    </w:pPr>
    <w:rPr>
      <w:rFonts w:ascii="Arial" w:eastAsia="Times New Roman" w:hAnsi="Arial" w:cs="Times New Roman"/>
      <w:b/>
      <w:szCs w:val="20"/>
      <w:lang w:eastAsia="en-GB"/>
    </w:rPr>
  </w:style>
  <w:style w:type="paragraph" w:customStyle="1" w:styleId="QuestionText">
    <w:name w:val="Question Text"/>
    <w:basedOn w:val="Normal"/>
    <w:uiPriority w:val="99"/>
    <w:rsid w:val="00830850"/>
    <w:pPr>
      <w:numPr>
        <w:ilvl w:val="1"/>
        <w:numId w:val="17"/>
      </w:numPr>
      <w:tabs>
        <w:tab w:val="left" w:pos="879"/>
      </w:tabs>
      <w:spacing w:after="260" w:line="260" w:lineRule="exact"/>
      <w:outlineLvl w:val="1"/>
    </w:pPr>
    <w:rPr>
      <w:rFonts w:ascii="Arial" w:eastAsia="Calibri" w:hAnsi="Arial" w:cs="Times New Roman"/>
      <w:b/>
      <w:color w:val="131313"/>
      <w:sz w:val="20"/>
      <w:szCs w:val="20"/>
      <w:lang w:eastAsia="en-GB"/>
    </w:rPr>
  </w:style>
  <w:style w:type="paragraph" w:customStyle="1" w:styleId="responsecodes">
    <w:name w:val="response codes"/>
    <w:basedOn w:val="Normal"/>
    <w:uiPriority w:val="99"/>
    <w:rsid w:val="00830850"/>
    <w:pPr>
      <w:tabs>
        <w:tab w:val="left" w:pos="720"/>
        <w:tab w:val="left" w:leader="dot" w:pos="6237"/>
      </w:tabs>
      <w:spacing w:after="0" w:line="240" w:lineRule="auto"/>
      <w:ind w:left="720"/>
    </w:pPr>
    <w:rPr>
      <w:rFonts w:ascii="Arial" w:eastAsia="Times New Roman" w:hAnsi="Arial" w:cs="Arial"/>
      <w:bCs/>
      <w:sz w:val="22"/>
    </w:rPr>
  </w:style>
  <w:style w:type="paragraph" w:styleId="BodyText">
    <w:name w:val="Body Text"/>
    <w:basedOn w:val="Normal"/>
    <w:link w:val="BodyTextChar"/>
    <w:uiPriority w:val="99"/>
    <w:semiHidden/>
    <w:unhideWhenUsed/>
    <w:rsid w:val="00830850"/>
    <w:pPr>
      <w:keepLines/>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uiPriority w:val="99"/>
    <w:semiHidden/>
    <w:rsid w:val="00830850"/>
    <w:rPr>
      <w:rFonts w:ascii="Arial" w:eastAsia="Times New Roman" w:hAnsi="Arial" w:cs="Times New Roman"/>
      <w:sz w:val="20"/>
      <w:szCs w:val="20"/>
    </w:rPr>
  </w:style>
  <w:style w:type="paragraph" w:customStyle="1" w:styleId="GrandTitre">
    <w:name w:val="Grand Titre"/>
    <w:uiPriority w:val="99"/>
    <w:rsid w:val="00830850"/>
    <w:pPr>
      <w:keepNext/>
      <w:spacing w:after="0" w:line="240" w:lineRule="auto"/>
      <w:ind w:right="1987"/>
      <w:jc w:val="both"/>
    </w:pPr>
    <w:rPr>
      <w:rFonts w:ascii="Tms Rmn" w:eastAsia="Times New Roman" w:hAnsi="Tms Rmn" w:cs="Times New Roman"/>
      <w:sz w:val="20"/>
      <w:szCs w:val="20"/>
      <w:lang w:val="en-US"/>
    </w:rPr>
  </w:style>
  <w:style w:type="character" w:styleId="Strong">
    <w:name w:val="Strong"/>
    <w:basedOn w:val="DefaultParagraphFont"/>
    <w:uiPriority w:val="99"/>
    <w:qFormat/>
    <w:rsid w:val="00830850"/>
    <w:rPr>
      <w:rFonts w:ascii="Times New Roman" w:hAnsi="Times New Roman" w:cs="Times New Roman" w:hint="default"/>
      <w:b/>
      <w:bCs/>
    </w:rPr>
  </w:style>
  <w:style w:type="paragraph" w:customStyle="1" w:styleId="msonormal0">
    <w:name w:val="msonormal"/>
    <w:basedOn w:val="Normal"/>
    <w:uiPriority w:val="99"/>
    <w:semiHidden/>
    <w:rsid w:val="00830850"/>
    <w:pPr>
      <w:spacing w:before="100" w:beforeAutospacing="1" w:after="100" w:afterAutospacing="1" w:line="240" w:lineRule="auto"/>
    </w:pPr>
    <w:rPr>
      <w:rFonts w:ascii="Arial" w:eastAsia="Times New Roman" w:hAnsi="Arial" w:cs="Times New Roman"/>
      <w:szCs w:val="24"/>
      <w:lang w:val="en-US"/>
    </w:rPr>
  </w:style>
  <w:style w:type="paragraph" w:styleId="NormalIndent">
    <w:name w:val="Normal Indent"/>
    <w:basedOn w:val="Normal"/>
    <w:uiPriority w:val="99"/>
    <w:semiHidden/>
    <w:unhideWhenUsed/>
    <w:rsid w:val="00830850"/>
    <w:pPr>
      <w:keepLines/>
      <w:spacing w:after="0" w:line="240" w:lineRule="auto"/>
      <w:ind w:left="720"/>
      <w:jc w:val="both"/>
    </w:pPr>
    <w:rPr>
      <w:rFonts w:ascii="Arial" w:eastAsia="Times New Roman" w:hAnsi="Arial" w:cs="Times New Roman"/>
      <w:sz w:val="20"/>
      <w:szCs w:val="20"/>
    </w:rPr>
  </w:style>
  <w:style w:type="paragraph" w:styleId="EndnoteText">
    <w:name w:val="endnote text"/>
    <w:basedOn w:val="Normal"/>
    <w:link w:val="EndnoteTextChar"/>
    <w:uiPriority w:val="99"/>
    <w:semiHidden/>
    <w:unhideWhenUsed/>
    <w:rsid w:val="00830850"/>
    <w:pPr>
      <w:keepLines/>
      <w:spacing w:after="0" w:line="240" w:lineRule="auto"/>
      <w:jc w:val="both"/>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830850"/>
    <w:rPr>
      <w:rFonts w:ascii="Arial" w:eastAsia="Times New Roman" w:hAnsi="Arial" w:cs="Times New Roman"/>
      <w:sz w:val="20"/>
      <w:szCs w:val="20"/>
    </w:rPr>
  </w:style>
  <w:style w:type="paragraph" w:styleId="BodyTextIndent">
    <w:name w:val="Body Text Indent"/>
    <w:basedOn w:val="Normal"/>
    <w:link w:val="BodyTextIndentChar"/>
    <w:uiPriority w:val="99"/>
    <w:semiHidden/>
    <w:unhideWhenUsed/>
    <w:rsid w:val="00830850"/>
    <w:pPr>
      <w:keepLines/>
      <w:spacing w:after="120" w:line="240" w:lineRule="auto"/>
      <w:ind w:left="283"/>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uiPriority w:val="99"/>
    <w:semiHidden/>
    <w:rsid w:val="00830850"/>
    <w:rPr>
      <w:rFonts w:ascii="Arial" w:eastAsia="Times New Roman" w:hAnsi="Arial" w:cs="Times New Roman"/>
      <w:sz w:val="20"/>
      <w:szCs w:val="20"/>
    </w:rPr>
  </w:style>
  <w:style w:type="paragraph" w:styleId="BodyTextIndent3">
    <w:name w:val="Body Text Indent 3"/>
    <w:basedOn w:val="Normal"/>
    <w:link w:val="BodyTextIndent3Char"/>
    <w:uiPriority w:val="99"/>
    <w:semiHidden/>
    <w:unhideWhenUsed/>
    <w:rsid w:val="00830850"/>
    <w:pPr>
      <w:keepLines/>
      <w:spacing w:after="120" w:line="240" w:lineRule="auto"/>
      <w:ind w:left="283"/>
      <w:jc w:val="both"/>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uiPriority w:val="99"/>
    <w:semiHidden/>
    <w:rsid w:val="00830850"/>
    <w:rPr>
      <w:rFonts w:ascii="Arial" w:eastAsia="Times New Roman" w:hAnsi="Arial" w:cs="Times New Roman"/>
      <w:sz w:val="16"/>
      <w:szCs w:val="16"/>
    </w:rPr>
  </w:style>
  <w:style w:type="paragraph" w:customStyle="1" w:styleId="Level1bullet">
    <w:name w:val="Level 1 bullet"/>
    <w:basedOn w:val="Normal"/>
    <w:uiPriority w:val="99"/>
    <w:semiHidden/>
    <w:rsid w:val="00830850"/>
    <w:pPr>
      <w:numPr>
        <w:numId w:val="19"/>
      </w:numPr>
      <w:tabs>
        <w:tab w:val="left" w:pos="709"/>
      </w:tabs>
      <w:spacing w:after="0" w:line="260" w:lineRule="exact"/>
    </w:pPr>
    <w:rPr>
      <w:rFonts w:ascii="Arial" w:eastAsia="Calibri" w:hAnsi="Arial" w:cs="Times New Roman"/>
      <w:b/>
      <w:color w:val="131313"/>
      <w:sz w:val="20"/>
      <w:szCs w:val="20"/>
      <w:lang w:eastAsia="en-GB"/>
    </w:rPr>
  </w:style>
  <w:style w:type="paragraph" w:customStyle="1" w:styleId="Table1Black">
    <w:name w:val="Table 1 Black"/>
    <w:basedOn w:val="Normal"/>
    <w:uiPriority w:val="99"/>
    <w:semiHidden/>
    <w:rsid w:val="00830850"/>
    <w:pPr>
      <w:tabs>
        <w:tab w:val="left" w:pos="879"/>
      </w:tabs>
      <w:spacing w:after="260" w:line="260" w:lineRule="exact"/>
    </w:pPr>
    <w:rPr>
      <w:rFonts w:ascii="Arial" w:eastAsia="Calibri" w:hAnsi="Arial" w:cs="Times New Roman"/>
      <w:color w:val="131313"/>
      <w:sz w:val="20"/>
      <w:szCs w:val="20"/>
      <w:lang w:eastAsia="en-GB"/>
    </w:rPr>
  </w:style>
  <w:style w:type="paragraph" w:customStyle="1" w:styleId="QuestionRouting">
    <w:name w:val="Question Routing"/>
    <w:basedOn w:val="QuestionText"/>
    <w:next w:val="QuestionText"/>
    <w:uiPriority w:val="99"/>
    <w:semiHidden/>
    <w:rsid w:val="00830850"/>
    <w:pPr>
      <w:numPr>
        <w:ilvl w:val="0"/>
        <w:numId w:val="0"/>
      </w:numPr>
      <w:tabs>
        <w:tab w:val="clear" w:pos="879"/>
      </w:tabs>
      <w:spacing w:after="0"/>
      <w:ind w:left="539"/>
    </w:pPr>
    <w:rPr>
      <w:b w:val="0"/>
      <w:caps/>
    </w:rPr>
  </w:style>
  <w:style w:type="paragraph" w:customStyle="1" w:styleId="Pull-outboxText">
    <w:name w:val="Pull-out box Text"/>
    <w:basedOn w:val="Normal"/>
    <w:uiPriority w:val="99"/>
    <w:semiHidden/>
    <w:rsid w:val="00830850"/>
    <w:pPr>
      <w:keepNext/>
      <w:keepLines/>
      <w:tabs>
        <w:tab w:val="left" w:pos="539"/>
        <w:tab w:val="left" w:pos="709"/>
        <w:tab w:val="left" w:pos="879"/>
      </w:tabs>
      <w:spacing w:after="0" w:line="260" w:lineRule="exact"/>
      <w:ind w:left="170"/>
    </w:pPr>
    <w:rPr>
      <w:rFonts w:ascii="Arial" w:eastAsia="Calibri" w:hAnsi="Arial" w:cs="Times New Roman"/>
      <w:color w:val="131313"/>
      <w:sz w:val="20"/>
      <w:szCs w:val="20"/>
      <w:lang w:eastAsia="en-GB"/>
    </w:rPr>
  </w:style>
  <w:style w:type="paragraph" w:customStyle="1" w:styleId="Pull-outlevel1">
    <w:name w:val="Pull-out level 1"/>
    <w:basedOn w:val="Level1bullet"/>
    <w:uiPriority w:val="99"/>
    <w:semiHidden/>
    <w:rsid w:val="00830850"/>
    <w:pPr>
      <w:keepNext/>
      <w:keepLines/>
      <w:ind w:left="170" w:firstLine="136"/>
    </w:pPr>
    <w:rPr>
      <w:rFonts w:ascii="Arial Bold" w:hAnsi="Arial Bold"/>
    </w:rPr>
  </w:style>
  <w:style w:type="paragraph" w:customStyle="1" w:styleId="Pull-outboxhead">
    <w:name w:val="Pull-out box head"/>
    <w:basedOn w:val="Pull-outboxText"/>
    <w:next w:val="Pull-outlevel1"/>
    <w:uiPriority w:val="99"/>
    <w:semiHidden/>
    <w:rsid w:val="00830850"/>
    <w:pPr>
      <w:tabs>
        <w:tab w:val="left" w:pos="8604"/>
      </w:tabs>
    </w:pPr>
    <w:rPr>
      <w:caps/>
      <w:color w:val="357C2A"/>
    </w:rPr>
  </w:style>
  <w:style w:type="paragraph" w:customStyle="1" w:styleId="QuestionSectHead">
    <w:name w:val="Question Sect Head"/>
    <w:basedOn w:val="Normal"/>
    <w:next w:val="QuestionText"/>
    <w:uiPriority w:val="99"/>
    <w:semiHidden/>
    <w:rsid w:val="00830850"/>
    <w:pPr>
      <w:tabs>
        <w:tab w:val="num" w:pos="539"/>
        <w:tab w:val="left" w:pos="879"/>
      </w:tabs>
      <w:spacing w:after="360" w:line="360" w:lineRule="exact"/>
      <w:ind w:left="539" w:hanging="539"/>
    </w:pPr>
    <w:rPr>
      <w:rFonts w:ascii="Arial" w:eastAsia="Calibri" w:hAnsi="Arial" w:cs="Times New Roman"/>
      <w:color w:val="131313"/>
      <w:sz w:val="36"/>
      <w:szCs w:val="20"/>
      <w:lang w:eastAsia="en-GB"/>
    </w:rPr>
  </w:style>
  <w:style w:type="paragraph" w:customStyle="1" w:styleId="QuestionFulloutRead">
    <w:name w:val="Question Fullout Read"/>
    <w:basedOn w:val="Normal"/>
    <w:next w:val="QuestionText"/>
    <w:uiPriority w:val="99"/>
    <w:semiHidden/>
    <w:rsid w:val="00830850"/>
    <w:pPr>
      <w:tabs>
        <w:tab w:val="left" w:pos="879"/>
      </w:tabs>
      <w:spacing w:after="0" w:line="260" w:lineRule="exact"/>
      <w:ind w:left="539" w:hanging="539"/>
    </w:pPr>
    <w:rPr>
      <w:rFonts w:ascii="Arial" w:eastAsia="Calibri" w:hAnsi="Arial" w:cs="Times New Roman"/>
      <w:caps/>
      <w:color w:val="131313"/>
      <w:sz w:val="20"/>
      <w:szCs w:val="20"/>
      <w:lang w:eastAsia="en-GB"/>
    </w:rPr>
  </w:style>
  <w:style w:type="paragraph" w:customStyle="1" w:styleId="Qtable1to10Horiz">
    <w:name w:val="Qtable1to10Horiz"/>
    <w:basedOn w:val="Table1Black"/>
    <w:uiPriority w:val="99"/>
    <w:semiHidden/>
    <w:rsid w:val="00830850"/>
    <w:pPr>
      <w:numPr>
        <w:ilvl w:val="5"/>
        <w:numId w:val="18"/>
      </w:numPr>
      <w:spacing w:after="0"/>
      <w:ind w:left="0" w:firstLine="0"/>
      <w:jc w:val="center"/>
    </w:pPr>
  </w:style>
  <w:style w:type="paragraph" w:customStyle="1" w:styleId="QuestionTextSub">
    <w:name w:val="QuestionTextSub"/>
    <w:basedOn w:val="QuestionText"/>
    <w:uiPriority w:val="99"/>
    <w:semiHidden/>
    <w:rsid w:val="00830850"/>
    <w:pPr>
      <w:numPr>
        <w:ilvl w:val="2"/>
        <w:numId w:val="18"/>
      </w:numPr>
      <w:tabs>
        <w:tab w:val="num" w:pos="539"/>
      </w:tabs>
      <w:ind w:left="539" w:hanging="539"/>
    </w:pPr>
  </w:style>
  <w:style w:type="paragraph" w:customStyle="1" w:styleId="QTableFO">
    <w:name w:val="QTableFO"/>
    <w:basedOn w:val="Table1Black"/>
    <w:uiPriority w:val="99"/>
    <w:semiHidden/>
    <w:rsid w:val="00830850"/>
    <w:pPr>
      <w:numPr>
        <w:ilvl w:val="3"/>
        <w:numId w:val="18"/>
      </w:numPr>
      <w:ind w:left="0" w:firstLine="0"/>
      <w:jc w:val="center"/>
    </w:pPr>
  </w:style>
  <w:style w:type="paragraph" w:customStyle="1" w:styleId="QTblabc">
    <w:name w:val="QTblabc"/>
    <w:basedOn w:val="Table1Black"/>
    <w:uiPriority w:val="99"/>
    <w:semiHidden/>
    <w:rsid w:val="00830850"/>
    <w:pPr>
      <w:numPr>
        <w:ilvl w:val="4"/>
        <w:numId w:val="18"/>
      </w:numPr>
      <w:ind w:left="0" w:firstLine="0"/>
    </w:pPr>
    <w:rPr>
      <w:position w:val="-6"/>
    </w:rPr>
  </w:style>
  <w:style w:type="paragraph" w:customStyle="1" w:styleId="QuestionDer">
    <w:name w:val="QuestionDer"/>
    <w:basedOn w:val="QuestionText"/>
    <w:next w:val="Table1Black"/>
    <w:uiPriority w:val="99"/>
    <w:semiHidden/>
    <w:rsid w:val="00830850"/>
    <w:pPr>
      <w:keepNext/>
      <w:keepLines/>
      <w:numPr>
        <w:ilvl w:val="6"/>
        <w:numId w:val="18"/>
      </w:numPr>
      <w:tabs>
        <w:tab w:val="num" w:pos="720"/>
      </w:tabs>
      <w:spacing w:before="130" w:after="130"/>
      <w:ind w:left="539" w:hanging="539"/>
      <w:outlineLvl w:val="6"/>
    </w:pPr>
  </w:style>
  <w:style w:type="paragraph" w:customStyle="1" w:styleId="QuestionDerABC">
    <w:name w:val="QuestionDerABC"/>
    <w:basedOn w:val="QuestionDer"/>
    <w:next w:val="Table1Black"/>
    <w:uiPriority w:val="99"/>
    <w:rsid w:val="00830850"/>
    <w:pPr>
      <w:numPr>
        <w:ilvl w:val="0"/>
        <w:numId w:val="0"/>
      </w:numPr>
      <w:tabs>
        <w:tab w:val="num" w:pos="1080"/>
      </w:tabs>
    </w:pPr>
  </w:style>
  <w:style w:type="paragraph" w:customStyle="1" w:styleId="Instrafterquest">
    <w:name w:val="Instr after quest"/>
    <w:basedOn w:val="Normal"/>
    <w:next w:val="Normal"/>
    <w:uiPriority w:val="99"/>
    <w:semiHidden/>
    <w:rsid w:val="00830850"/>
    <w:pPr>
      <w:tabs>
        <w:tab w:val="left" w:pos="720"/>
        <w:tab w:val="left" w:pos="4230"/>
        <w:tab w:val="right" w:leader="dot" w:pos="9720"/>
      </w:tabs>
      <w:spacing w:after="0" w:line="240" w:lineRule="auto"/>
      <w:ind w:left="720"/>
    </w:pPr>
    <w:rPr>
      <w:rFonts w:ascii="Arial" w:eastAsia="Times New Roman" w:hAnsi="Arial" w:cs="Times New Roman"/>
      <w:caps/>
      <w:sz w:val="20"/>
      <w:szCs w:val="20"/>
    </w:rPr>
  </w:style>
  <w:style w:type="paragraph" w:customStyle="1" w:styleId="codes">
    <w:name w:val="codes"/>
    <w:basedOn w:val="Normal"/>
    <w:uiPriority w:val="99"/>
    <w:semiHidden/>
    <w:rsid w:val="00830850"/>
    <w:pPr>
      <w:tabs>
        <w:tab w:val="right" w:leader="dot" w:pos="3510"/>
        <w:tab w:val="left" w:pos="4230"/>
      </w:tabs>
      <w:spacing w:after="0" w:line="240" w:lineRule="auto"/>
      <w:jc w:val="center"/>
    </w:pPr>
    <w:rPr>
      <w:rFonts w:ascii="Arial" w:eastAsia="Times New Roman" w:hAnsi="Arial" w:cs="Times New Roman"/>
      <w:sz w:val="20"/>
      <w:szCs w:val="20"/>
    </w:rPr>
  </w:style>
  <w:style w:type="paragraph" w:customStyle="1" w:styleId="NormalArial">
    <w:name w:val="Normal Arial"/>
    <w:uiPriority w:val="99"/>
    <w:semiHidden/>
    <w:rsid w:val="00830850"/>
    <w:pPr>
      <w:tabs>
        <w:tab w:val="left" w:pos="-720"/>
        <w:tab w:val="left" w:pos="0"/>
        <w:tab w:val="left" w:pos="720"/>
      </w:tabs>
      <w:suppressAutoHyphens/>
      <w:spacing w:after="0" w:line="240" w:lineRule="auto"/>
      <w:jc w:val="both"/>
    </w:pPr>
    <w:rPr>
      <w:rFonts w:ascii="Arial" w:eastAsia="Times New Roman" w:hAnsi="Arial" w:cs="Times New Roman"/>
      <w:szCs w:val="20"/>
    </w:rPr>
  </w:style>
  <w:style w:type="paragraph" w:customStyle="1" w:styleId="text">
    <w:name w:val="text"/>
    <w:uiPriority w:val="99"/>
    <w:semiHidden/>
    <w:rsid w:val="00830850"/>
    <w:pPr>
      <w:widowControl w:val="0"/>
      <w:spacing w:after="0" w:line="240" w:lineRule="auto"/>
    </w:pPr>
    <w:rPr>
      <w:rFonts w:ascii="Arial" w:eastAsia="Times New Roman" w:hAnsi="Arial" w:cs="Arial"/>
      <w:sz w:val="24"/>
      <w:szCs w:val="24"/>
    </w:rPr>
  </w:style>
  <w:style w:type="paragraph" w:customStyle="1" w:styleId="quest1">
    <w:name w:val="quest 1"/>
    <w:basedOn w:val="Normal"/>
    <w:uiPriority w:val="99"/>
    <w:semiHidden/>
    <w:rsid w:val="00830850"/>
    <w:pPr>
      <w:numPr>
        <w:numId w:val="20"/>
      </w:numPr>
      <w:spacing w:after="0" w:line="240" w:lineRule="auto"/>
      <w:jc w:val="both"/>
    </w:pPr>
    <w:rPr>
      <w:rFonts w:ascii="Arial" w:eastAsia="Times New Roman" w:hAnsi="Arial" w:cs="Arial"/>
      <w:sz w:val="22"/>
      <w:lang w:eastAsia="en-GB"/>
    </w:rPr>
  </w:style>
  <w:style w:type="paragraph" w:customStyle="1" w:styleId="berschrift4-kursiv">
    <w:name w:val="Überschrift4-kursiv"/>
    <w:basedOn w:val="Normal"/>
    <w:uiPriority w:val="99"/>
    <w:semiHidden/>
    <w:rsid w:val="00830850"/>
    <w:pPr>
      <w:tabs>
        <w:tab w:val="left" w:pos="425"/>
        <w:tab w:val="left" w:pos="567"/>
        <w:tab w:val="left" w:pos="709"/>
        <w:tab w:val="left" w:pos="851"/>
      </w:tabs>
      <w:spacing w:after="0" w:line="240" w:lineRule="auto"/>
      <w:jc w:val="both"/>
    </w:pPr>
    <w:rPr>
      <w:rFonts w:ascii="Arial" w:eastAsia="Times New Roman" w:hAnsi="Arial" w:cs="Times New Roman"/>
      <w:b/>
      <w:i/>
      <w:szCs w:val="20"/>
      <w:lang w:eastAsia="de-DE"/>
    </w:rPr>
  </w:style>
  <w:style w:type="paragraph" w:customStyle="1" w:styleId="QUEST">
    <w:name w:val="QUEST"/>
    <w:uiPriority w:val="99"/>
    <w:semiHidden/>
    <w:rsid w:val="00830850"/>
    <w:pPr>
      <w:widowControl w:val="0"/>
      <w:numPr>
        <w:numId w:val="21"/>
      </w:numPr>
      <w:spacing w:after="0" w:line="240" w:lineRule="auto"/>
    </w:pPr>
    <w:rPr>
      <w:rFonts w:ascii="Arial" w:eastAsia="Times New Roman" w:hAnsi="Arial" w:cs="Arial"/>
      <w:color w:val="000000"/>
      <w:sz w:val="24"/>
      <w:szCs w:val="24"/>
    </w:rPr>
  </w:style>
  <w:style w:type="paragraph" w:customStyle="1" w:styleId="ParaNumber">
    <w:name w:val="Para Number"/>
    <w:basedOn w:val="NormalIndent"/>
    <w:uiPriority w:val="99"/>
    <w:semiHidden/>
    <w:rsid w:val="00830850"/>
    <w:pPr>
      <w:numPr>
        <w:numId w:val="22"/>
      </w:numPr>
      <w:spacing w:after="240"/>
    </w:pPr>
    <w:rPr>
      <w:rFonts w:eastAsia="SimSun"/>
      <w:lang w:eastAsia="en-GB"/>
    </w:rPr>
  </w:style>
  <w:style w:type="paragraph" w:customStyle="1" w:styleId="DfESOutNumbered">
    <w:name w:val="DfESOutNumbered"/>
    <w:basedOn w:val="Normal"/>
    <w:uiPriority w:val="99"/>
    <w:semiHidden/>
    <w:rsid w:val="00830850"/>
    <w:pPr>
      <w:widowControl w:val="0"/>
      <w:numPr>
        <w:numId w:val="23"/>
      </w:numPr>
      <w:overflowPunct w:val="0"/>
      <w:autoSpaceDE w:val="0"/>
      <w:autoSpaceDN w:val="0"/>
      <w:adjustRightInd w:val="0"/>
      <w:spacing w:after="240" w:line="240" w:lineRule="auto"/>
    </w:pPr>
    <w:rPr>
      <w:rFonts w:ascii="Arial" w:eastAsia="Times New Roman" w:hAnsi="Arial" w:cs="Times New Roman"/>
      <w:szCs w:val="20"/>
    </w:rPr>
  </w:style>
  <w:style w:type="paragraph" w:customStyle="1" w:styleId="COLBREAK">
    <w:name w:val="COLBREAK"/>
    <w:basedOn w:val="Normal"/>
    <w:uiPriority w:val="99"/>
    <w:semiHidden/>
    <w:rsid w:val="00830850"/>
    <w:pPr>
      <w:spacing w:after="0" w:line="240" w:lineRule="auto"/>
    </w:pPr>
    <w:rPr>
      <w:rFonts w:ascii="Arial" w:eastAsia="Times New Roman" w:hAnsi="Arial" w:cs="Arial"/>
      <w:color w:val="FFFFFF"/>
      <w:sz w:val="4"/>
      <w:szCs w:val="4"/>
      <w:lang w:eastAsia="ja-JP"/>
    </w:rPr>
  </w:style>
  <w:style w:type="paragraph" w:customStyle="1" w:styleId="QSTART">
    <w:name w:val="QSTART"/>
    <w:basedOn w:val="Normal"/>
    <w:uiPriority w:val="99"/>
    <w:semiHidden/>
    <w:rsid w:val="00830850"/>
    <w:pPr>
      <w:keepNext/>
      <w:keepLines/>
      <w:pBdr>
        <w:bottom w:val="single" w:sz="24" w:space="1" w:color="808080"/>
      </w:pBdr>
      <w:spacing w:after="120" w:line="240" w:lineRule="auto"/>
    </w:pPr>
    <w:rPr>
      <w:rFonts w:ascii="Arial" w:eastAsia="Times New Roman" w:hAnsi="Arial" w:cs="Arial"/>
      <w:sz w:val="20"/>
      <w:szCs w:val="20"/>
      <w:lang w:eastAsia="ja-JP"/>
    </w:rPr>
  </w:style>
  <w:style w:type="paragraph" w:customStyle="1" w:styleId="qtext">
    <w:name w:val="qtext"/>
    <w:basedOn w:val="Normal"/>
    <w:uiPriority w:val="99"/>
    <w:semiHidden/>
    <w:rsid w:val="00830850"/>
    <w:pPr>
      <w:keepNext/>
      <w:keepLines/>
      <w:tabs>
        <w:tab w:val="left" w:pos="720"/>
      </w:tabs>
      <w:spacing w:after="0" w:line="240" w:lineRule="auto"/>
      <w:ind w:left="720" w:hanging="720"/>
    </w:pPr>
    <w:rPr>
      <w:rFonts w:ascii="Arial" w:eastAsia="Times New Roman" w:hAnsi="Arial" w:cs="Arial"/>
      <w:sz w:val="20"/>
      <w:szCs w:val="20"/>
      <w:lang w:eastAsia="ja-JP"/>
    </w:rPr>
  </w:style>
  <w:style w:type="paragraph" w:customStyle="1" w:styleId="col">
    <w:name w:val="col"/>
    <w:basedOn w:val="Normal"/>
    <w:uiPriority w:val="99"/>
    <w:semiHidden/>
    <w:rsid w:val="00830850"/>
    <w:pPr>
      <w:keepNext/>
      <w:keepLines/>
      <w:tabs>
        <w:tab w:val="center" w:pos="8640"/>
        <w:tab w:val="left" w:pos="9360"/>
      </w:tabs>
      <w:spacing w:after="0" w:line="240" w:lineRule="auto"/>
    </w:pPr>
    <w:rPr>
      <w:rFonts w:ascii="Arial" w:eastAsia="Times New Roman" w:hAnsi="Arial" w:cs="Arial"/>
      <w:sz w:val="16"/>
      <w:szCs w:val="16"/>
      <w:lang w:eastAsia="ja-JP"/>
    </w:rPr>
  </w:style>
  <w:style w:type="paragraph" w:customStyle="1" w:styleId="resptext">
    <w:name w:val="resptext"/>
    <w:basedOn w:val="Normal"/>
    <w:uiPriority w:val="99"/>
    <w:rsid w:val="00830850"/>
    <w:pPr>
      <w:keepNext/>
      <w:keepLines/>
      <w:tabs>
        <w:tab w:val="center" w:leader="dot" w:pos="8640"/>
        <w:tab w:val="left" w:pos="8789"/>
        <w:tab w:val="left" w:pos="9072"/>
      </w:tabs>
      <w:spacing w:after="0" w:line="240" w:lineRule="auto"/>
      <w:ind w:left="720"/>
    </w:pPr>
    <w:rPr>
      <w:rFonts w:ascii="Arial" w:eastAsia="Times New Roman" w:hAnsi="Arial" w:cs="Arial"/>
      <w:sz w:val="20"/>
      <w:szCs w:val="20"/>
      <w:lang w:eastAsia="ja-JP"/>
    </w:rPr>
  </w:style>
  <w:style w:type="paragraph" w:customStyle="1" w:styleId="respos">
    <w:name w:val="respos"/>
    <w:basedOn w:val="resptext"/>
    <w:uiPriority w:val="99"/>
    <w:semiHidden/>
    <w:rsid w:val="00830850"/>
  </w:style>
  <w:style w:type="paragraph" w:customStyle="1" w:styleId="colother">
    <w:name w:val="colother"/>
    <w:basedOn w:val="col"/>
    <w:uiPriority w:val="99"/>
    <w:semiHidden/>
    <w:rsid w:val="00830850"/>
  </w:style>
  <w:style w:type="paragraph" w:customStyle="1" w:styleId="respnumtext">
    <w:name w:val="respnumtext"/>
    <w:basedOn w:val="resptext"/>
    <w:uiPriority w:val="99"/>
    <w:semiHidden/>
    <w:rsid w:val="00830850"/>
    <w:pPr>
      <w:tabs>
        <w:tab w:val="center" w:leader="underscore" w:pos="8640"/>
      </w:tabs>
    </w:pPr>
  </w:style>
  <w:style w:type="paragraph" w:customStyle="1" w:styleId="QEND">
    <w:name w:val="QEND"/>
    <w:basedOn w:val="COLBREAK"/>
    <w:uiPriority w:val="99"/>
    <w:semiHidden/>
    <w:rsid w:val="00830850"/>
  </w:style>
  <w:style w:type="paragraph" w:customStyle="1" w:styleId="qtextc">
    <w:name w:val="qtextc"/>
    <w:basedOn w:val="qtext"/>
    <w:uiPriority w:val="99"/>
    <w:semiHidden/>
    <w:rsid w:val="00830850"/>
  </w:style>
  <w:style w:type="paragraph" w:customStyle="1" w:styleId="btext">
    <w:name w:val="btext"/>
    <w:basedOn w:val="qtext"/>
    <w:uiPriority w:val="99"/>
    <w:semiHidden/>
    <w:rsid w:val="00830850"/>
    <w:pPr>
      <w:spacing w:before="120"/>
    </w:pPr>
  </w:style>
  <w:style w:type="paragraph" w:customStyle="1" w:styleId="tabhead">
    <w:name w:val="tabhead"/>
    <w:basedOn w:val="Normal"/>
    <w:uiPriority w:val="99"/>
    <w:semiHidden/>
    <w:rsid w:val="00830850"/>
    <w:pPr>
      <w:keepNext/>
      <w:keepLines/>
      <w:spacing w:before="120" w:after="120" w:line="240" w:lineRule="auto"/>
      <w:jc w:val="center"/>
    </w:pPr>
    <w:rPr>
      <w:rFonts w:ascii="Arial" w:eastAsia="Times New Roman" w:hAnsi="Arial" w:cs="Arial"/>
      <w:b/>
      <w:bCs/>
      <w:sz w:val="20"/>
      <w:szCs w:val="20"/>
      <w:lang w:eastAsia="ja-JP"/>
    </w:rPr>
  </w:style>
  <w:style w:type="paragraph" w:customStyle="1" w:styleId="tabbody">
    <w:name w:val="tabbody"/>
    <w:basedOn w:val="Normal"/>
    <w:uiPriority w:val="99"/>
    <w:semiHidden/>
    <w:rsid w:val="00830850"/>
    <w:pPr>
      <w:keepNext/>
      <w:keepLines/>
      <w:spacing w:after="0" w:line="240" w:lineRule="auto"/>
      <w:jc w:val="center"/>
    </w:pPr>
    <w:rPr>
      <w:rFonts w:ascii="Arial" w:eastAsia="Times New Roman" w:hAnsi="Arial" w:cs="Arial"/>
      <w:sz w:val="20"/>
      <w:szCs w:val="20"/>
      <w:lang w:eastAsia="ja-JP"/>
    </w:rPr>
  </w:style>
  <w:style w:type="paragraph" w:customStyle="1" w:styleId="tabside">
    <w:name w:val="tabside"/>
    <w:basedOn w:val="Normal"/>
    <w:uiPriority w:val="99"/>
    <w:semiHidden/>
    <w:rsid w:val="00830850"/>
    <w:pPr>
      <w:keepNext/>
      <w:keepLines/>
      <w:spacing w:after="0" w:line="240" w:lineRule="auto"/>
    </w:pPr>
    <w:rPr>
      <w:rFonts w:ascii="Arial" w:eastAsia="Times New Roman" w:hAnsi="Arial" w:cs="Arial"/>
      <w:sz w:val="20"/>
      <w:szCs w:val="20"/>
      <w:lang w:eastAsia="ja-JP"/>
    </w:rPr>
  </w:style>
  <w:style w:type="paragraph" w:customStyle="1" w:styleId="tabhead1">
    <w:name w:val="tabhead1"/>
    <w:basedOn w:val="tabhead"/>
    <w:uiPriority w:val="99"/>
    <w:semiHidden/>
    <w:rsid w:val="00830850"/>
    <w:pPr>
      <w:pBdr>
        <w:bottom w:val="single" w:sz="6" w:space="2" w:color="auto"/>
      </w:pBdr>
    </w:pPr>
  </w:style>
  <w:style w:type="paragraph" w:customStyle="1" w:styleId="questionnumber0">
    <w:name w:val="questionnumber"/>
    <w:basedOn w:val="Normal"/>
    <w:uiPriority w:val="99"/>
    <w:semiHidden/>
    <w:rsid w:val="00830850"/>
    <w:pPr>
      <w:spacing w:before="100" w:beforeAutospacing="1" w:after="100" w:afterAutospacing="1" w:line="240" w:lineRule="auto"/>
    </w:pPr>
    <w:rPr>
      <w:rFonts w:ascii="Arial" w:eastAsia="Times New Roman" w:hAnsi="Arial" w:cs="Times New Roman"/>
      <w:szCs w:val="24"/>
      <w:lang w:val="en-US"/>
    </w:rPr>
  </w:style>
  <w:style w:type="character" w:customStyle="1" w:styleId="QuestiontextChar">
    <w:name w:val="Question text Char"/>
    <w:basedOn w:val="DefaultParagraphFont"/>
    <w:link w:val="Questiontext0"/>
    <w:uiPriority w:val="99"/>
    <w:semiHidden/>
    <w:locked/>
    <w:rsid w:val="00830850"/>
    <w:rPr>
      <w:rFonts w:ascii="Arial" w:eastAsia="Times New Roman" w:hAnsi="Arial" w:cs="Arial"/>
      <w:b/>
      <w:sz w:val="24"/>
      <w:szCs w:val="24"/>
      <w:lang w:eastAsia="fr-FR"/>
    </w:rPr>
  </w:style>
  <w:style w:type="paragraph" w:customStyle="1" w:styleId="Questiontext0">
    <w:name w:val="Question text"/>
    <w:basedOn w:val="Normal"/>
    <w:link w:val="QuestiontextChar"/>
    <w:uiPriority w:val="99"/>
    <w:semiHidden/>
    <w:rsid w:val="00830850"/>
    <w:pPr>
      <w:tabs>
        <w:tab w:val="left" w:pos="1134"/>
      </w:tabs>
      <w:spacing w:after="120" w:line="240" w:lineRule="auto"/>
    </w:pPr>
    <w:rPr>
      <w:rFonts w:ascii="Arial" w:eastAsia="Times New Roman" w:hAnsi="Arial" w:cs="Arial"/>
      <w:b/>
      <w:szCs w:val="24"/>
      <w:lang w:eastAsia="fr-FR"/>
    </w:rPr>
  </w:style>
  <w:style w:type="character" w:customStyle="1" w:styleId="INSTRUCTIONChar">
    <w:name w:val="INSTRUCTION Char"/>
    <w:basedOn w:val="DefaultParagraphFont"/>
    <w:link w:val="INSTRUCTION"/>
    <w:uiPriority w:val="99"/>
    <w:semiHidden/>
    <w:locked/>
    <w:rsid w:val="00830850"/>
    <w:rPr>
      <w:rFonts w:ascii="Arial" w:eastAsia="Times New Roman" w:hAnsi="Arial" w:cs="Arial"/>
      <w:b/>
      <w:color w:val="FF0000"/>
      <w:sz w:val="24"/>
      <w:szCs w:val="24"/>
      <w:lang w:eastAsia="fr-FR"/>
    </w:rPr>
  </w:style>
  <w:style w:type="paragraph" w:customStyle="1" w:styleId="INSTRUCTION">
    <w:name w:val="INSTRUCTION"/>
    <w:basedOn w:val="Normal"/>
    <w:link w:val="INSTRUCTIONChar"/>
    <w:uiPriority w:val="99"/>
    <w:semiHidden/>
    <w:rsid w:val="00830850"/>
    <w:pPr>
      <w:spacing w:after="0" w:line="240" w:lineRule="auto"/>
    </w:pPr>
    <w:rPr>
      <w:rFonts w:ascii="Arial" w:eastAsia="Times New Roman" w:hAnsi="Arial" w:cs="Arial"/>
      <w:b/>
      <w:color w:val="FF0000"/>
      <w:szCs w:val="24"/>
      <w:lang w:eastAsia="fr-FR"/>
    </w:rPr>
  </w:style>
  <w:style w:type="paragraph" w:customStyle="1" w:styleId="Default">
    <w:name w:val="Default"/>
    <w:uiPriority w:val="99"/>
    <w:semiHidden/>
    <w:rsid w:val="00830850"/>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Question">
    <w:name w:val="Question"/>
    <w:basedOn w:val="Normal"/>
    <w:next w:val="Normal"/>
    <w:uiPriority w:val="99"/>
    <w:rsid w:val="00830850"/>
    <w:pPr>
      <w:spacing w:after="0" w:line="240" w:lineRule="auto"/>
    </w:pPr>
    <w:rPr>
      <w:rFonts w:ascii="Arial" w:eastAsia="Times New Roman" w:hAnsi="Arial" w:cs="Times New Roman"/>
      <w:b/>
      <w:sz w:val="20"/>
      <w:szCs w:val="20"/>
      <w:lang w:eastAsia="en-GB"/>
    </w:rPr>
  </w:style>
  <w:style w:type="paragraph" w:customStyle="1" w:styleId="StyleRightLinespacingMultiple09li">
    <w:name w:val="Style Right Line spacing:  Multiple 0.9 li"/>
    <w:basedOn w:val="Normal"/>
    <w:uiPriority w:val="99"/>
    <w:semiHidden/>
    <w:rsid w:val="00830850"/>
    <w:pPr>
      <w:spacing w:before="20" w:after="60" w:line="216" w:lineRule="auto"/>
      <w:jc w:val="right"/>
    </w:pPr>
    <w:rPr>
      <w:rFonts w:ascii="Arial" w:hAnsi="Arial" w:cs="Arial"/>
      <w:sz w:val="22"/>
    </w:rPr>
  </w:style>
  <w:style w:type="paragraph" w:customStyle="1" w:styleId="col1R">
    <w:name w:val="col 1(R)"/>
    <w:basedOn w:val="Normal"/>
    <w:uiPriority w:val="99"/>
    <w:semiHidden/>
    <w:rsid w:val="00830850"/>
    <w:pPr>
      <w:spacing w:after="0" w:line="240" w:lineRule="auto"/>
    </w:pPr>
    <w:rPr>
      <w:rFonts w:ascii="Dutch Roman 11pt" w:hAnsi="Dutch Roman 11pt" w:cs="Calibri"/>
      <w:sz w:val="22"/>
      <w:lang w:eastAsia="en-GB"/>
    </w:rPr>
  </w:style>
  <w:style w:type="paragraph" w:customStyle="1" w:styleId="Tabletextcentred">
    <w:name w:val="Table text centred"/>
    <w:basedOn w:val="Tabletext"/>
    <w:uiPriority w:val="99"/>
    <w:semiHidden/>
    <w:qFormat/>
    <w:rsid w:val="00830850"/>
    <w:pPr>
      <w:spacing w:before="60" w:after="60" w:line="240" w:lineRule="auto"/>
      <w:jc w:val="center"/>
    </w:pPr>
    <w:rPr>
      <w:rFonts w:ascii="Arial" w:hAnsi="Arial"/>
      <w:color w:val="auto"/>
      <w:sz w:val="22"/>
    </w:rPr>
  </w:style>
  <w:style w:type="character" w:styleId="PageNumber">
    <w:name w:val="page number"/>
    <w:basedOn w:val="DefaultParagraphFont"/>
    <w:uiPriority w:val="99"/>
    <w:semiHidden/>
    <w:unhideWhenUsed/>
    <w:rsid w:val="00830850"/>
    <w:rPr>
      <w:rFonts w:ascii="Times New Roman" w:hAnsi="Times New Roman" w:cs="Times New Roman" w:hint="default"/>
    </w:rPr>
  </w:style>
  <w:style w:type="character" w:styleId="EndnoteReference">
    <w:name w:val="endnote reference"/>
    <w:basedOn w:val="DefaultParagraphFont"/>
    <w:uiPriority w:val="99"/>
    <w:semiHidden/>
    <w:unhideWhenUsed/>
    <w:rsid w:val="00830850"/>
    <w:rPr>
      <w:vertAlign w:val="superscript"/>
    </w:rPr>
  </w:style>
  <w:style w:type="character" w:customStyle="1" w:styleId="QuestionRoutingInline">
    <w:name w:val="Question Routing Inline"/>
    <w:uiPriority w:val="99"/>
    <w:rsid w:val="00830850"/>
    <w:rPr>
      <w:rFonts w:ascii="Arial" w:hAnsi="Arial" w:cs="Arial" w:hint="default"/>
      <w:caps/>
    </w:rPr>
  </w:style>
  <w:style w:type="character" w:customStyle="1" w:styleId="st1">
    <w:name w:val="st1"/>
    <w:basedOn w:val="DefaultParagraphFont"/>
    <w:uiPriority w:val="99"/>
    <w:rsid w:val="00830850"/>
    <w:rPr>
      <w:rFonts w:ascii="Times New Roman" w:hAnsi="Times New Roman" w:cs="Times New Roman" w:hint="default"/>
    </w:rPr>
  </w:style>
  <w:style w:type="character" w:customStyle="1" w:styleId="HeaderChar1">
    <w:name w:val="Header Char1"/>
    <w:basedOn w:val="DefaultParagraphFont"/>
    <w:uiPriority w:val="99"/>
    <w:locked/>
    <w:rsid w:val="00830850"/>
    <w:rPr>
      <w:rFonts w:ascii="Arial" w:eastAsiaTheme="minorHAnsi" w:hAnsi="Arial" w:cs="Arial" w:hint="default"/>
      <w:sz w:val="24"/>
      <w:szCs w:val="24"/>
    </w:rPr>
  </w:style>
  <w:style w:type="character" w:customStyle="1" w:styleId="xtext1">
    <w:name w:val="xtext1"/>
    <w:rsid w:val="00830850"/>
    <w:rPr>
      <w:rFonts w:ascii="Arial" w:hAnsi="Arial" w:cs="Arial" w:hint="default"/>
      <w:color w:val="000000"/>
      <w:sz w:val="21"/>
      <w:szCs w:val="21"/>
    </w:rPr>
  </w:style>
  <w:style w:type="character" w:customStyle="1" w:styleId="UnresolvedMention1">
    <w:name w:val="Unresolved Mention1"/>
    <w:basedOn w:val="DefaultParagraphFont"/>
    <w:uiPriority w:val="99"/>
    <w:semiHidden/>
    <w:rsid w:val="00830850"/>
    <w:rPr>
      <w:color w:val="808080"/>
      <w:shd w:val="clear" w:color="auto" w:fill="E6E6E6"/>
    </w:rPr>
  </w:style>
  <w:style w:type="paragraph" w:customStyle="1" w:styleId="Routing">
    <w:name w:val="Routing"/>
    <w:basedOn w:val="Normal"/>
    <w:link w:val="RoutingChar"/>
    <w:qFormat/>
    <w:rsid w:val="00830850"/>
    <w:pPr>
      <w:spacing w:after="0" w:line="240" w:lineRule="auto"/>
    </w:pPr>
    <w:rPr>
      <w:rFonts w:ascii="Segoe UI" w:eastAsia="Quattrocento Sans" w:hAnsi="Segoe UI" w:cs="Quattrocento Sans"/>
      <w:i/>
      <w:color w:val="0054BA" w:themeColor="accent2"/>
      <w:sz w:val="20"/>
      <w:szCs w:val="20"/>
      <w:lang w:eastAsia="en-GB"/>
    </w:rPr>
  </w:style>
  <w:style w:type="character" w:customStyle="1" w:styleId="RoutingChar">
    <w:name w:val="Routing Char"/>
    <w:basedOn w:val="DefaultParagraphFont"/>
    <w:link w:val="Routing"/>
    <w:rsid w:val="00830850"/>
    <w:rPr>
      <w:rFonts w:ascii="Segoe UI" w:eastAsia="Quattrocento Sans" w:hAnsi="Segoe UI" w:cs="Quattrocento Sans"/>
      <w:i/>
      <w:color w:val="0054BA" w:themeColor="accent2"/>
      <w:sz w:val="20"/>
      <w:szCs w:val="20"/>
      <w:lang w:eastAsia="en-GB"/>
    </w:rPr>
  </w:style>
  <w:style w:type="character" w:customStyle="1" w:styleId="05BBullets2ndlevelChar">
    <w:name w:val="05B Bullets (2nd level) Char"/>
    <w:basedOn w:val="DefaultParagraphFont"/>
    <w:link w:val="05BBullets2ndlevel"/>
    <w:locked/>
    <w:rsid w:val="00830850"/>
    <w:rPr>
      <w:rFonts w:ascii="Arial" w:eastAsia="Times New Roman" w:hAnsi="Arial" w:cs="Arial"/>
      <w:color w:val="1D1D1B" w:themeColor="text1"/>
      <w:szCs w:val="20"/>
      <w:lang w:eastAsia="en-GB"/>
    </w:rPr>
  </w:style>
  <w:style w:type="character" w:customStyle="1" w:styleId="05ABullets1stlevelChar">
    <w:name w:val="05A Bullets (1st level) Char"/>
    <w:basedOn w:val="04ABodyTextChar"/>
    <w:link w:val="05ABullets1stlevel"/>
    <w:rsid w:val="00830850"/>
    <w:rPr>
      <w:rFonts w:ascii="Segoe UI Light" w:eastAsia="Times New Roman" w:hAnsi="Segoe UI Light" w:cs="Arial"/>
      <w:color w:val="1D1D1B" w:themeColor="text1"/>
      <w:sz w:val="24"/>
      <w:szCs w:val="20"/>
      <w:lang w:eastAsia="en-GB"/>
    </w:rPr>
  </w:style>
  <w:style w:type="paragraph" w:customStyle="1" w:styleId="norm">
    <w:name w:val="norm"/>
    <w:basedOn w:val="Normal"/>
    <w:uiPriority w:val="99"/>
    <w:rsid w:val="00830850"/>
    <w:pPr>
      <w:tabs>
        <w:tab w:val="left" w:pos="851"/>
        <w:tab w:val="right" w:pos="9356"/>
      </w:tabs>
      <w:spacing w:before="60" w:after="60" w:line="360" w:lineRule="atLeast"/>
      <w:jc w:val="both"/>
    </w:pPr>
    <w:rPr>
      <w:rFonts w:ascii="Times New Roman" w:eastAsia="Times New Roman" w:hAnsi="Times New Roman" w:cs="Times New Roman"/>
      <w:sz w:val="22"/>
      <w:szCs w:val="20"/>
      <w:lang w:eastAsia="en-GB"/>
    </w:rPr>
  </w:style>
  <w:style w:type="character" w:customStyle="1" w:styleId="Heading6Char">
    <w:name w:val="Heading 6 Char"/>
    <w:basedOn w:val="DefaultParagraphFont"/>
    <w:link w:val="Heading6"/>
    <w:uiPriority w:val="99"/>
    <w:semiHidden/>
    <w:rsid w:val="00D17EFB"/>
    <w:rPr>
      <w:rFonts w:asciiTheme="majorHAnsi" w:eastAsiaTheme="majorEastAsia" w:hAnsiTheme="majorHAnsi" w:cstheme="majorBidi"/>
      <w:i/>
      <w:iCs/>
      <w:color w:val="97000E" w:themeColor="accent1" w:themeShade="7F"/>
    </w:rPr>
  </w:style>
  <w:style w:type="character" w:customStyle="1" w:styleId="Heading7Char">
    <w:name w:val="Heading 7 Char"/>
    <w:basedOn w:val="DefaultParagraphFont"/>
    <w:link w:val="Heading7"/>
    <w:uiPriority w:val="99"/>
    <w:semiHidden/>
    <w:rsid w:val="00D17EFB"/>
    <w:rPr>
      <w:rFonts w:asciiTheme="majorHAnsi" w:eastAsiaTheme="majorEastAsia" w:hAnsiTheme="majorHAnsi" w:cstheme="majorBidi"/>
      <w:i/>
      <w:iCs/>
      <w:color w:val="575752" w:themeColor="text1" w:themeTint="BF"/>
    </w:rPr>
  </w:style>
  <w:style w:type="character" w:customStyle="1" w:styleId="Heading8Char">
    <w:name w:val="Heading 8 Char"/>
    <w:basedOn w:val="DefaultParagraphFont"/>
    <w:link w:val="Heading8"/>
    <w:uiPriority w:val="99"/>
    <w:semiHidden/>
    <w:rsid w:val="00D17EFB"/>
    <w:rPr>
      <w:rFonts w:asciiTheme="majorHAnsi" w:eastAsiaTheme="majorEastAsia" w:hAnsiTheme="majorHAnsi" w:cstheme="majorBidi"/>
      <w:color w:val="575752" w:themeColor="text1" w:themeTint="BF"/>
      <w:sz w:val="20"/>
      <w:szCs w:val="20"/>
    </w:rPr>
  </w:style>
  <w:style w:type="character" w:customStyle="1" w:styleId="Heading9Char">
    <w:name w:val="Heading 9 Char"/>
    <w:basedOn w:val="DefaultParagraphFont"/>
    <w:link w:val="Heading9"/>
    <w:uiPriority w:val="99"/>
    <w:semiHidden/>
    <w:rsid w:val="00D17EFB"/>
    <w:rPr>
      <w:rFonts w:asciiTheme="majorHAnsi" w:eastAsiaTheme="majorEastAsia" w:hAnsiTheme="majorHAnsi" w:cstheme="majorBidi"/>
      <w:i/>
      <w:iCs/>
      <w:color w:val="575752" w:themeColor="text1" w:themeTint="BF"/>
      <w:sz w:val="20"/>
      <w:szCs w:val="20"/>
    </w:rPr>
  </w:style>
  <w:style w:type="character" w:customStyle="1" w:styleId="HeaderRepeat">
    <w:name w:val="HeaderRepeat"/>
    <w:basedOn w:val="DefaultParagraphFont"/>
    <w:uiPriority w:val="30"/>
    <w:qFormat/>
    <w:rsid w:val="00D17EFB"/>
  </w:style>
  <w:style w:type="paragraph" w:customStyle="1" w:styleId="TableNote">
    <w:name w:val="Table Note"/>
    <w:basedOn w:val="Normal"/>
    <w:next w:val="Normal"/>
    <w:uiPriority w:val="35"/>
    <w:qFormat/>
    <w:rsid w:val="00D17EFB"/>
    <w:pPr>
      <w:spacing w:after="60" w:line="240" w:lineRule="auto"/>
    </w:pPr>
    <w:rPr>
      <w:rFonts w:ascii="Calibri" w:hAnsi="Calibri"/>
      <w:sz w:val="16"/>
    </w:rPr>
  </w:style>
  <w:style w:type="paragraph" w:customStyle="1" w:styleId="TableSource">
    <w:name w:val="Table Source"/>
    <w:basedOn w:val="Normal"/>
    <w:next w:val="Normal"/>
    <w:uiPriority w:val="36"/>
    <w:qFormat/>
    <w:rsid w:val="00D17EFB"/>
    <w:pPr>
      <w:spacing w:after="0" w:line="240" w:lineRule="auto"/>
    </w:pPr>
    <w:rPr>
      <w:rFonts w:ascii="Calibri" w:hAnsi="Calibri"/>
      <w:b/>
      <w:i/>
      <w:sz w:val="16"/>
    </w:rPr>
  </w:style>
  <w:style w:type="paragraph" w:customStyle="1" w:styleId="TableTitle">
    <w:name w:val="Table Title"/>
    <w:basedOn w:val="Normal"/>
    <w:next w:val="Normal"/>
    <w:uiPriority w:val="31"/>
    <w:qFormat/>
    <w:rsid w:val="00D17EFB"/>
    <w:pPr>
      <w:keepNext/>
      <w:keepLines/>
      <w:numPr>
        <w:numId w:val="29"/>
      </w:numPr>
      <w:spacing w:before="240" w:after="240" w:line="240" w:lineRule="auto"/>
    </w:pPr>
    <w:rPr>
      <w:rFonts w:ascii="Calibri" w:hAnsi="Calibri"/>
      <w:b/>
      <w:color w:val="06357A"/>
      <w:sz w:val="22"/>
    </w:rPr>
  </w:style>
  <w:style w:type="numbering" w:customStyle="1" w:styleId="NumbListTable">
    <w:name w:val="NumbListTable"/>
    <w:uiPriority w:val="99"/>
    <w:rsid w:val="00D17EFB"/>
    <w:pPr>
      <w:numPr>
        <w:numId w:val="28"/>
      </w:numPr>
    </w:pPr>
  </w:style>
  <w:style w:type="paragraph" w:styleId="ListNumber5">
    <w:name w:val="List Number 5"/>
    <w:basedOn w:val="Normal"/>
    <w:uiPriority w:val="99"/>
    <w:semiHidden/>
    <w:unhideWhenUsed/>
    <w:rsid w:val="00D17EFB"/>
    <w:pPr>
      <w:tabs>
        <w:tab w:val="num" w:pos="1492"/>
      </w:tabs>
      <w:spacing w:before="240" w:after="240" w:line="240" w:lineRule="auto"/>
      <w:ind w:left="1492" w:hanging="360"/>
      <w:contextualSpacing/>
      <w:jc w:val="both"/>
    </w:pPr>
    <w:rPr>
      <w:rFonts w:ascii="Calibri" w:hAnsi="Calibri"/>
      <w:sz w:val="22"/>
    </w:rPr>
  </w:style>
  <w:style w:type="numbering" w:customStyle="1" w:styleId="Style1Header">
    <w:name w:val="Style1Header"/>
    <w:uiPriority w:val="99"/>
    <w:rsid w:val="00D17EFB"/>
    <w:pPr>
      <w:numPr>
        <w:numId w:val="30"/>
      </w:numPr>
    </w:pPr>
  </w:style>
  <w:style w:type="paragraph" w:customStyle="1" w:styleId="FooterFront">
    <w:name w:val="Footer Front"/>
    <w:basedOn w:val="Normal"/>
    <w:uiPriority w:val="99"/>
    <w:semiHidden/>
    <w:qFormat/>
    <w:rsid w:val="00D17EFB"/>
    <w:pPr>
      <w:tabs>
        <w:tab w:val="right" w:pos="7560"/>
      </w:tabs>
      <w:spacing w:before="120" w:after="0" w:line="240" w:lineRule="auto"/>
    </w:pPr>
    <w:rPr>
      <w:rFonts w:ascii="Calibri" w:eastAsia="Times New Roman" w:hAnsi="Calibri" w:cs="Times New Roman"/>
      <w:color w:val="7F7F7F"/>
      <w:sz w:val="18"/>
      <w:szCs w:val="18"/>
    </w:rPr>
  </w:style>
  <w:style w:type="paragraph" w:customStyle="1" w:styleId="DocTitle">
    <w:name w:val="DocTitle"/>
    <w:basedOn w:val="Normal"/>
    <w:uiPriority w:val="51"/>
    <w:semiHidden/>
    <w:qFormat/>
    <w:rsid w:val="00D17EFB"/>
    <w:pPr>
      <w:spacing w:before="360" w:after="240" w:line="240" w:lineRule="auto"/>
      <w:ind w:left="1701"/>
    </w:pPr>
    <w:rPr>
      <w:rFonts w:ascii="Calibri" w:hAnsi="Calibri" w:cs="Microsoft Sans Serif"/>
      <w:b/>
      <w:color w:val="06357A"/>
      <w:sz w:val="40"/>
    </w:rPr>
  </w:style>
  <w:style w:type="paragraph" w:customStyle="1" w:styleId="DocSubtitle">
    <w:name w:val="DocSubtitle"/>
    <w:basedOn w:val="Normal"/>
    <w:uiPriority w:val="51"/>
    <w:semiHidden/>
    <w:qFormat/>
    <w:rsid w:val="00D17EFB"/>
    <w:pPr>
      <w:spacing w:after="240" w:line="240" w:lineRule="auto"/>
      <w:ind w:left="1701"/>
    </w:pPr>
    <w:rPr>
      <w:rFonts w:ascii="Calibri" w:hAnsi="Calibri" w:cs="Microsoft Sans Serif"/>
      <w:b/>
      <w:color w:val="808080"/>
      <w:sz w:val="32"/>
    </w:rPr>
  </w:style>
  <w:style w:type="paragraph" w:customStyle="1" w:styleId="DocMarking">
    <w:name w:val="DocMarking"/>
    <w:basedOn w:val="DocSubtitle"/>
    <w:next w:val="Normal"/>
    <w:uiPriority w:val="51"/>
    <w:semiHidden/>
    <w:qFormat/>
    <w:rsid w:val="00D17EFB"/>
  </w:style>
  <w:style w:type="paragraph" w:customStyle="1" w:styleId="DocDate">
    <w:name w:val="DocDate"/>
    <w:basedOn w:val="Normal"/>
    <w:next w:val="Normal"/>
    <w:uiPriority w:val="51"/>
    <w:semiHidden/>
    <w:qFormat/>
    <w:rsid w:val="00D17EFB"/>
    <w:pPr>
      <w:spacing w:after="240" w:line="240" w:lineRule="auto"/>
      <w:ind w:left="1701"/>
    </w:pPr>
    <w:rPr>
      <w:rFonts w:ascii="Calibri" w:hAnsi="Calibri"/>
      <w:color w:val="808080"/>
      <w:sz w:val="28"/>
    </w:rPr>
  </w:style>
  <w:style w:type="paragraph" w:customStyle="1" w:styleId="Heading1NoNumb">
    <w:name w:val="Heading 1 No Numb"/>
    <w:basedOn w:val="Heading1"/>
    <w:next w:val="Normal"/>
    <w:uiPriority w:val="13"/>
    <w:qFormat/>
    <w:rsid w:val="00D17EFB"/>
    <w:pPr>
      <w:keepLines w:val="0"/>
      <w:spacing w:before="240" w:after="360" w:line="240" w:lineRule="auto"/>
    </w:pPr>
    <w:rPr>
      <w:rFonts w:ascii="Calibri" w:eastAsia="Times New Roman" w:hAnsi="Calibri" w:cs="Microsoft Sans Serif"/>
      <w:color w:val="06357A"/>
      <w:kern w:val="28"/>
      <w:sz w:val="32"/>
    </w:rPr>
  </w:style>
  <w:style w:type="paragraph" w:customStyle="1" w:styleId="Heading2NoNumb">
    <w:name w:val="Heading 2 No Numb"/>
    <w:basedOn w:val="Heading2"/>
    <w:next w:val="Normal"/>
    <w:uiPriority w:val="13"/>
    <w:qFormat/>
    <w:rsid w:val="00D17EFB"/>
    <w:pPr>
      <w:pBdr>
        <w:top w:val="none" w:sz="0" w:space="0" w:color="auto"/>
      </w:pBdr>
      <w:spacing w:before="240" w:after="240" w:line="240" w:lineRule="auto"/>
    </w:pPr>
    <w:rPr>
      <w:rFonts w:ascii="Calibri" w:eastAsia="Times New Roman" w:hAnsi="Calibri" w:cs="Microsoft Sans Serif"/>
      <w:bCs/>
      <w:color w:val="06357A"/>
      <w:szCs w:val="28"/>
    </w:rPr>
  </w:style>
  <w:style w:type="paragraph" w:customStyle="1" w:styleId="Heading3NoNumb">
    <w:name w:val="Heading 3 No Numb"/>
    <w:basedOn w:val="Heading3"/>
    <w:next w:val="Normal"/>
    <w:uiPriority w:val="13"/>
    <w:qFormat/>
    <w:rsid w:val="00D17EFB"/>
    <w:pPr>
      <w:keepLines w:val="0"/>
      <w:spacing w:before="240" w:after="240" w:line="240" w:lineRule="auto"/>
    </w:pPr>
    <w:rPr>
      <w:rFonts w:ascii="Calibri" w:eastAsia="Times New Roman" w:hAnsi="Calibri" w:cs="Microsoft Sans Serif"/>
      <w:color w:val="06357A"/>
      <w:sz w:val="24"/>
    </w:rPr>
  </w:style>
  <w:style w:type="paragraph" w:customStyle="1" w:styleId="LEExecSummHeading1">
    <w:name w:val="LE Exec Summ Heading 1"/>
    <w:basedOn w:val="Heading1NoNumb"/>
    <w:next w:val="Normal"/>
    <w:uiPriority w:val="12"/>
    <w:qFormat/>
    <w:rsid w:val="00D17EFB"/>
    <w:pPr>
      <w:jc w:val="center"/>
    </w:pPr>
  </w:style>
  <w:style w:type="paragraph" w:customStyle="1" w:styleId="NormalNoSpace">
    <w:name w:val="NormalNoSpace"/>
    <w:basedOn w:val="Normal"/>
    <w:qFormat/>
    <w:rsid w:val="00D17EFB"/>
    <w:pPr>
      <w:spacing w:after="0" w:line="240" w:lineRule="auto"/>
      <w:jc w:val="both"/>
    </w:pPr>
    <w:rPr>
      <w:rFonts w:ascii="Calibri" w:hAnsi="Calibri"/>
      <w:sz w:val="22"/>
    </w:rPr>
  </w:style>
  <w:style w:type="paragraph" w:customStyle="1" w:styleId="FigureTitle">
    <w:name w:val="Figure Title"/>
    <w:basedOn w:val="TableTitle"/>
    <w:next w:val="Normal"/>
    <w:uiPriority w:val="32"/>
    <w:qFormat/>
    <w:rsid w:val="00D17EFB"/>
    <w:pPr>
      <w:numPr>
        <w:numId w:val="37"/>
      </w:numPr>
      <w:spacing w:before="60" w:after="60"/>
    </w:pPr>
  </w:style>
  <w:style w:type="paragraph" w:customStyle="1" w:styleId="SidebarText">
    <w:name w:val="Sidebar Text"/>
    <w:basedOn w:val="Normal"/>
    <w:uiPriority w:val="23"/>
    <w:qFormat/>
    <w:rsid w:val="00D17EFB"/>
    <w:pPr>
      <w:spacing w:before="240" w:after="240" w:line="240" w:lineRule="auto"/>
      <w:jc w:val="both"/>
    </w:pPr>
    <w:rPr>
      <w:rFonts w:ascii="Calibri" w:hAnsi="Calibri"/>
      <w:sz w:val="22"/>
    </w:rPr>
  </w:style>
  <w:style w:type="paragraph" w:customStyle="1" w:styleId="SectionTitle">
    <w:name w:val="Section Title"/>
    <w:basedOn w:val="Normal"/>
    <w:next w:val="Heading1"/>
    <w:uiPriority w:val="17"/>
    <w:qFormat/>
    <w:rsid w:val="00D17EFB"/>
    <w:pPr>
      <w:pageBreakBefore/>
      <w:framePr w:w="8845" w:h="14855" w:hRule="exact" w:wrap="around" w:vAnchor="page" w:hAnchor="text" w:y="1"/>
      <w:shd w:val="solid" w:color="FFFFFF" w:themeColor="background1" w:fill="auto"/>
      <w:spacing w:before="240" w:after="0" w:line="240" w:lineRule="auto"/>
      <w:jc w:val="right"/>
    </w:pPr>
    <w:rPr>
      <w:rFonts w:ascii="Calibri" w:hAnsi="Calibri" w:cs="Microsoft Sans Serif"/>
      <w:b/>
      <w:caps/>
      <w:color w:val="06357A"/>
      <w:position w:val="-822"/>
      <w:sz w:val="40"/>
    </w:rPr>
  </w:style>
  <w:style w:type="paragraph" w:customStyle="1" w:styleId="References">
    <w:name w:val="References"/>
    <w:basedOn w:val="Heading1NoNumb"/>
    <w:next w:val="Heading2NoNumb"/>
    <w:uiPriority w:val="99"/>
    <w:semiHidden/>
    <w:qFormat/>
    <w:rsid w:val="00D17EFB"/>
  </w:style>
  <w:style w:type="paragraph" w:customStyle="1" w:styleId="AnnexHeading1">
    <w:name w:val="Annex Heading 1"/>
    <w:basedOn w:val="Heading1"/>
    <w:next w:val="Normal"/>
    <w:uiPriority w:val="19"/>
    <w:qFormat/>
    <w:rsid w:val="00D17EFB"/>
    <w:pPr>
      <w:keepLines w:val="0"/>
      <w:numPr>
        <w:numId w:val="34"/>
      </w:numPr>
      <w:spacing w:before="240" w:after="360" w:line="240" w:lineRule="auto"/>
    </w:pPr>
    <w:rPr>
      <w:rFonts w:ascii="Calibri" w:eastAsia="Times New Roman" w:hAnsi="Calibri" w:cs="Microsoft Sans Serif"/>
      <w:color w:val="06357A"/>
      <w:kern w:val="28"/>
      <w:sz w:val="32"/>
    </w:rPr>
  </w:style>
  <w:style w:type="paragraph" w:customStyle="1" w:styleId="AnnexHeading2">
    <w:name w:val="Annex Heading 2"/>
    <w:basedOn w:val="Heading2"/>
    <w:next w:val="Normal"/>
    <w:uiPriority w:val="19"/>
    <w:qFormat/>
    <w:rsid w:val="00D17EFB"/>
    <w:pPr>
      <w:numPr>
        <w:ilvl w:val="1"/>
        <w:numId w:val="34"/>
      </w:numPr>
      <w:pBdr>
        <w:top w:val="none" w:sz="0" w:space="0" w:color="auto"/>
      </w:pBdr>
      <w:spacing w:before="240" w:after="240" w:line="240" w:lineRule="auto"/>
    </w:pPr>
    <w:rPr>
      <w:rFonts w:ascii="Calibri" w:eastAsia="Times New Roman" w:hAnsi="Calibri" w:cs="Microsoft Sans Serif"/>
      <w:bCs/>
      <w:color w:val="06357A"/>
      <w:szCs w:val="28"/>
    </w:rPr>
  </w:style>
  <w:style w:type="paragraph" w:customStyle="1" w:styleId="AnnexHeading3">
    <w:name w:val="Annex Heading 3"/>
    <w:basedOn w:val="Heading3"/>
    <w:next w:val="Normal"/>
    <w:uiPriority w:val="19"/>
    <w:qFormat/>
    <w:rsid w:val="00D17EFB"/>
    <w:pPr>
      <w:keepLines w:val="0"/>
      <w:numPr>
        <w:ilvl w:val="2"/>
        <w:numId w:val="34"/>
      </w:numPr>
      <w:spacing w:before="240" w:after="240" w:line="240" w:lineRule="auto"/>
    </w:pPr>
    <w:rPr>
      <w:rFonts w:ascii="Calibri" w:eastAsia="Times New Roman" w:hAnsi="Calibri" w:cs="Microsoft Sans Serif"/>
      <w:color w:val="06357A"/>
      <w:sz w:val="24"/>
    </w:rPr>
  </w:style>
  <w:style w:type="paragraph" w:customStyle="1" w:styleId="AnnexHeading4">
    <w:name w:val="Annex Heading 4"/>
    <w:basedOn w:val="Heading4"/>
    <w:next w:val="Normal"/>
    <w:uiPriority w:val="19"/>
    <w:qFormat/>
    <w:rsid w:val="00D17EFB"/>
    <w:pPr>
      <w:spacing w:before="240" w:after="240" w:line="240" w:lineRule="auto"/>
    </w:pPr>
    <w:rPr>
      <w:rFonts w:ascii="Calibri" w:eastAsiaTheme="minorHAnsi" w:hAnsi="Calibri" w:cstheme="minorBidi"/>
      <w:b/>
      <w:iCs w:val="0"/>
      <w:color w:val="auto"/>
      <w:sz w:val="22"/>
      <w:szCs w:val="28"/>
    </w:rPr>
  </w:style>
  <w:style w:type="paragraph" w:customStyle="1" w:styleId="AddressBlock">
    <w:name w:val="Address Block"/>
    <w:basedOn w:val="Normal"/>
    <w:uiPriority w:val="99"/>
    <w:semiHidden/>
    <w:qFormat/>
    <w:rsid w:val="00D17EFB"/>
    <w:pPr>
      <w:spacing w:after="0" w:line="240" w:lineRule="auto"/>
      <w:jc w:val="right"/>
    </w:pPr>
    <w:rPr>
      <w:rFonts w:ascii="Calibri" w:hAnsi="Calibri"/>
      <w:noProof/>
      <w:color w:val="808080"/>
      <w:sz w:val="22"/>
    </w:rPr>
  </w:style>
  <w:style w:type="paragraph" w:customStyle="1" w:styleId="FooterTitle">
    <w:name w:val="FooterTitle"/>
    <w:basedOn w:val="HeaderTOCPage"/>
    <w:uiPriority w:val="99"/>
    <w:semiHidden/>
    <w:qFormat/>
    <w:rsid w:val="00D17EFB"/>
    <w:pPr>
      <w:spacing w:before="160" w:after="0"/>
      <w:jc w:val="left"/>
    </w:pPr>
    <w:rPr>
      <w:b/>
      <w:sz w:val="18"/>
    </w:rPr>
  </w:style>
  <w:style w:type="paragraph" w:customStyle="1" w:styleId="FooterPage">
    <w:name w:val="FooterPage"/>
    <w:basedOn w:val="Footer"/>
    <w:uiPriority w:val="99"/>
    <w:semiHidden/>
    <w:qFormat/>
    <w:rsid w:val="00D17EFB"/>
    <w:pPr>
      <w:jc w:val="right"/>
    </w:pPr>
    <w:rPr>
      <w:rFonts w:ascii="Calibri" w:hAnsi="Calibri"/>
      <w:b/>
      <w:color w:val="06357A"/>
      <w:sz w:val="18"/>
    </w:rPr>
  </w:style>
  <w:style w:type="numbering" w:customStyle="1" w:styleId="ListStyleHeadings">
    <w:name w:val="ListStyleHeadings"/>
    <w:uiPriority w:val="99"/>
    <w:rsid w:val="00D17EFB"/>
    <w:pPr>
      <w:numPr>
        <w:numId w:val="31"/>
      </w:numPr>
    </w:pPr>
  </w:style>
  <w:style w:type="numbering" w:customStyle="1" w:styleId="NumbListHeadings">
    <w:name w:val="NumbListHeadings"/>
    <w:uiPriority w:val="99"/>
    <w:rsid w:val="00D17EFB"/>
    <w:pPr>
      <w:numPr>
        <w:numId w:val="32"/>
      </w:numPr>
    </w:pPr>
  </w:style>
  <w:style w:type="paragraph" w:customStyle="1" w:styleId="AfterTitleTableSpace">
    <w:name w:val="AfterTitleTableSpace"/>
    <w:basedOn w:val="Normal"/>
    <w:uiPriority w:val="51"/>
    <w:semiHidden/>
    <w:qFormat/>
    <w:rsid w:val="00D17EFB"/>
    <w:pPr>
      <w:spacing w:before="240" w:after="240" w:line="240" w:lineRule="auto"/>
    </w:pPr>
    <w:rPr>
      <w:rFonts w:ascii="Calibri" w:hAnsi="Calibri" w:cs="Microsoft Sans Serif"/>
      <w:sz w:val="18"/>
    </w:rPr>
  </w:style>
  <w:style w:type="paragraph" w:customStyle="1" w:styleId="FooterBelowTable">
    <w:name w:val="FooterBelowTable"/>
    <w:basedOn w:val="FooterPage"/>
    <w:uiPriority w:val="99"/>
    <w:semiHidden/>
    <w:qFormat/>
    <w:rsid w:val="00D17EFB"/>
    <w:rPr>
      <w:sz w:val="2"/>
    </w:rPr>
  </w:style>
  <w:style w:type="paragraph" w:customStyle="1" w:styleId="HeaderTOCTitle">
    <w:name w:val="HeaderTOCTitle"/>
    <w:basedOn w:val="Header"/>
    <w:uiPriority w:val="99"/>
    <w:semiHidden/>
    <w:qFormat/>
    <w:rsid w:val="00D17EFB"/>
    <w:pPr>
      <w:spacing w:before="200"/>
    </w:pPr>
    <w:rPr>
      <w:rFonts w:ascii="Calibri" w:hAnsi="Calibri"/>
      <w:noProof/>
      <w:color w:val="06357A"/>
      <w:sz w:val="36"/>
      <w:szCs w:val="36"/>
    </w:rPr>
  </w:style>
  <w:style w:type="paragraph" w:customStyle="1" w:styleId="HeaderTOCPage">
    <w:name w:val="HeaderTOCPage"/>
    <w:basedOn w:val="Header"/>
    <w:uiPriority w:val="99"/>
    <w:semiHidden/>
    <w:qFormat/>
    <w:rsid w:val="00D17EFB"/>
    <w:pPr>
      <w:spacing w:after="60"/>
      <w:jc w:val="right"/>
    </w:pPr>
    <w:rPr>
      <w:rFonts w:ascii="Calibri" w:hAnsi="Calibri"/>
      <w:b w:val="0"/>
      <w:noProof/>
      <w:color w:val="06357A"/>
      <w:sz w:val="20"/>
      <w:szCs w:val="20"/>
    </w:rPr>
  </w:style>
  <w:style w:type="paragraph" w:customStyle="1" w:styleId="HeaderTOCSpacer">
    <w:name w:val="HeaderTOCSpacer"/>
    <w:basedOn w:val="Header"/>
    <w:uiPriority w:val="99"/>
    <w:semiHidden/>
    <w:qFormat/>
    <w:rsid w:val="00D17EFB"/>
    <w:pPr>
      <w:jc w:val="right"/>
    </w:pPr>
    <w:rPr>
      <w:rFonts w:ascii="Calibri" w:hAnsi="Calibri"/>
      <w:noProof/>
      <w:color w:val="06357A"/>
      <w:sz w:val="20"/>
    </w:rPr>
  </w:style>
  <w:style w:type="paragraph" w:customStyle="1" w:styleId="FooterTOCPage">
    <w:name w:val="FooterTOCPage"/>
    <w:basedOn w:val="FooterTitle"/>
    <w:uiPriority w:val="99"/>
    <w:semiHidden/>
    <w:rsid w:val="00D17EFB"/>
    <w:pPr>
      <w:spacing w:after="60"/>
      <w:jc w:val="right"/>
    </w:pPr>
    <w:rPr>
      <w:b w:val="0"/>
      <w:sz w:val="20"/>
    </w:rPr>
  </w:style>
  <w:style w:type="paragraph" w:customStyle="1" w:styleId="FooterTitleEven">
    <w:name w:val="FooterTitleEven"/>
    <w:basedOn w:val="FooterTitle"/>
    <w:uiPriority w:val="99"/>
    <w:semiHidden/>
    <w:qFormat/>
    <w:rsid w:val="00D17EFB"/>
    <w:pPr>
      <w:jc w:val="right"/>
    </w:pPr>
  </w:style>
  <w:style w:type="paragraph" w:customStyle="1" w:styleId="FooterEven">
    <w:name w:val="FooterEven"/>
    <w:basedOn w:val="Footer"/>
    <w:uiPriority w:val="99"/>
    <w:semiHidden/>
    <w:qFormat/>
    <w:rsid w:val="00D17EFB"/>
    <w:pPr>
      <w:jc w:val="right"/>
    </w:pPr>
    <w:rPr>
      <w:rFonts w:ascii="Calibri" w:hAnsi="Calibri"/>
      <w:b/>
      <w:color w:val="595959"/>
      <w:sz w:val="18"/>
    </w:rPr>
  </w:style>
  <w:style w:type="paragraph" w:customStyle="1" w:styleId="FooterPageEven">
    <w:name w:val="FooterPageEven"/>
    <w:basedOn w:val="FooterPage"/>
    <w:uiPriority w:val="99"/>
    <w:semiHidden/>
    <w:qFormat/>
    <w:rsid w:val="00D17EFB"/>
    <w:pPr>
      <w:jc w:val="left"/>
    </w:pPr>
  </w:style>
  <w:style w:type="paragraph" w:customStyle="1" w:styleId="HeaderEven">
    <w:name w:val="HeaderEven"/>
    <w:basedOn w:val="Header"/>
    <w:uiPriority w:val="99"/>
    <w:semiHidden/>
    <w:qFormat/>
    <w:rsid w:val="00D17EFB"/>
    <w:pPr>
      <w:spacing w:after="120"/>
    </w:pPr>
    <w:rPr>
      <w:rFonts w:ascii="Calibri" w:hAnsi="Calibri"/>
      <w:noProof/>
      <w:color w:val="06357A"/>
      <w:sz w:val="20"/>
    </w:rPr>
  </w:style>
  <w:style w:type="numbering" w:customStyle="1" w:styleId="NumbListBullets">
    <w:name w:val="NumbList Bullets"/>
    <w:uiPriority w:val="99"/>
    <w:rsid w:val="00D17EFB"/>
    <w:pPr>
      <w:numPr>
        <w:numId w:val="33"/>
      </w:numPr>
    </w:pPr>
  </w:style>
  <w:style w:type="numbering" w:customStyle="1" w:styleId="NumbListAnnex">
    <w:name w:val="NumbList Annex"/>
    <w:uiPriority w:val="99"/>
    <w:rsid w:val="00D17EFB"/>
    <w:pPr>
      <w:numPr>
        <w:numId w:val="34"/>
      </w:numPr>
    </w:pPr>
  </w:style>
  <w:style w:type="paragraph" w:customStyle="1" w:styleId="Heading1NoNumbNoTOC">
    <w:name w:val="Heading 1 NoNumb NoTOC"/>
    <w:basedOn w:val="Heading1NoNumb"/>
    <w:uiPriority w:val="99"/>
    <w:semiHidden/>
    <w:qFormat/>
    <w:rsid w:val="00D17EFB"/>
  </w:style>
  <w:style w:type="paragraph" w:customStyle="1" w:styleId="Heading2NoNumbNoTOC">
    <w:name w:val="Heading 2 NoNumb NoTOC"/>
    <w:basedOn w:val="Heading2NoNumb"/>
    <w:uiPriority w:val="99"/>
    <w:semiHidden/>
    <w:qFormat/>
    <w:rsid w:val="00D17EFB"/>
  </w:style>
  <w:style w:type="paragraph" w:customStyle="1" w:styleId="Heading3NoNumbNoTOC">
    <w:name w:val="Heading 3 NoNumb NoTOC"/>
    <w:basedOn w:val="Heading3NoNumb"/>
    <w:uiPriority w:val="99"/>
    <w:semiHidden/>
    <w:qFormat/>
    <w:rsid w:val="00D17EFB"/>
  </w:style>
  <w:style w:type="paragraph" w:customStyle="1" w:styleId="NormalIndent1">
    <w:name w:val="Normal Indent 1"/>
    <w:basedOn w:val="Normal"/>
    <w:uiPriority w:val="10"/>
    <w:qFormat/>
    <w:rsid w:val="00D17EFB"/>
    <w:pPr>
      <w:spacing w:before="240" w:after="240" w:line="240" w:lineRule="auto"/>
      <w:ind w:left="737"/>
      <w:jc w:val="both"/>
    </w:pPr>
    <w:rPr>
      <w:rFonts w:ascii="Calibri" w:hAnsi="Calibri"/>
      <w:sz w:val="22"/>
    </w:rPr>
  </w:style>
  <w:style w:type="paragraph" w:customStyle="1" w:styleId="NormalIndent2">
    <w:name w:val="Normal Indent 2"/>
    <w:basedOn w:val="Normal"/>
    <w:uiPriority w:val="10"/>
    <w:qFormat/>
    <w:rsid w:val="00D17EFB"/>
    <w:pPr>
      <w:spacing w:before="240" w:after="240" w:line="240" w:lineRule="auto"/>
      <w:ind w:left="1134"/>
      <w:jc w:val="both"/>
    </w:pPr>
    <w:rPr>
      <w:rFonts w:ascii="Calibri" w:hAnsi="Calibri"/>
      <w:sz w:val="22"/>
    </w:rPr>
  </w:style>
  <w:style w:type="paragraph" w:customStyle="1" w:styleId="NormalIndent3">
    <w:name w:val="Normal Indent 3"/>
    <w:basedOn w:val="NormalIndent2"/>
    <w:uiPriority w:val="10"/>
    <w:qFormat/>
    <w:rsid w:val="00D17EFB"/>
    <w:pPr>
      <w:ind w:left="1531"/>
    </w:pPr>
  </w:style>
  <w:style w:type="paragraph" w:customStyle="1" w:styleId="QuoteBoxLeft">
    <w:name w:val="Quote Box Left"/>
    <w:basedOn w:val="QuoteBoxRight"/>
    <w:next w:val="Normal"/>
    <w:uiPriority w:val="21"/>
    <w:qFormat/>
    <w:rsid w:val="00D17EFB"/>
    <w:pPr>
      <w:framePr w:wrap="around" w:xAlign="left"/>
    </w:pPr>
  </w:style>
  <w:style w:type="paragraph" w:customStyle="1" w:styleId="QuoteBoxRight">
    <w:name w:val="Quote Box Right"/>
    <w:basedOn w:val="Normal"/>
    <w:next w:val="Normal"/>
    <w:uiPriority w:val="21"/>
    <w:qFormat/>
    <w:rsid w:val="00D17EFB"/>
    <w:pPr>
      <w:framePr w:w="3175" w:hSpace="567" w:wrap="around" w:vAnchor="text" w:hAnchor="margin" w:xAlign="right" w:y="1"/>
      <w:spacing w:before="240" w:after="240" w:line="240" w:lineRule="auto"/>
      <w:jc w:val="both"/>
    </w:pPr>
    <w:rPr>
      <w:rFonts w:ascii="Calibri" w:hAnsi="Calibri"/>
      <w:i/>
      <w:color w:val="06357A"/>
      <w:sz w:val="22"/>
    </w:rPr>
  </w:style>
  <w:style w:type="paragraph" w:customStyle="1" w:styleId="SideBar">
    <w:name w:val="SideBar"/>
    <w:basedOn w:val="Normal"/>
    <w:uiPriority w:val="21"/>
    <w:qFormat/>
    <w:rsid w:val="00D17EFB"/>
    <w:pPr>
      <w:spacing w:before="240" w:after="240" w:line="240" w:lineRule="auto"/>
      <w:jc w:val="both"/>
    </w:pPr>
    <w:rPr>
      <w:rFonts w:ascii="Calibri" w:hAnsi="Calibri"/>
      <w:i/>
      <w:color w:val="06357A"/>
      <w:sz w:val="22"/>
    </w:rPr>
  </w:style>
  <w:style w:type="paragraph" w:customStyle="1" w:styleId="Box">
    <w:name w:val="Box"/>
    <w:basedOn w:val="Normal"/>
    <w:uiPriority w:val="34"/>
    <w:qFormat/>
    <w:rsid w:val="00D17EFB"/>
    <w:pPr>
      <w:shd w:val="clear" w:color="auto" w:fill="D9D9D9"/>
      <w:spacing w:before="240" w:after="240" w:line="240" w:lineRule="auto"/>
      <w:jc w:val="both"/>
    </w:pPr>
    <w:rPr>
      <w:rFonts w:ascii="Calibri" w:hAnsi="Calibri"/>
      <w:sz w:val="22"/>
    </w:rPr>
  </w:style>
  <w:style w:type="table" w:customStyle="1" w:styleId="TableGrid1">
    <w:name w:val="Table Grid1"/>
    <w:basedOn w:val="TableNormal"/>
    <w:next w:val="TableGrid"/>
    <w:uiPriority w:val="59"/>
    <w:locked/>
    <w:rsid w:val="00D17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Table1">
    <w:name w:val="NumbListTable1"/>
    <w:uiPriority w:val="99"/>
    <w:rsid w:val="00D17EFB"/>
  </w:style>
  <w:style w:type="numbering" w:customStyle="1" w:styleId="NumblistFigure">
    <w:name w:val="Numblist Figure"/>
    <w:uiPriority w:val="99"/>
    <w:rsid w:val="00D17EFB"/>
    <w:pPr>
      <w:numPr>
        <w:numId w:val="35"/>
      </w:numPr>
    </w:pPr>
  </w:style>
  <w:style w:type="numbering" w:customStyle="1" w:styleId="NumblistBox0">
    <w:name w:val="Numblist Box"/>
    <w:uiPriority w:val="99"/>
    <w:rsid w:val="00D17EFB"/>
    <w:pPr>
      <w:numPr>
        <w:numId w:val="36"/>
      </w:numPr>
    </w:pPr>
  </w:style>
  <w:style w:type="paragraph" w:styleId="Bibliography">
    <w:name w:val="Bibliography"/>
    <w:basedOn w:val="Normal"/>
    <w:next w:val="Normal"/>
    <w:uiPriority w:val="39"/>
    <w:semiHidden/>
    <w:unhideWhenUsed/>
    <w:rsid w:val="00D17EFB"/>
    <w:pPr>
      <w:spacing w:before="240" w:after="240" w:line="240" w:lineRule="auto"/>
      <w:jc w:val="both"/>
    </w:pPr>
    <w:rPr>
      <w:rFonts w:ascii="Calibri" w:hAnsi="Calibri"/>
      <w:sz w:val="22"/>
    </w:rPr>
  </w:style>
  <w:style w:type="paragraph" w:styleId="BodyText2">
    <w:name w:val="Body Text 2"/>
    <w:basedOn w:val="Normal"/>
    <w:link w:val="BodyText2Char"/>
    <w:uiPriority w:val="99"/>
    <w:semiHidden/>
    <w:unhideWhenUsed/>
    <w:rsid w:val="00D17EFB"/>
    <w:pPr>
      <w:spacing w:before="240" w:after="120" w:line="480" w:lineRule="auto"/>
      <w:jc w:val="both"/>
    </w:pPr>
    <w:rPr>
      <w:rFonts w:ascii="Calibri" w:hAnsi="Calibri"/>
      <w:sz w:val="22"/>
    </w:rPr>
  </w:style>
  <w:style w:type="character" w:customStyle="1" w:styleId="BodyText2Char">
    <w:name w:val="Body Text 2 Char"/>
    <w:basedOn w:val="DefaultParagraphFont"/>
    <w:link w:val="BodyText2"/>
    <w:uiPriority w:val="99"/>
    <w:semiHidden/>
    <w:rsid w:val="00D17EFB"/>
    <w:rPr>
      <w:rFonts w:ascii="Calibri" w:hAnsi="Calibri"/>
    </w:rPr>
  </w:style>
  <w:style w:type="paragraph" w:styleId="BodyTextFirstIndent">
    <w:name w:val="Body Text First Indent"/>
    <w:basedOn w:val="BodyText"/>
    <w:link w:val="BodyTextFirstIndentChar"/>
    <w:uiPriority w:val="99"/>
    <w:semiHidden/>
    <w:rsid w:val="00D17EFB"/>
    <w:pPr>
      <w:keepLines w:val="0"/>
      <w:spacing w:before="240" w:after="200"/>
      <w:ind w:firstLine="360"/>
    </w:pPr>
    <w:rPr>
      <w:rFonts w:ascii="Calibri" w:eastAsiaTheme="minorHAnsi" w:hAnsi="Calibri" w:cstheme="minorBidi"/>
      <w:sz w:val="22"/>
      <w:szCs w:val="22"/>
    </w:rPr>
  </w:style>
  <w:style w:type="character" w:customStyle="1" w:styleId="BodyTextFirstIndentChar">
    <w:name w:val="Body Text First Indent Char"/>
    <w:basedOn w:val="BodyTextChar"/>
    <w:link w:val="BodyTextFirstIndent"/>
    <w:uiPriority w:val="99"/>
    <w:semiHidden/>
    <w:rsid w:val="00D17EFB"/>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semiHidden/>
    <w:unhideWhenUsed/>
    <w:rsid w:val="00D17EFB"/>
    <w:pPr>
      <w:keepLines w:val="0"/>
      <w:spacing w:before="240" w:after="200"/>
      <w:ind w:left="360" w:firstLine="360"/>
    </w:pPr>
    <w:rPr>
      <w:rFonts w:ascii="Calibri" w:eastAsiaTheme="minorHAnsi" w:hAnsi="Calibri" w:cstheme="minorBidi"/>
      <w:sz w:val="22"/>
      <w:szCs w:val="22"/>
    </w:rPr>
  </w:style>
  <w:style w:type="character" w:customStyle="1" w:styleId="BodyTextFirstIndent2Char">
    <w:name w:val="Body Text First Indent 2 Char"/>
    <w:basedOn w:val="BodyTextIndentChar"/>
    <w:link w:val="BodyTextFirstIndent2"/>
    <w:uiPriority w:val="99"/>
    <w:semiHidden/>
    <w:rsid w:val="00D17EFB"/>
    <w:rPr>
      <w:rFonts w:ascii="Calibri" w:eastAsia="Times New Roman" w:hAnsi="Calibri" w:cs="Times New Roman"/>
      <w:sz w:val="20"/>
      <w:szCs w:val="20"/>
    </w:rPr>
  </w:style>
  <w:style w:type="paragraph" w:styleId="BodyTextIndent2">
    <w:name w:val="Body Text Indent 2"/>
    <w:basedOn w:val="Normal"/>
    <w:link w:val="BodyTextIndent2Char"/>
    <w:uiPriority w:val="99"/>
    <w:semiHidden/>
    <w:unhideWhenUsed/>
    <w:rsid w:val="00D17EFB"/>
    <w:pPr>
      <w:spacing w:before="240" w:after="120" w:line="480" w:lineRule="auto"/>
      <w:ind w:left="283"/>
      <w:jc w:val="both"/>
    </w:pPr>
    <w:rPr>
      <w:rFonts w:ascii="Calibri" w:hAnsi="Calibri"/>
      <w:sz w:val="22"/>
    </w:rPr>
  </w:style>
  <w:style w:type="character" w:customStyle="1" w:styleId="BodyTextIndent2Char">
    <w:name w:val="Body Text Indent 2 Char"/>
    <w:basedOn w:val="DefaultParagraphFont"/>
    <w:link w:val="BodyTextIndent2"/>
    <w:uiPriority w:val="99"/>
    <w:semiHidden/>
    <w:rsid w:val="00D17EFB"/>
    <w:rPr>
      <w:rFonts w:ascii="Calibri" w:hAnsi="Calibri"/>
    </w:rPr>
  </w:style>
  <w:style w:type="paragraph" w:styleId="DocumentMap">
    <w:name w:val="Document Map"/>
    <w:basedOn w:val="Normal"/>
    <w:link w:val="DocumentMapChar"/>
    <w:uiPriority w:val="99"/>
    <w:semiHidden/>
    <w:unhideWhenUsed/>
    <w:rsid w:val="00D17EFB"/>
    <w:pPr>
      <w:spacing w:before="240"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7EFB"/>
    <w:rPr>
      <w:rFonts w:ascii="Tahoma" w:hAnsi="Tahoma" w:cs="Tahoma"/>
      <w:sz w:val="16"/>
      <w:szCs w:val="16"/>
    </w:rPr>
  </w:style>
  <w:style w:type="paragraph" w:styleId="E-mailSignature">
    <w:name w:val="E-mail Signature"/>
    <w:basedOn w:val="Normal"/>
    <w:link w:val="E-mailSignatureChar"/>
    <w:uiPriority w:val="99"/>
    <w:semiHidden/>
    <w:unhideWhenUsed/>
    <w:rsid w:val="00D17EFB"/>
    <w:pPr>
      <w:spacing w:before="240" w:after="0" w:line="240" w:lineRule="auto"/>
      <w:jc w:val="both"/>
    </w:pPr>
    <w:rPr>
      <w:rFonts w:ascii="Calibri" w:hAnsi="Calibri"/>
      <w:sz w:val="22"/>
    </w:rPr>
  </w:style>
  <w:style w:type="character" w:customStyle="1" w:styleId="E-mailSignatureChar">
    <w:name w:val="E-mail Signature Char"/>
    <w:basedOn w:val="DefaultParagraphFont"/>
    <w:link w:val="E-mailSignature"/>
    <w:uiPriority w:val="99"/>
    <w:semiHidden/>
    <w:rsid w:val="00D17EFB"/>
    <w:rPr>
      <w:rFonts w:ascii="Calibri" w:hAnsi="Calibri"/>
    </w:rPr>
  </w:style>
  <w:style w:type="paragraph" w:styleId="EnvelopeAddress">
    <w:name w:val="envelope address"/>
    <w:basedOn w:val="Normal"/>
    <w:uiPriority w:val="99"/>
    <w:semiHidden/>
    <w:unhideWhenUsed/>
    <w:rsid w:val="00D17EFB"/>
    <w:pPr>
      <w:framePr w:w="7920" w:h="1980" w:hRule="exact" w:hSpace="180" w:wrap="auto" w:hAnchor="page" w:xAlign="center" w:yAlign="bottom"/>
      <w:spacing w:before="240" w:after="0" w:line="240" w:lineRule="auto"/>
      <w:ind w:left="2880"/>
      <w:jc w:val="both"/>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D17EFB"/>
    <w:pPr>
      <w:spacing w:before="240" w:after="0" w:line="240" w:lineRule="auto"/>
      <w:jc w:val="both"/>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D17EFB"/>
    <w:pPr>
      <w:spacing w:before="240" w:after="0" w:line="240" w:lineRule="auto"/>
      <w:jc w:val="both"/>
    </w:pPr>
    <w:rPr>
      <w:rFonts w:ascii="Calibri" w:hAnsi="Calibri"/>
      <w:i/>
      <w:iCs/>
      <w:sz w:val="22"/>
    </w:rPr>
  </w:style>
  <w:style w:type="character" w:customStyle="1" w:styleId="HTMLAddressChar">
    <w:name w:val="HTML Address Char"/>
    <w:basedOn w:val="DefaultParagraphFont"/>
    <w:link w:val="HTMLAddress"/>
    <w:uiPriority w:val="99"/>
    <w:semiHidden/>
    <w:rsid w:val="00D17EFB"/>
    <w:rPr>
      <w:rFonts w:ascii="Calibri" w:hAnsi="Calibri"/>
      <w:i/>
      <w:iCs/>
    </w:rPr>
  </w:style>
  <w:style w:type="paragraph" w:styleId="HTMLPreformatted">
    <w:name w:val="HTML Preformatted"/>
    <w:basedOn w:val="Normal"/>
    <w:link w:val="HTMLPreformattedChar"/>
    <w:uiPriority w:val="99"/>
    <w:semiHidden/>
    <w:unhideWhenUsed/>
    <w:rsid w:val="00D17EFB"/>
    <w:pPr>
      <w:spacing w:before="240" w:after="0" w:line="240" w:lineRule="auto"/>
      <w:jc w:val="both"/>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17EFB"/>
    <w:rPr>
      <w:rFonts w:ascii="Consolas" w:hAnsi="Consolas"/>
      <w:sz w:val="20"/>
      <w:szCs w:val="20"/>
    </w:rPr>
  </w:style>
  <w:style w:type="paragraph" w:styleId="Index1">
    <w:name w:val="index 1"/>
    <w:basedOn w:val="Normal"/>
    <w:next w:val="Normal"/>
    <w:autoRedefine/>
    <w:uiPriority w:val="99"/>
    <w:semiHidden/>
    <w:unhideWhenUsed/>
    <w:rsid w:val="00D17EFB"/>
    <w:pPr>
      <w:spacing w:before="240" w:after="0" w:line="240" w:lineRule="auto"/>
      <w:ind w:left="220" w:hanging="220"/>
      <w:jc w:val="both"/>
    </w:pPr>
    <w:rPr>
      <w:rFonts w:ascii="Calibri" w:hAnsi="Calibri"/>
      <w:sz w:val="22"/>
    </w:rPr>
  </w:style>
  <w:style w:type="paragraph" w:styleId="Index2">
    <w:name w:val="index 2"/>
    <w:basedOn w:val="Normal"/>
    <w:next w:val="Normal"/>
    <w:autoRedefine/>
    <w:uiPriority w:val="99"/>
    <w:semiHidden/>
    <w:unhideWhenUsed/>
    <w:rsid w:val="00D17EFB"/>
    <w:pPr>
      <w:spacing w:before="240" w:after="0" w:line="240" w:lineRule="auto"/>
      <w:ind w:left="440" w:hanging="220"/>
      <w:jc w:val="both"/>
    </w:pPr>
    <w:rPr>
      <w:rFonts w:ascii="Calibri" w:hAnsi="Calibri"/>
      <w:sz w:val="22"/>
    </w:rPr>
  </w:style>
  <w:style w:type="paragraph" w:styleId="Index3">
    <w:name w:val="index 3"/>
    <w:basedOn w:val="Normal"/>
    <w:next w:val="Normal"/>
    <w:autoRedefine/>
    <w:uiPriority w:val="99"/>
    <w:semiHidden/>
    <w:unhideWhenUsed/>
    <w:rsid w:val="00D17EFB"/>
    <w:pPr>
      <w:spacing w:before="240" w:after="0" w:line="240" w:lineRule="auto"/>
      <w:ind w:left="660" w:hanging="220"/>
      <w:jc w:val="both"/>
    </w:pPr>
    <w:rPr>
      <w:rFonts w:ascii="Calibri" w:hAnsi="Calibri"/>
      <w:sz w:val="22"/>
    </w:rPr>
  </w:style>
  <w:style w:type="paragraph" w:styleId="Index4">
    <w:name w:val="index 4"/>
    <w:basedOn w:val="Normal"/>
    <w:next w:val="Normal"/>
    <w:autoRedefine/>
    <w:uiPriority w:val="99"/>
    <w:semiHidden/>
    <w:unhideWhenUsed/>
    <w:rsid w:val="00D17EFB"/>
    <w:pPr>
      <w:spacing w:before="240" w:after="0" w:line="240" w:lineRule="auto"/>
      <w:ind w:left="880" w:hanging="220"/>
      <w:jc w:val="both"/>
    </w:pPr>
    <w:rPr>
      <w:rFonts w:ascii="Calibri" w:hAnsi="Calibri"/>
      <w:sz w:val="22"/>
    </w:rPr>
  </w:style>
  <w:style w:type="paragraph" w:styleId="Index5">
    <w:name w:val="index 5"/>
    <w:basedOn w:val="Normal"/>
    <w:next w:val="Normal"/>
    <w:autoRedefine/>
    <w:uiPriority w:val="99"/>
    <w:semiHidden/>
    <w:unhideWhenUsed/>
    <w:rsid w:val="00D17EFB"/>
    <w:pPr>
      <w:spacing w:before="240" w:after="0" w:line="240" w:lineRule="auto"/>
      <w:ind w:left="1100" w:hanging="220"/>
      <w:jc w:val="both"/>
    </w:pPr>
    <w:rPr>
      <w:rFonts w:ascii="Calibri" w:hAnsi="Calibri"/>
      <w:sz w:val="22"/>
    </w:rPr>
  </w:style>
  <w:style w:type="paragraph" w:styleId="Index6">
    <w:name w:val="index 6"/>
    <w:basedOn w:val="Normal"/>
    <w:next w:val="Normal"/>
    <w:autoRedefine/>
    <w:uiPriority w:val="99"/>
    <w:semiHidden/>
    <w:unhideWhenUsed/>
    <w:rsid w:val="00D17EFB"/>
    <w:pPr>
      <w:spacing w:before="240" w:after="0" w:line="240" w:lineRule="auto"/>
      <w:ind w:left="1320" w:hanging="220"/>
      <w:jc w:val="both"/>
    </w:pPr>
    <w:rPr>
      <w:rFonts w:ascii="Calibri" w:hAnsi="Calibri"/>
      <w:sz w:val="22"/>
    </w:rPr>
  </w:style>
  <w:style w:type="paragraph" w:styleId="Index7">
    <w:name w:val="index 7"/>
    <w:basedOn w:val="Normal"/>
    <w:next w:val="Normal"/>
    <w:autoRedefine/>
    <w:uiPriority w:val="99"/>
    <w:semiHidden/>
    <w:unhideWhenUsed/>
    <w:rsid w:val="00D17EFB"/>
    <w:pPr>
      <w:spacing w:before="240" w:after="0" w:line="240" w:lineRule="auto"/>
      <w:ind w:left="1540" w:hanging="220"/>
      <w:jc w:val="both"/>
    </w:pPr>
    <w:rPr>
      <w:rFonts w:ascii="Calibri" w:hAnsi="Calibri"/>
      <w:sz w:val="22"/>
    </w:rPr>
  </w:style>
  <w:style w:type="paragraph" w:styleId="Index8">
    <w:name w:val="index 8"/>
    <w:basedOn w:val="Normal"/>
    <w:next w:val="Normal"/>
    <w:autoRedefine/>
    <w:uiPriority w:val="99"/>
    <w:semiHidden/>
    <w:unhideWhenUsed/>
    <w:rsid w:val="00D17EFB"/>
    <w:pPr>
      <w:spacing w:before="240" w:after="0" w:line="240" w:lineRule="auto"/>
      <w:ind w:left="1760" w:hanging="220"/>
      <w:jc w:val="both"/>
    </w:pPr>
    <w:rPr>
      <w:rFonts w:ascii="Calibri" w:hAnsi="Calibri"/>
      <w:sz w:val="22"/>
    </w:rPr>
  </w:style>
  <w:style w:type="paragraph" w:styleId="Index9">
    <w:name w:val="index 9"/>
    <w:basedOn w:val="Normal"/>
    <w:next w:val="Normal"/>
    <w:autoRedefine/>
    <w:uiPriority w:val="99"/>
    <w:semiHidden/>
    <w:unhideWhenUsed/>
    <w:rsid w:val="00D17EFB"/>
    <w:pPr>
      <w:spacing w:before="240" w:after="0" w:line="240" w:lineRule="auto"/>
      <w:ind w:left="1980" w:hanging="220"/>
      <w:jc w:val="both"/>
    </w:pPr>
    <w:rPr>
      <w:rFonts w:ascii="Calibri" w:hAnsi="Calibri"/>
      <w:sz w:val="22"/>
    </w:rPr>
  </w:style>
  <w:style w:type="paragraph" w:styleId="IndexHeading">
    <w:name w:val="index heading"/>
    <w:basedOn w:val="Normal"/>
    <w:next w:val="Index1"/>
    <w:uiPriority w:val="99"/>
    <w:semiHidden/>
    <w:unhideWhenUsed/>
    <w:rsid w:val="00D17EFB"/>
    <w:pPr>
      <w:spacing w:before="240" w:after="240" w:line="240" w:lineRule="auto"/>
      <w:jc w:val="both"/>
    </w:pPr>
    <w:rPr>
      <w:rFonts w:asciiTheme="majorHAnsi" w:eastAsiaTheme="majorEastAsia" w:hAnsiTheme="majorHAnsi" w:cstheme="majorBidi"/>
      <w:b/>
      <w:bCs/>
      <w:sz w:val="22"/>
    </w:rPr>
  </w:style>
  <w:style w:type="paragraph" w:styleId="IntenseQuote">
    <w:name w:val="Intense Quote"/>
    <w:basedOn w:val="Normal"/>
    <w:next w:val="Normal"/>
    <w:link w:val="IntenseQuoteChar"/>
    <w:uiPriority w:val="99"/>
    <w:qFormat/>
    <w:rsid w:val="00D17EFB"/>
    <w:pPr>
      <w:pBdr>
        <w:bottom w:val="single" w:sz="4" w:space="4" w:color="FF3246" w:themeColor="accent1"/>
      </w:pBdr>
      <w:spacing w:before="200" w:after="280" w:line="240" w:lineRule="auto"/>
      <w:ind w:left="936" w:right="936"/>
      <w:jc w:val="both"/>
    </w:pPr>
    <w:rPr>
      <w:rFonts w:ascii="Calibri" w:hAnsi="Calibri"/>
      <w:b/>
      <w:bCs/>
      <w:i/>
      <w:iCs/>
      <w:color w:val="FF3246" w:themeColor="accent1"/>
      <w:sz w:val="22"/>
    </w:rPr>
  </w:style>
  <w:style w:type="character" w:customStyle="1" w:styleId="IntenseQuoteChar">
    <w:name w:val="Intense Quote Char"/>
    <w:basedOn w:val="DefaultParagraphFont"/>
    <w:link w:val="IntenseQuote"/>
    <w:uiPriority w:val="99"/>
    <w:rsid w:val="00D17EFB"/>
    <w:rPr>
      <w:rFonts w:ascii="Calibri" w:hAnsi="Calibri"/>
      <w:b/>
      <w:bCs/>
      <w:i/>
      <w:iCs/>
      <w:color w:val="FF3246" w:themeColor="accent1"/>
    </w:rPr>
  </w:style>
  <w:style w:type="paragraph" w:styleId="List">
    <w:name w:val="List"/>
    <w:basedOn w:val="Normal"/>
    <w:uiPriority w:val="99"/>
    <w:semiHidden/>
    <w:unhideWhenUsed/>
    <w:rsid w:val="00D17EFB"/>
    <w:pPr>
      <w:spacing w:before="240" w:after="240" w:line="240" w:lineRule="auto"/>
      <w:ind w:left="283" w:hanging="283"/>
      <w:contextualSpacing/>
      <w:jc w:val="both"/>
    </w:pPr>
    <w:rPr>
      <w:rFonts w:ascii="Calibri" w:hAnsi="Calibri"/>
      <w:sz w:val="22"/>
    </w:rPr>
  </w:style>
  <w:style w:type="paragraph" w:styleId="List2">
    <w:name w:val="List 2"/>
    <w:basedOn w:val="Normal"/>
    <w:uiPriority w:val="99"/>
    <w:semiHidden/>
    <w:unhideWhenUsed/>
    <w:rsid w:val="00D17EFB"/>
    <w:pPr>
      <w:spacing w:before="240" w:after="240" w:line="240" w:lineRule="auto"/>
      <w:ind w:left="566" w:hanging="283"/>
      <w:contextualSpacing/>
      <w:jc w:val="both"/>
    </w:pPr>
    <w:rPr>
      <w:rFonts w:ascii="Calibri" w:hAnsi="Calibri"/>
      <w:sz w:val="22"/>
    </w:rPr>
  </w:style>
  <w:style w:type="paragraph" w:styleId="List3">
    <w:name w:val="List 3"/>
    <w:basedOn w:val="Normal"/>
    <w:uiPriority w:val="99"/>
    <w:semiHidden/>
    <w:unhideWhenUsed/>
    <w:rsid w:val="00D17EFB"/>
    <w:pPr>
      <w:spacing w:before="240" w:after="240" w:line="240" w:lineRule="auto"/>
      <w:ind w:left="849" w:hanging="283"/>
      <w:contextualSpacing/>
      <w:jc w:val="both"/>
    </w:pPr>
    <w:rPr>
      <w:rFonts w:ascii="Calibri" w:hAnsi="Calibri"/>
      <w:sz w:val="22"/>
    </w:rPr>
  </w:style>
  <w:style w:type="paragraph" w:styleId="List4">
    <w:name w:val="List 4"/>
    <w:basedOn w:val="Normal"/>
    <w:uiPriority w:val="99"/>
    <w:semiHidden/>
    <w:rsid w:val="00D17EFB"/>
    <w:pPr>
      <w:spacing w:before="240" w:after="240" w:line="240" w:lineRule="auto"/>
      <w:ind w:left="1132" w:hanging="283"/>
      <w:contextualSpacing/>
      <w:jc w:val="both"/>
    </w:pPr>
    <w:rPr>
      <w:rFonts w:ascii="Calibri" w:hAnsi="Calibri"/>
      <w:sz w:val="22"/>
    </w:rPr>
  </w:style>
  <w:style w:type="paragraph" w:styleId="List5">
    <w:name w:val="List 5"/>
    <w:basedOn w:val="Normal"/>
    <w:uiPriority w:val="99"/>
    <w:semiHidden/>
    <w:rsid w:val="00D17EFB"/>
    <w:pPr>
      <w:spacing w:before="240" w:after="240" w:line="240" w:lineRule="auto"/>
      <w:ind w:left="1415" w:hanging="283"/>
      <w:contextualSpacing/>
      <w:jc w:val="both"/>
    </w:pPr>
    <w:rPr>
      <w:rFonts w:ascii="Calibri" w:hAnsi="Calibri"/>
      <w:sz w:val="22"/>
    </w:rPr>
  </w:style>
  <w:style w:type="paragraph" w:styleId="ListContinue">
    <w:name w:val="List Continue"/>
    <w:basedOn w:val="Normal"/>
    <w:uiPriority w:val="99"/>
    <w:semiHidden/>
    <w:unhideWhenUsed/>
    <w:rsid w:val="00D17EFB"/>
    <w:pPr>
      <w:spacing w:before="240" w:after="120" w:line="240" w:lineRule="auto"/>
      <w:ind w:left="283"/>
      <w:contextualSpacing/>
      <w:jc w:val="both"/>
    </w:pPr>
    <w:rPr>
      <w:rFonts w:ascii="Calibri" w:hAnsi="Calibri"/>
      <w:sz w:val="22"/>
    </w:rPr>
  </w:style>
  <w:style w:type="paragraph" w:styleId="ListContinue2">
    <w:name w:val="List Continue 2"/>
    <w:basedOn w:val="Normal"/>
    <w:uiPriority w:val="99"/>
    <w:semiHidden/>
    <w:unhideWhenUsed/>
    <w:rsid w:val="00D17EFB"/>
    <w:pPr>
      <w:spacing w:before="240" w:after="120" w:line="240" w:lineRule="auto"/>
      <w:ind w:left="566"/>
      <w:contextualSpacing/>
      <w:jc w:val="both"/>
    </w:pPr>
    <w:rPr>
      <w:rFonts w:ascii="Calibri" w:hAnsi="Calibri"/>
      <w:sz w:val="22"/>
    </w:rPr>
  </w:style>
  <w:style w:type="paragraph" w:styleId="ListContinue3">
    <w:name w:val="List Continue 3"/>
    <w:basedOn w:val="Normal"/>
    <w:uiPriority w:val="99"/>
    <w:semiHidden/>
    <w:unhideWhenUsed/>
    <w:rsid w:val="00D17EFB"/>
    <w:pPr>
      <w:spacing w:before="240" w:after="120" w:line="240" w:lineRule="auto"/>
      <w:ind w:left="849"/>
      <w:contextualSpacing/>
      <w:jc w:val="both"/>
    </w:pPr>
    <w:rPr>
      <w:rFonts w:ascii="Calibri" w:hAnsi="Calibri"/>
      <w:sz w:val="22"/>
    </w:rPr>
  </w:style>
  <w:style w:type="paragraph" w:styleId="ListContinue4">
    <w:name w:val="List Continue 4"/>
    <w:basedOn w:val="Normal"/>
    <w:uiPriority w:val="99"/>
    <w:semiHidden/>
    <w:unhideWhenUsed/>
    <w:rsid w:val="00D17EFB"/>
    <w:pPr>
      <w:spacing w:before="240" w:after="120" w:line="240" w:lineRule="auto"/>
      <w:ind w:left="1132"/>
      <w:contextualSpacing/>
      <w:jc w:val="both"/>
    </w:pPr>
    <w:rPr>
      <w:rFonts w:ascii="Calibri" w:hAnsi="Calibri"/>
      <w:sz w:val="22"/>
    </w:rPr>
  </w:style>
  <w:style w:type="paragraph" w:styleId="ListContinue5">
    <w:name w:val="List Continue 5"/>
    <w:basedOn w:val="Normal"/>
    <w:uiPriority w:val="99"/>
    <w:semiHidden/>
    <w:unhideWhenUsed/>
    <w:rsid w:val="00D17EFB"/>
    <w:pPr>
      <w:spacing w:before="240" w:after="120" w:line="240" w:lineRule="auto"/>
      <w:ind w:left="1415"/>
      <w:contextualSpacing/>
      <w:jc w:val="both"/>
    </w:pPr>
    <w:rPr>
      <w:rFonts w:ascii="Calibri" w:hAnsi="Calibri"/>
      <w:sz w:val="22"/>
    </w:rPr>
  </w:style>
  <w:style w:type="paragraph" w:styleId="ListNumber3">
    <w:name w:val="List Number 3"/>
    <w:basedOn w:val="Normal"/>
    <w:uiPriority w:val="99"/>
    <w:semiHidden/>
    <w:unhideWhenUsed/>
    <w:rsid w:val="00D17EFB"/>
    <w:pPr>
      <w:tabs>
        <w:tab w:val="num" w:pos="926"/>
      </w:tabs>
      <w:spacing w:before="240" w:after="240" w:line="240" w:lineRule="auto"/>
      <w:ind w:left="926" w:hanging="360"/>
      <w:contextualSpacing/>
      <w:jc w:val="both"/>
    </w:pPr>
    <w:rPr>
      <w:rFonts w:ascii="Calibri" w:hAnsi="Calibri"/>
      <w:sz w:val="22"/>
    </w:rPr>
  </w:style>
  <w:style w:type="paragraph" w:styleId="ListNumber4">
    <w:name w:val="List Number 4"/>
    <w:basedOn w:val="Normal"/>
    <w:uiPriority w:val="99"/>
    <w:semiHidden/>
    <w:unhideWhenUsed/>
    <w:rsid w:val="00D17EFB"/>
    <w:pPr>
      <w:tabs>
        <w:tab w:val="num" w:pos="1209"/>
      </w:tabs>
      <w:spacing w:before="240" w:after="240" w:line="240" w:lineRule="auto"/>
      <w:ind w:left="1209" w:hanging="360"/>
      <w:contextualSpacing/>
      <w:jc w:val="both"/>
    </w:pPr>
    <w:rPr>
      <w:rFonts w:ascii="Calibri" w:hAnsi="Calibri"/>
      <w:sz w:val="22"/>
    </w:rPr>
  </w:style>
  <w:style w:type="paragraph" w:styleId="MacroText">
    <w:name w:val="macro"/>
    <w:link w:val="MacroTextChar"/>
    <w:uiPriority w:val="99"/>
    <w:semiHidden/>
    <w:unhideWhenUsed/>
    <w:rsid w:val="00D17EFB"/>
    <w:pPr>
      <w:tabs>
        <w:tab w:val="left" w:pos="480"/>
        <w:tab w:val="left" w:pos="960"/>
        <w:tab w:val="left" w:pos="1440"/>
        <w:tab w:val="left" w:pos="1920"/>
        <w:tab w:val="left" w:pos="2400"/>
        <w:tab w:val="left" w:pos="2880"/>
        <w:tab w:val="left" w:pos="3360"/>
        <w:tab w:val="left" w:pos="3840"/>
        <w:tab w:val="left" w:pos="4320"/>
      </w:tabs>
      <w:spacing w:after="0" w:line="276" w:lineRule="auto"/>
      <w:jc w:val="both"/>
    </w:pPr>
    <w:rPr>
      <w:rFonts w:ascii="Consolas" w:hAnsi="Consolas"/>
      <w:sz w:val="20"/>
      <w:szCs w:val="20"/>
    </w:rPr>
  </w:style>
  <w:style w:type="character" w:customStyle="1" w:styleId="MacroTextChar">
    <w:name w:val="Macro Text Char"/>
    <w:basedOn w:val="DefaultParagraphFont"/>
    <w:link w:val="MacroText"/>
    <w:uiPriority w:val="99"/>
    <w:semiHidden/>
    <w:rsid w:val="00D17EFB"/>
    <w:rPr>
      <w:rFonts w:ascii="Consolas" w:hAnsi="Consolas"/>
      <w:sz w:val="20"/>
      <w:szCs w:val="20"/>
    </w:rPr>
  </w:style>
  <w:style w:type="paragraph" w:styleId="MessageHeader">
    <w:name w:val="Message Header"/>
    <w:basedOn w:val="Normal"/>
    <w:link w:val="MessageHeaderChar"/>
    <w:uiPriority w:val="99"/>
    <w:semiHidden/>
    <w:unhideWhenUsed/>
    <w:rsid w:val="00D17EFB"/>
    <w:pPr>
      <w:pBdr>
        <w:top w:val="single" w:sz="6" w:space="1" w:color="auto"/>
        <w:left w:val="single" w:sz="6" w:space="1" w:color="auto"/>
        <w:bottom w:val="single" w:sz="6" w:space="1" w:color="auto"/>
        <w:right w:val="single" w:sz="6" w:space="1" w:color="auto"/>
      </w:pBdr>
      <w:shd w:val="pct20" w:color="auto" w:fill="auto"/>
      <w:spacing w:before="240" w:after="0" w:line="240" w:lineRule="auto"/>
      <w:ind w:left="1134" w:hanging="1134"/>
      <w:jc w:val="both"/>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D17EFB"/>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D17EFB"/>
    <w:pPr>
      <w:spacing w:before="240" w:after="0" w:line="240" w:lineRule="auto"/>
      <w:jc w:val="both"/>
    </w:pPr>
    <w:rPr>
      <w:rFonts w:ascii="Calibri" w:hAnsi="Calibri"/>
      <w:sz w:val="22"/>
    </w:rPr>
  </w:style>
  <w:style w:type="character" w:customStyle="1" w:styleId="NoteHeadingChar">
    <w:name w:val="Note Heading Char"/>
    <w:basedOn w:val="DefaultParagraphFont"/>
    <w:link w:val="NoteHeading"/>
    <w:uiPriority w:val="99"/>
    <w:semiHidden/>
    <w:rsid w:val="00D17EFB"/>
    <w:rPr>
      <w:rFonts w:ascii="Calibri" w:hAnsi="Calibri"/>
    </w:rPr>
  </w:style>
  <w:style w:type="paragraph" w:styleId="PlainText">
    <w:name w:val="Plain Text"/>
    <w:basedOn w:val="Normal"/>
    <w:link w:val="PlainTextChar"/>
    <w:uiPriority w:val="99"/>
    <w:semiHidden/>
    <w:unhideWhenUsed/>
    <w:rsid w:val="00D17EFB"/>
    <w:pPr>
      <w:spacing w:before="240" w:after="0" w:line="240" w:lineRule="auto"/>
      <w:jc w:val="both"/>
    </w:pPr>
    <w:rPr>
      <w:rFonts w:ascii="Consolas" w:hAnsi="Consolas"/>
      <w:sz w:val="21"/>
      <w:szCs w:val="21"/>
    </w:rPr>
  </w:style>
  <w:style w:type="character" w:customStyle="1" w:styleId="PlainTextChar">
    <w:name w:val="Plain Text Char"/>
    <w:basedOn w:val="DefaultParagraphFont"/>
    <w:link w:val="PlainText"/>
    <w:uiPriority w:val="99"/>
    <w:semiHidden/>
    <w:rsid w:val="00D17EFB"/>
    <w:rPr>
      <w:rFonts w:ascii="Consolas" w:hAnsi="Consolas"/>
      <w:sz w:val="21"/>
      <w:szCs w:val="21"/>
    </w:rPr>
  </w:style>
  <w:style w:type="paragraph" w:styleId="Salutation">
    <w:name w:val="Salutation"/>
    <w:basedOn w:val="Normal"/>
    <w:next w:val="Normal"/>
    <w:link w:val="SalutationChar"/>
    <w:uiPriority w:val="99"/>
    <w:semiHidden/>
    <w:rsid w:val="00D17EFB"/>
    <w:pPr>
      <w:spacing w:before="240" w:after="240" w:line="240" w:lineRule="auto"/>
      <w:jc w:val="both"/>
    </w:pPr>
    <w:rPr>
      <w:rFonts w:ascii="Calibri" w:hAnsi="Calibri"/>
      <w:sz w:val="22"/>
    </w:rPr>
  </w:style>
  <w:style w:type="character" w:customStyle="1" w:styleId="SalutationChar">
    <w:name w:val="Salutation Char"/>
    <w:basedOn w:val="DefaultParagraphFont"/>
    <w:link w:val="Salutation"/>
    <w:uiPriority w:val="99"/>
    <w:semiHidden/>
    <w:rsid w:val="00D17EFB"/>
    <w:rPr>
      <w:rFonts w:ascii="Calibri" w:hAnsi="Calibri"/>
    </w:rPr>
  </w:style>
  <w:style w:type="paragraph" w:styleId="TableofAuthorities">
    <w:name w:val="table of authorities"/>
    <w:basedOn w:val="Normal"/>
    <w:next w:val="Normal"/>
    <w:uiPriority w:val="99"/>
    <w:semiHidden/>
    <w:unhideWhenUsed/>
    <w:rsid w:val="00D17EFB"/>
    <w:pPr>
      <w:spacing w:before="240" w:after="0" w:line="240" w:lineRule="auto"/>
      <w:ind w:left="220" w:hanging="220"/>
    </w:pPr>
    <w:rPr>
      <w:rFonts w:ascii="Calibri" w:hAnsi="Calibri"/>
      <w:sz w:val="22"/>
    </w:rPr>
  </w:style>
  <w:style w:type="paragraph" w:styleId="TableofFigures">
    <w:name w:val="table of figures"/>
    <w:basedOn w:val="Normal"/>
    <w:next w:val="Normal"/>
    <w:uiPriority w:val="99"/>
    <w:semiHidden/>
    <w:unhideWhenUsed/>
    <w:rsid w:val="00D17EFB"/>
    <w:pPr>
      <w:spacing w:before="240" w:after="0" w:line="240" w:lineRule="auto"/>
    </w:pPr>
    <w:rPr>
      <w:rFonts w:ascii="Calibri" w:hAnsi="Calibri"/>
      <w:sz w:val="22"/>
    </w:rPr>
  </w:style>
  <w:style w:type="paragraph" w:styleId="TOAHeading">
    <w:name w:val="toa heading"/>
    <w:basedOn w:val="Normal"/>
    <w:next w:val="Normal"/>
    <w:uiPriority w:val="99"/>
    <w:semiHidden/>
    <w:unhideWhenUsed/>
    <w:rsid w:val="00D17EFB"/>
    <w:pPr>
      <w:spacing w:before="120" w:after="240" w:line="240" w:lineRule="auto"/>
    </w:pPr>
    <w:rPr>
      <w:rFonts w:asciiTheme="majorHAnsi" w:eastAsiaTheme="majorEastAsia" w:hAnsiTheme="majorHAnsi" w:cstheme="majorBidi"/>
      <w:b/>
      <w:bCs/>
      <w:szCs w:val="24"/>
    </w:rPr>
  </w:style>
  <w:style w:type="paragraph" w:customStyle="1" w:styleId="Authors">
    <w:name w:val="Authors"/>
    <w:basedOn w:val="Normal"/>
    <w:uiPriority w:val="11"/>
    <w:qFormat/>
    <w:rsid w:val="00D17EFB"/>
    <w:pPr>
      <w:spacing w:before="240" w:after="240" w:line="240" w:lineRule="auto"/>
    </w:pPr>
    <w:rPr>
      <w:rFonts w:ascii="Calibri" w:hAnsi="Calibri"/>
      <w:noProof/>
      <w:sz w:val="22"/>
    </w:rPr>
  </w:style>
  <w:style w:type="paragraph" w:customStyle="1" w:styleId="PlaceholderText0">
    <w:name w:val="PlaceholderText"/>
    <w:basedOn w:val="NormalNoSpace"/>
    <w:uiPriority w:val="99"/>
    <w:semiHidden/>
    <w:qFormat/>
    <w:rsid w:val="00D17EFB"/>
    <w:pPr>
      <w:keepNext/>
      <w:keepLines/>
    </w:pPr>
  </w:style>
  <w:style w:type="paragraph" w:customStyle="1" w:styleId="HeaderSpace">
    <w:name w:val="HeaderSpace"/>
    <w:basedOn w:val="NormalNoSpace"/>
    <w:uiPriority w:val="99"/>
    <w:semiHidden/>
    <w:qFormat/>
    <w:rsid w:val="00D17EFB"/>
    <w:rPr>
      <w:sz w:val="2"/>
    </w:rPr>
  </w:style>
  <w:style w:type="character" w:customStyle="1" w:styleId="cf01">
    <w:name w:val="cf01"/>
    <w:basedOn w:val="DefaultParagraphFont"/>
    <w:rsid w:val="00D17EF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7763">
      <w:bodyDiv w:val="1"/>
      <w:marLeft w:val="0"/>
      <w:marRight w:val="0"/>
      <w:marTop w:val="0"/>
      <w:marBottom w:val="0"/>
      <w:divBdr>
        <w:top w:val="none" w:sz="0" w:space="0" w:color="auto"/>
        <w:left w:val="none" w:sz="0" w:space="0" w:color="auto"/>
        <w:bottom w:val="none" w:sz="0" w:space="0" w:color="auto"/>
        <w:right w:val="none" w:sz="0" w:space="0" w:color="auto"/>
      </w:divBdr>
    </w:div>
    <w:div w:id="78136125">
      <w:bodyDiv w:val="1"/>
      <w:marLeft w:val="0"/>
      <w:marRight w:val="0"/>
      <w:marTop w:val="0"/>
      <w:marBottom w:val="0"/>
      <w:divBdr>
        <w:top w:val="none" w:sz="0" w:space="0" w:color="auto"/>
        <w:left w:val="none" w:sz="0" w:space="0" w:color="auto"/>
        <w:bottom w:val="none" w:sz="0" w:space="0" w:color="auto"/>
        <w:right w:val="none" w:sz="0" w:space="0" w:color="auto"/>
      </w:divBdr>
    </w:div>
    <w:div w:id="91173820">
      <w:bodyDiv w:val="1"/>
      <w:marLeft w:val="0"/>
      <w:marRight w:val="0"/>
      <w:marTop w:val="0"/>
      <w:marBottom w:val="0"/>
      <w:divBdr>
        <w:top w:val="none" w:sz="0" w:space="0" w:color="auto"/>
        <w:left w:val="none" w:sz="0" w:space="0" w:color="auto"/>
        <w:bottom w:val="none" w:sz="0" w:space="0" w:color="auto"/>
        <w:right w:val="none" w:sz="0" w:space="0" w:color="auto"/>
      </w:divBdr>
    </w:div>
    <w:div w:id="192576766">
      <w:bodyDiv w:val="1"/>
      <w:marLeft w:val="0"/>
      <w:marRight w:val="0"/>
      <w:marTop w:val="0"/>
      <w:marBottom w:val="0"/>
      <w:divBdr>
        <w:top w:val="none" w:sz="0" w:space="0" w:color="auto"/>
        <w:left w:val="none" w:sz="0" w:space="0" w:color="auto"/>
        <w:bottom w:val="none" w:sz="0" w:space="0" w:color="auto"/>
        <w:right w:val="none" w:sz="0" w:space="0" w:color="auto"/>
      </w:divBdr>
    </w:div>
    <w:div w:id="222954889">
      <w:bodyDiv w:val="1"/>
      <w:marLeft w:val="0"/>
      <w:marRight w:val="0"/>
      <w:marTop w:val="0"/>
      <w:marBottom w:val="0"/>
      <w:divBdr>
        <w:top w:val="none" w:sz="0" w:space="0" w:color="auto"/>
        <w:left w:val="none" w:sz="0" w:space="0" w:color="auto"/>
        <w:bottom w:val="none" w:sz="0" w:space="0" w:color="auto"/>
        <w:right w:val="none" w:sz="0" w:space="0" w:color="auto"/>
      </w:divBdr>
    </w:div>
    <w:div w:id="249511196">
      <w:bodyDiv w:val="1"/>
      <w:marLeft w:val="0"/>
      <w:marRight w:val="0"/>
      <w:marTop w:val="0"/>
      <w:marBottom w:val="0"/>
      <w:divBdr>
        <w:top w:val="none" w:sz="0" w:space="0" w:color="auto"/>
        <w:left w:val="none" w:sz="0" w:space="0" w:color="auto"/>
        <w:bottom w:val="none" w:sz="0" w:space="0" w:color="auto"/>
        <w:right w:val="none" w:sz="0" w:space="0" w:color="auto"/>
      </w:divBdr>
    </w:div>
    <w:div w:id="323165465">
      <w:bodyDiv w:val="1"/>
      <w:marLeft w:val="0"/>
      <w:marRight w:val="0"/>
      <w:marTop w:val="0"/>
      <w:marBottom w:val="0"/>
      <w:divBdr>
        <w:top w:val="none" w:sz="0" w:space="0" w:color="auto"/>
        <w:left w:val="none" w:sz="0" w:space="0" w:color="auto"/>
        <w:bottom w:val="none" w:sz="0" w:space="0" w:color="auto"/>
        <w:right w:val="none" w:sz="0" w:space="0" w:color="auto"/>
      </w:divBdr>
    </w:div>
    <w:div w:id="328758216">
      <w:bodyDiv w:val="1"/>
      <w:marLeft w:val="0"/>
      <w:marRight w:val="0"/>
      <w:marTop w:val="0"/>
      <w:marBottom w:val="0"/>
      <w:divBdr>
        <w:top w:val="none" w:sz="0" w:space="0" w:color="auto"/>
        <w:left w:val="none" w:sz="0" w:space="0" w:color="auto"/>
        <w:bottom w:val="none" w:sz="0" w:space="0" w:color="auto"/>
        <w:right w:val="none" w:sz="0" w:space="0" w:color="auto"/>
      </w:divBdr>
    </w:div>
    <w:div w:id="351732930">
      <w:bodyDiv w:val="1"/>
      <w:marLeft w:val="0"/>
      <w:marRight w:val="0"/>
      <w:marTop w:val="0"/>
      <w:marBottom w:val="0"/>
      <w:divBdr>
        <w:top w:val="none" w:sz="0" w:space="0" w:color="auto"/>
        <w:left w:val="none" w:sz="0" w:space="0" w:color="auto"/>
        <w:bottom w:val="none" w:sz="0" w:space="0" w:color="auto"/>
        <w:right w:val="none" w:sz="0" w:space="0" w:color="auto"/>
      </w:divBdr>
    </w:div>
    <w:div w:id="431245318">
      <w:bodyDiv w:val="1"/>
      <w:marLeft w:val="0"/>
      <w:marRight w:val="0"/>
      <w:marTop w:val="0"/>
      <w:marBottom w:val="0"/>
      <w:divBdr>
        <w:top w:val="none" w:sz="0" w:space="0" w:color="auto"/>
        <w:left w:val="none" w:sz="0" w:space="0" w:color="auto"/>
        <w:bottom w:val="none" w:sz="0" w:space="0" w:color="auto"/>
        <w:right w:val="none" w:sz="0" w:space="0" w:color="auto"/>
      </w:divBdr>
    </w:div>
    <w:div w:id="476386103">
      <w:bodyDiv w:val="1"/>
      <w:marLeft w:val="0"/>
      <w:marRight w:val="0"/>
      <w:marTop w:val="0"/>
      <w:marBottom w:val="0"/>
      <w:divBdr>
        <w:top w:val="none" w:sz="0" w:space="0" w:color="auto"/>
        <w:left w:val="none" w:sz="0" w:space="0" w:color="auto"/>
        <w:bottom w:val="none" w:sz="0" w:space="0" w:color="auto"/>
        <w:right w:val="none" w:sz="0" w:space="0" w:color="auto"/>
      </w:divBdr>
    </w:div>
    <w:div w:id="505946797">
      <w:bodyDiv w:val="1"/>
      <w:marLeft w:val="0"/>
      <w:marRight w:val="0"/>
      <w:marTop w:val="0"/>
      <w:marBottom w:val="0"/>
      <w:divBdr>
        <w:top w:val="none" w:sz="0" w:space="0" w:color="auto"/>
        <w:left w:val="none" w:sz="0" w:space="0" w:color="auto"/>
        <w:bottom w:val="none" w:sz="0" w:space="0" w:color="auto"/>
        <w:right w:val="none" w:sz="0" w:space="0" w:color="auto"/>
      </w:divBdr>
    </w:div>
    <w:div w:id="588466160">
      <w:bodyDiv w:val="1"/>
      <w:marLeft w:val="0"/>
      <w:marRight w:val="0"/>
      <w:marTop w:val="0"/>
      <w:marBottom w:val="0"/>
      <w:divBdr>
        <w:top w:val="none" w:sz="0" w:space="0" w:color="auto"/>
        <w:left w:val="none" w:sz="0" w:space="0" w:color="auto"/>
        <w:bottom w:val="none" w:sz="0" w:space="0" w:color="auto"/>
        <w:right w:val="none" w:sz="0" w:space="0" w:color="auto"/>
      </w:divBdr>
    </w:div>
    <w:div w:id="635450912">
      <w:bodyDiv w:val="1"/>
      <w:marLeft w:val="0"/>
      <w:marRight w:val="0"/>
      <w:marTop w:val="0"/>
      <w:marBottom w:val="0"/>
      <w:divBdr>
        <w:top w:val="none" w:sz="0" w:space="0" w:color="auto"/>
        <w:left w:val="none" w:sz="0" w:space="0" w:color="auto"/>
        <w:bottom w:val="none" w:sz="0" w:space="0" w:color="auto"/>
        <w:right w:val="none" w:sz="0" w:space="0" w:color="auto"/>
      </w:divBdr>
    </w:div>
    <w:div w:id="644165707">
      <w:bodyDiv w:val="1"/>
      <w:marLeft w:val="0"/>
      <w:marRight w:val="0"/>
      <w:marTop w:val="0"/>
      <w:marBottom w:val="0"/>
      <w:divBdr>
        <w:top w:val="none" w:sz="0" w:space="0" w:color="auto"/>
        <w:left w:val="none" w:sz="0" w:space="0" w:color="auto"/>
        <w:bottom w:val="none" w:sz="0" w:space="0" w:color="auto"/>
        <w:right w:val="none" w:sz="0" w:space="0" w:color="auto"/>
      </w:divBdr>
    </w:div>
    <w:div w:id="667755154">
      <w:bodyDiv w:val="1"/>
      <w:marLeft w:val="0"/>
      <w:marRight w:val="0"/>
      <w:marTop w:val="0"/>
      <w:marBottom w:val="0"/>
      <w:divBdr>
        <w:top w:val="none" w:sz="0" w:space="0" w:color="auto"/>
        <w:left w:val="none" w:sz="0" w:space="0" w:color="auto"/>
        <w:bottom w:val="none" w:sz="0" w:space="0" w:color="auto"/>
        <w:right w:val="none" w:sz="0" w:space="0" w:color="auto"/>
      </w:divBdr>
    </w:div>
    <w:div w:id="828641411">
      <w:bodyDiv w:val="1"/>
      <w:marLeft w:val="0"/>
      <w:marRight w:val="0"/>
      <w:marTop w:val="0"/>
      <w:marBottom w:val="0"/>
      <w:divBdr>
        <w:top w:val="none" w:sz="0" w:space="0" w:color="auto"/>
        <w:left w:val="none" w:sz="0" w:space="0" w:color="auto"/>
        <w:bottom w:val="none" w:sz="0" w:space="0" w:color="auto"/>
        <w:right w:val="none" w:sz="0" w:space="0" w:color="auto"/>
      </w:divBdr>
    </w:div>
    <w:div w:id="835802542">
      <w:bodyDiv w:val="1"/>
      <w:marLeft w:val="0"/>
      <w:marRight w:val="0"/>
      <w:marTop w:val="0"/>
      <w:marBottom w:val="0"/>
      <w:divBdr>
        <w:top w:val="none" w:sz="0" w:space="0" w:color="auto"/>
        <w:left w:val="none" w:sz="0" w:space="0" w:color="auto"/>
        <w:bottom w:val="none" w:sz="0" w:space="0" w:color="auto"/>
        <w:right w:val="none" w:sz="0" w:space="0" w:color="auto"/>
      </w:divBdr>
    </w:div>
    <w:div w:id="898246181">
      <w:bodyDiv w:val="1"/>
      <w:marLeft w:val="0"/>
      <w:marRight w:val="0"/>
      <w:marTop w:val="0"/>
      <w:marBottom w:val="0"/>
      <w:divBdr>
        <w:top w:val="none" w:sz="0" w:space="0" w:color="auto"/>
        <w:left w:val="none" w:sz="0" w:space="0" w:color="auto"/>
        <w:bottom w:val="none" w:sz="0" w:space="0" w:color="auto"/>
        <w:right w:val="none" w:sz="0" w:space="0" w:color="auto"/>
      </w:divBdr>
    </w:div>
    <w:div w:id="967508975">
      <w:bodyDiv w:val="1"/>
      <w:marLeft w:val="0"/>
      <w:marRight w:val="0"/>
      <w:marTop w:val="0"/>
      <w:marBottom w:val="0"/>
      <w:divBdr>
        <w:top w:val="none" w:sz="0" w:space="0" w:color="auto"/>
        <w:left w:val="none" w:sz="0" w:space="0" w:color="auto"/>
        <w:bottom w:val="none" w:sz="0" w:space="0" w:color="auto"/>
        <w:right w:val="none" w:sz="0" w:space="0" w:color="auto"/>
      </w:divBdr>
    </w:div>
    <w:div w:id="1034311559">
      <w:bodyDiv w:val="1"/>
      <w:marLeft w:val="0"/>
      <w:marRight w:val="0"/>
      <w:marTop w:val="0"/>
      <w:marBottom w:val="0"/>
      <w:divBdr>
        <w:top w:val="none" w:sz="0" w:space="0" w:color="auto"/>
        <w:left w:val="none" w:sz="0" w:space="0" w:color="auto"/>
        <w:bottom w:val="none" w:sz="0" w:space="0" w:color="auto"/>
        <w:right w:val="none" w:sz="0" w:space="0" w:color="auto"/>
      </w:divBdr>
    </w:div>
    <w:div w:id="1067995814">
      <w:bodyDiv w:val="1"/>
      <w:marLeft w:val="0"/>
      <w:marRight w:val="0"/>
      <w:marTop w:val="0"/>
      <w:marBottom w:val="0"/>
      <w:divBdr>
        <w:top w:val="none" w:sz="0" w:space="0" w:color="auto"/>
        <w:left w:val="none" w:sz="0" w:space="0" w:color="auto"/>
        <w:bottom w:val="none" w:sz="0" w:space="0" w:color="auto"/>
        <w:right w:val="none" w:sz="0" w:space="0" w:color="auto"/>
      </w:divBdr>
    </w:div>
    <w:div w:id="1091898635">
      <w:bodyDiv w:val="1"/>
      <w:marLeft w:val="0"/>
      <w:marRight w:val="0"/>
      <w:marTop w:val="0"/>
      <w:marBottom w:val="0"/>
      <w:divBdr>
        <w:top w:val="none" w:sz="0" w:space="0" w:color="auto"/>
        <w:left w:val="none" w:sz="0" w:space="0" w:color="auto"/>
        <w:bottom w:val="none" w:sz="0" w:space="0" w:color="auto"/>
        <w:right w:val="none" w:sz="0" w:space="0" w:color="auto"/>
      </w:divBdr>
    </w:div>
    <w:div w:id="1100030980">
      <w:bodyDiv w:val="1"/>
      <w:marLeft w:val="0"/>
      <w:marRight w:val="0"/>
      <w:marTop w:val="0"/>
      <w:marBottom w:val="0"/>
      <w:divBdr>
        <w:top w:val="none" w:sz="0" w:space="0" w:color="auto"/>
        <w:left w:val="none" w:sz="0" w:space="0" w:color="auto"/>
        <w:bottom w:val="none" w:sz="0" w:space="0" w:color="auto"/>
        <w:right w:val="none" w:sz="0" w:space="0" w:color="auto"/>
      </w:divBdr>
    </w:div>
    <w:div w:id="1159924426">
      <w:bodyDiv w:val="1"/>
      <w:marLeft w:val="0"/>
      <w:marRight w:val="0"/>
      <w:marTop w:val="0"/>
      <w:marBottom w:val="0"/>
      <w:divBdr>
        <w:top w:val="none" w:sz="0" w:space="0" w:color="auto"/>
        <w:left w:val="none" w:sz="0" w:space="0" w:color="auto"/>
        <w:bottom w:val="none" w:sz="0" w:space="0" w:color="auto"/>
        <w:right w:val="none" w:sz="0" w:space="0" w:color="auto"/>
      </w:divBdr>
    </w:div>
    <w:div w:id="1161315371">
      <w:bodyDiv w:val="1"/>
      <w:marLeft w:val="0"/>
      <w:marRight w:val="0"/>
      <w:marTop w:val="0"/>
      <w:marBottom w:val="0"/>
      <w:divBdr>
        <w:top w:val="none" w:sz="0" w:space="0" w:color="auto"/>
        <w:left w:val="none" w:sz="0" w:space="0" w:color="auto"/>
        <w:bottom w:val="none" w:sz="0" w:space="0" w:color="auto"/>
        <w:right w:val="none" w:sz="0" w:space="0" w:color="auto"/>
      </w:divBdr>
    </w:div>
    <w:div w:id="1302611546">
      <w:bodyDiv w:val="1"/>
      <w:marLeft w:val="0"/>
      <w:marRight w:val="0"/>
      <w:marTop w:val="0"/>
      <w:marBottom w:val="0"/>
      <w:divBdr>
        <w:top w:val="none" w:sz="0" w:space="0" w:color="auto"/>
        <w:left w:val="none" w:sz="0" w:space="0" w:color="auto"/>
        <w:bottom w:val="none" w:sz="0" w:space="0" w:color="auto"/>
        <w:right w:val="none" w:sz="0" w:space="0" w:color="auto"/>
      </w:divBdr>
    </w:div>
    <w:div w:id="1357736732">
      <w:bodyDiv w:val="1"/>
      <w:marLeft w:val="0"/>
      <w:marRight w:val="0"/>
      <w:marTop w:val="0"/>
      <w:marBottom w:val="0"/>
      <w:divBdr>
        <w:top w:val="none" w:sz="0" w:space="0" w:color="auto"/>
        <w:left w:val="none" w:sz="0" w:space="0" w:color="auto"/>
        <w:bottom w:val="none" w:sz="0" w:space="0" w:color="auto"/>
        <w:right w:val="none" w:sz="0" w:space="0" w:color="auto"/>
      </w:divBdr>
    </w:div>
    <w:div w:id="1409494041">
      <w:bodyDiv w:val="1"/>
      <w:marLeft w:val="0"/>
      <w:marRight w:val="0"/>
      <w:marTop w:val="0"/>
      <w:marBottom w:val="0"/>
      <w:divBdr>
        <w:top w:val="none" w:sz="0" w:space="0" w:color="auto"/>
        <w:left w:val="none" w:sz="0" w:space="0" w:color="auto"/>
        <w:bottom w:val="none" w:sz="0" w:space="0" w:color="auto"/>
        <w:right w:val="none" w:sz="0" w:space="0" w:color="auto"/>
      </w:divBdr>
    </w:div>
    <w:div w:id="1504586318">
      <w:bodyDiv w:val="1"/>
      <w:marLeft w:val="0"/>
      <w:marRight w:val="0"/>
      <w:marTop w:val="0"/>
      <w:marBottom w:val="0"/>
      <w:divBdr>
        <w:top w:val="none" w:sz="0" w:space="0" w:color="auto"/>
        <w:left w:val="none" w:sz="0" w:space="0" w:color="auto"/>
        <w:bottom w:val="none" w:sz="0" w:space="0" w:color="auto"/>
        <w:right w:val="none" w:sz="0" w:space="0" w:color="auto"/>
      </w:divBdr>
    </w:div>
    <w:div w:id="1655987831">
      <w:bodyDiv w:val="1"/>
      <w:marLeft w:val="0"/>
      <w:marRight w:val="0"/>
      <w:marTop w:val="0"/>
      <w:marBottom w:val="0"/>
      <w:divBdr>
        <w:top w:val="none" w:sz="0" w:space="0" w:color="auto"/>
        <w:left w:val="none" w:sz="0" w:space="0" w:color="auto"/>
        <w:bottom w:val="none" w:sz="0" w:space="0" w:color="auto"/>
        <w:right w:val="none" w:sz="0" w:space="0" w:color="auto"/>
      </w:divBdr>
    </w:div>
    <w:div w:id="1664314653">
      <w:bodyDiv w:val="1"/>
      <w:marLeft w:val="0"/>
      <w:marRight w:val="0"/>
      <w:marTop w:val="0"/>
      <w:marBottom w:val="0"/>
      <w:divBdr>
        <w:top w:val="none" w:sz="0" w:space="0" w:color="auto"/>
        <w:left w:val="none" w:sz="0" w:space="0" w:color="auto"/>
        <w:bottom w:val="none" w:sz="0" w:space="0" w:color="auto"/>
        <w:right w:val="none" w:sz="0" w:space="0" w:color="auto"/>
      </w:divBdr>
    </w:div>
    <w:div w:id="1686782969">
      <w:bodyDiv w:val="1"/>
      <w:marLeft w:val="0"/>
      <w:marRight w:val="0"/>
      <w:marTop w:val="0"/>
      <w:marBottom w:val="0"/>
      <w:divBdr>
        <w:top w:val="none" w:sz="0" w:space="0" w:color="auto"/>
        <w:left w:val="none" w:sz="0" w:space="0" w:color="auto"/>
        <w:bottom w:val="none" w:sz="0" w:space="0" w:color="auto"/>
        <w:right w:val="none" w:sz="0" w:space="0" w:color="auto"/>
      </w:divBdr>
    </w:div>
    <w:div w:id="1748184003">
      <w:bodyDiv w:val="1"/>
      <w:marLeft w:val="0"/>
      <w:marRight w:val="0"/>
      <w:marTop w:val="0"/>
      <w:marBottom w:val="0"/>
      <w:divBdr>
        <w:top w:val="none" w:sz="0" w:space="0" w:color="auto"/>
        <w:left w:val="none" w:sz="0" w:space="0" w:color="auto"/>
        <w:bottom w:val="none" w:sz="0" w:space="0" w:color="auto"/>
        <w:right w:val="none" w:sz="0" w:space="0" w:color="auto"/>
      </w:divBdr>
    </w:div>
    <w:div w:id="1776484565">
      <w:bodyDiv w:val="1"/>
      <w:marLeft w:val="0"/>
      <w:marRight w:val="0"/>
      <w:marTop w:val="0"/>
      <w:marBottom w:val="0"/>
      <w:divBdr>
        <w:top w:val="none" w:sz="0" w:space="0" w:color="auto"/>
        <w:left w:val="none" w:sz="0" w:space="0" w:color="auto"/>
        <w:bottom w:val="none" w:sz="0" w:space="0" w:color="auto"/>
        <w:right w:val="none" w:sz="0" w:space="0" w:color="auto"/>
      </w:divBdr>
    </w:div>
    <w:div w:id="1783768595">
      <w:bodyDiv w:val="1"/>
      <w:marLeft w:val="0"/>
      <w:marRight w:val="0"/>
      <w:marTop w:val="0"/>
      <w:marBottom w:val="0"/>
      <w:divBdr>
        <w:top w:val="none" w:sz="0" w:space="0" w:color="auto"/>
        <w:left w:val="none" w:sz="0" w:space="0" w:color="auto"/>
        <w:bottom w:val="none" w:sz="0" w:space="0" w:color="auto"/>
        <w:right w:val="none" w:sz="0" w:space="0" w:color="auto"/>
      </w:divBdr>
    </w:div>
    <w:div w:id="1821388147">
      <w:bodyDiv w:val="1"/>
      <w:marLeft w:val="0"/>
      <w:marRight w:val="0"/>
      <w:marTop w:val="0"/>
      <w:marBottom w:val="0"/>
      <w:divBdr>
        <w:top w:val="none" w:sz="0" w:space="0" w:color="auto"/>
        <w:left w:val="none" w:sz="0" w:space="0" w:color="auto"/>
        <w:bottom w:val="none" w:sz="0" w:space="0" w:color="auto"/>
        <w:right w:val="none" w:sz="0" w:space="0" w:color="auto"/>
      </w:divBdr>
    </w:div>
    <w:div w:id="1851942576">
      <w:bodyDiv w:val="1"/>
      <w:marLeft w:val="0"/>
      <w:marRight w:val="0"/>
      <w:marTop w:val="0"/>
      <w:marBottom w:val="0"/>
      <w:divBdr>
        <w:top w:val="none" w:sz="0" w:space="0" w:color="auto"/>
        <w:left w:val="none" w:sz="0" w:space="0" w:color="auto"/>
        <w:bottom w:val="none" w:sz="0" w:space="0" w:color="auto"/>
        <w:right w:val="none" w:sz="0" w:space="0" w:color="auto"/>
      </w:divBdr>
    </w:div>
    <w:div w:id="1859469957">
      <w:bodyDiv w:val="1"/>
      <w:marLeft w:val="0"/>
      <w:marRight w:val="0"/>
      <w:marTop w:val="0"/>
      <w:marBottom w:val="0"/>
      <w:divBdr>
        <w:top w:val="none" w:sz="0" w:space="0" w:color="auto"/>
        <w:left w:val="none" w:sz="0" w:space="0" w:color="auto"/>
        <w:bottom w:val="none" w:sz="0" w:space="0" w:color="auto"/>
        <w:right w:val="none" w:sz="0" w:space="0" w:color="auto"/>
      </w:divBdr>
    </w:div>
    <w:div w:id="1893271376">
      <w:bodyDiv w:val="1"/>
      <w:marLeft w:val="0"/>
      <w:marRight w:val="0"/>
      <w:marTop w:val="0"/>
      <w:marBottom w:val="0"/>
      <w:divBdr>
        <w:top w:val="none" w:sz="0" w:space="0" w:color="auto"/>
        <w:left w:val="none" w:sz="0" w:space="0" w:color="auto"/>
        <w:bottom w:val="none" w:sz="0" w:space="0" w:color="auto"/>
        <w:right w:val="none" w:sz="0" w:space="0" w:color="auto"/>
      </w:divBdr>
    </w:div>
    <w:div w:id="1980911699">
      <w:bodyDiv w:val="1"/>
      <w:marLeft w:val="0"/>
      <w:marRight w:val="0"/>
      <w:marTop w:val="0"/>
      <w:marBottom w:val="0"/>
      <w:divBdr>
        <w:top w:val="none" w:sz="0" w:space="0" w:color="auto"/>
        <w:left w:val="none" w:sz="0" w:space="0" w:color="auto"/>
        <w:bottom w:val="none" w:sz="0" w:space="0" w:color="auto"/>
        <w:right w:val="none" w:sz="0" w:space="0" w:color="auto"/>
      </w:divBdr>
    </w:div>
    <w:div w:id="2009676603">
      <w:bodyDiv w:val="1"/>
      <w:marLeft w:val="0"/>
      <w:marRight w:val="0"/>
      <w:marTop w:val="0"/>
      <w:marBottom w:val="0"/>
      <w:divBdr>
        <w:top w:val="none" w:sz="0" w:space="0" w:color="auto"/>
        <w:left w:val="none" w:sz="0" w:space="0" w:color="auto"/>
        <w:bottom w:val="none" w:sz="0" w:space="0" w:color="auto"/>
        <w:right w:val="none" w:sz="0" w:space="0" w:color="auto"/>
      </w:divBdr>
    </w:div>
    <w:div w:id="2045404906">
      <w:bodyDiv w:val="1"/>
      <w:marLeft w:val="0"/>
      <w:marRight w:val="0"/>
      <w:marTop w:val="0"/>
      <w:marBottom w:val="0"/>
      <w:divBdr>
        <w:top w:val="none" w:sz="0" w:space="0" w:color="auto"/>
        <w:left w:val="none" w:sz="0" w:space="0" w:color="auto"/>
        <w:bottom w:val="none" w:sz="0" w:space="0" w:color="auto"/>
        <w:right w:val="none" w:sz="0" w:space="0" w:color="auto"/>
      </w:divBdr>
    </w:div>
    <w:div w:id="208818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svg"/><Relationship Id="rId26" Type="http://schemas.openxmlformats.org/officeDocument/2006/relationships/footer" Target="footer6.xml"/><Relationship Id="rId39" Type="http://schemas.openxmlformats.org/officeDocument/2006/relationships/image" Target="media/image10.png"/><Relationship Id="rId21" Type="http://schemas.openxmlformats.org/officeDocument/2006/relationships/header" Target="header4.xml"/><Relationship Id="rId34" Type="http://schemas.openxmlformats.org/officeDocument/2006/relationships/chart" Target="charts/chart4.xml"/><Relationship Id="rId42" Type="http://schemas.openxmlformats.org/officeDocument/2006/relationships/hyperlink" Target="mailto:naren.mistry@british-business-bank.co.uk" TargetMode="Externa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chart" Target="charts/chart2.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footer" Target="footer1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british-business-bank.co.uk" TargetMode="External"/><Relationship Id="rId31" Type="http://schemas.openxmlformats.org/officeDocument/2006/relationships/chart" Target="charts/chart1.xml"/><Relationship Id="rId44" Type="http://schemas.openxmlformats.org/officeDocument/2006/relationships/hyperlink" Target="https://ipsos.uk/180452901" TargetMode="Externa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footer" Target="footer9.xml"/><Relationship Id="rId35" Type="http://schemas.openxmlformats.org/officeDocument/2006/relationships/chart" Target="charts/chart5.xml"/><Relationship Id="rId43" Type="http://schemas.openxmlformats.org/officeDocument/2006/relationships/hyperlink" Target="https://www.british-business-bank.co.uk/about-our-evaluations/" TargetMode="External"/><Relationship Id="rId48" Type="http://schemas.openxmlformats.org/officeDocument/2006/relationships/footer" Target="footer12.xm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www.british-business-bank.co.uk"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chart" Target="charts/chart3.xml"/><Relationship Id="rId38" Type="http://schemas.openxmlformats.org/officeDocument/2006/relationships/image" Target="media/image9.png"/><Relationship Id="rId46" Type="http://schemas.openxmlformats.org/officeDocument/2006/relationships/footer" Target="footer10.xml"/><Relationship Id="rId20" Type="http://schemas.openxmlformats.org/officeDocument/2006/relationships/footer" Target="footer4.xm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header" Target="header6.xml"/></Relationships>
</file>

<file path=word/_rels/footer10.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british-business-bank.co.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ritish-business-bank.co.uk/press-release/british-business-bank-confirms-changes-to-undertaking-in-difficulty-guidance/" TargetMode="External"/><Relationship Id="rId7" Type="http://schemas.openxmlformats.org/officeDocument/2006/relationships/hyperlink" Target="https://www.gov.uk/government/collections/business-population-estimates" TargetMode="External"/><Relationship Id="rId2" Type="http://schemas.openxmlformats.org/officeDocument/2006/relationships/hyperlink" Target="https://obr.uk/box/pandemic-risk-scenario-the-emergence-of-a-vaccine-escaping-variant/" TargetMode="External"/><Relationship Id="rId1" Type="http://schemas.openxmlformats.org/officeDocument/2006/relationships/hyperlink" Target="https://www.ons.gov.uk/economy/economicoutputandproductivity/output/adhocs/15084businessinsightsandconditionssurveywave63adhoctablesresearchanddevelopment" TargetMode="External"/><Relationship Id="rId6" Type="http://schemas.openxmlformats.org/officeDocument/2006/relationships/hyperlink" Target="https://www.ons.gov.uk/economy/economicoutputandproductivity/output/adhocs/15084businessinsightsandconditionssurveywave63adhoctablesresearchanddevelopment" TargetMode="External"/><Relationship Id="rId5" Type="http://schemas.openxmlformats.org/officeDocument/2006/relationships/hyperlink" Target="https://obr.uk/box/pandemic-risk-scenario-the-emergence-of-a-vaccine-escaping-variant/" TargetMode="External"/><Relationship Id="rId4" Type="http://schemas.openxmlformats.org/officeDocument/2006/relationships/hyperlink" Target="https://www.gov.uk/government/collections/business-population-estimat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ipsosgroup.ipsos.com\dfs\EMEA\United%20Kingdom\File\CES\21-004216-01%20BBB%20Covid%20Process\7.%20Process%20evaluation\RLS%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psosgroup.ipsos.com\dfs\EMEA\United%20Kingdom\File\CES\21-004216-01%20BBB%20Covid%20Process\7.%20Process%20evaluation\RLS%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psosgroup.ipsos.com\dfs\EMEA\United%20Kingdom\File\CES\21-004216-01%20BBB%20Covid%20Process\7.%20Process%20evaluation\RLS%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mes.kearney\OneDrive%20-%20Ipsos\Documents\XXXX.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psosgroup.ipsos.com\dfs\EMEA\United%20Kingdom\File\CES\21-004216-01%20BBB%20Covid%20Process\7.%20Process%20evaluation\RLS%20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Sheet1!$L$66</c:f>
              <c:strCache>
                <c:ptCount val="1"/>
                <c:pt idx="0">
                  <c:v>Provided lending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Sheet1!$K$67:$K$73</c:f>
              <c:strCache>
                <c:ptCount val="7"/>
                <c:pt idx="0">
                  <c:v>Alternative finance</c:v>
                </c:pt>
                <c:pt idx="1">
                  <c:v>Asset backed lender</c:v>
                </c:pt>
                <c:pt idx="2">
                  <c:v>Bank</c:v>
                </c:pt>
                <c:pt idx="3">
                  <c:v>Social lender</c:v>
                </c:pt>
                <c:pt idx="4">
                  <c:v>Fund</c:v>
                </c:pt>
                <c:pt idx="5">
                  <c:v>Main bank</c:v>
                </c:pt>
                <c:pt idx="6">
                  <c:v>Property and Development finance</c:v>
                </c:pt>
              </c:strCache>
            </c:strRef>
          </c:cat>
          <c:val>
            <c:numRef>
              <c:f>Sheet1!$L$67:$L$73</c:f>
              <c:numCache>
                <c:formatCode>General</c:formatCode>
                <c:ptCount val="7"/>
                <c:pt idx="0">
                  <c:v>7</c:v>
                </c:pt>
                <c:pt idx="1">
                  <c:v>16</c:v>
                </c:pt>
                <c:pt idx="2">
                  <c:v>20</c:v>
                </c:pt>
                <c:pt idx="3">
                  <c:v>13</c:v>
                </c:pt>
                <c:pt idx="4">
                  <c:v>15</c:v>
                </c:pt>
                <c:pt idx="5">
                  <c:v>8</c:v>
                </c:pt>
                <c:pt idx="6">
                  <c:v>3</c:v>
                </c:pt>
              </c:numCache>
            </c:numRef>
          </c:val>
          <c:extLst>
            <c:ext xmlns:c16="http://schemas.microsoft.com/office/drawing/2014/chart" uri="{C3380CC4-5D6E-409C-BE32-E72D297353CC}">
              <c16:uniqueId val="{00000000-4729-44B2-A43C-10C93BBE81BB}"/>
            </c:ext>
          </c:extLst>
        </c:ser>
        <c:dLbls>
          <c:showLegendKey val="0"/>
          <c:showVal val="0"/>
          <c:showCatName val="0"/>
          <c:showSerName val="0"/>
          <c:showPercent val="0"/>
          <c:showBubbleSize val="0"/>
        </c:dLbls>
        <c:gapWidth val="219"/>
        <c:axId val="2033384112"/>
        <c:axId val="134781344"/>
      </c:barChart>
      <c:catAx>
        <c:axId val="203338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4781344"/>
        <c:crosses val="autoZero"/>
        <c:auto val="1"/>
        <c:lblAlgn val="ctr"/>
        <c:lblOffset val="100"/>
        <c:noMultiLvlLbl val="0"/>
      </c:catAx>
      <c:valAx>
        <c:axId val="134781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384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Sheet1!$I$9:$I$20</c:f>
              <c:strCache>
                <c:ptCount val="12"/>
                <c:pt idx="0">
                  <c:v>North East</c:v>
                </c:pt>
                <c:pt idx="1">
                  <c:v>North West</c:v>
                </c:pt>
                <c:pt idx="2">
                  <c:v>Yorkshire and the Humber</c:v>
                </c:pt>
                <c:pt idx="3">
                  <c:v>East Midlands</c:v>
                </c:pt>
                <c:pt idx="4">
                  <c:v>West Midlands</c:v>
                </c:pt>
                <c:pt idx="5">
                  <c:v>East of England</c:v>
                </c:pt>
                <c:pt idx="6">
                  <c:v>London</c:v>
                </c:pt>
                <c:pt idx="7">
                  <c:v>South East</c:v>
                </c:pt>
                <c:pt idx="8">
                  <c:v>South West</c:v>
                </c:pt>
                <c:pt idx="9">
                  <c:v>Wales</c:v>
                </c:pt>
                <c:pt idx="10">
                  <c:v>Scotland</c:v>
                </c:pt>
                <c:pt idx="11">
                  <c:v>Northern Ireland</c:v>
                </c:pt>
              </c:strCache>
            </c:strRef>
          </c:cat>
          <c:val>
            <c:numRef>
              <c:f>Sheet1!$J$9:$J$20</c:f>
              <c:numCache>
                <c:formatCode>0.00%</c:formatCode>
                <c:ptCount val="12"/>
                <c:pt idx="0">
                  <c:v>1.8859364873622813E-3</c:v>
                </c:pt>
                <c:pt idx="1">
                  <c:v>1.9366747124804772E-3</c:v>
                </c:pt>
                <c:pt idx="2">
                  <c:v>1.804111245465538E-3</c:v>
                </c:pt>
                <c:pt idx="3">
                  <c:v>1.8617310832879696E-3</c:v>
                </c:pt>
                <c:pt idx="4">
                  <c:v>1.9787763892939671E-3</c:v>
                </c:pt>
                <c:pt idx="5">
                  <c:v>1.740509116533075E-3</c:v>
                </c:pt>
                <c:pt idx="6">
                  <c:v>1.6416379963008041E-3</c:v>
                </c:pt>
                <c:pt idx="7">
                  <c:v>1.6818628459130277E-3</c:v>
                </c:pt>
                <c:pt idx="8">
                  <c:v>1.4877647148929653E-3</c:v>
                </c:pt>
                <c:pt idx="9">
                  <c:v>1.456193644823762E-3</c:v>
                </c:pt>
                <c:pt idx="10">
                  <c:v>1.5407329444956073E-3</c:v>
                </c:pt>
                <c:pt idx="11">
                  <c:v>1.1883109009336729E-3</c:v>
                </c:pt>
              </c:numCache>
            </c:numRef>
          </c:val>
          <c:extLst>
            <c:ext xmlns:c16="http://schemas.microsoft.com/office/drawing/2014/chart" uri="{C3380CC4-5D6E-409C-BE32-E72D297353CC}">
              <c16:uniqueId val="{00000000-19D7-4CAE-90FB-049A2F791CD1}"/>
            </c:ext>
          </c:extLst>
        </c:ser>
        <c:dLbls>
          <c:showLegendKey val="0"/>
          <c:showVal val="0"/>
          <c:showCatName val="0"/>
          <c:showSerName val="0"/>
          <c:showPercent val="0"/>
          <c:showBubbleSize val="0"/>
        </c:dLbls>
        <c:gapWidth val="219"/>
        <c:axId val="2036964432"/>
        <c:axId val="139588000"/>
      </c:barChart>
      <c:catAx>
        <c:axId val="2036964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88000"/>
        <c:crosses val="autoZero"/>
        <c:auto val="1"/>
        <c:lblAlgn val="ctr"/>
        <c:lblOffset val="100"/>
        <c:noMultiLvlLbl val="0"/>
      </c:catAx>
      <c:valAx>
        <c:axId val="139588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businesses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964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Sheet1!$S$27</c:f>
              <c:strCache>
                <c:ptCount val="1"/>
                <c:pt idx="0">
                  <c:v>Proportion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Sheet1!$R$28:$R$42</c:f>
              <c:strCache>
                <c:ptCount val="15"/>
                <c:pt idx="0">
                  <c:v>Mining; Electricity, Gas; Water</c:v>
                </c:pt>
                <c:pt idx="1">
                  <c:v>Manufacturing</c:v>
                </c:pt>
                <c:pt idx="2">
                  <c:v>Wholesale and Retail </c:v>
                </c:pt>
                <c:pt idx="3">
                  <c:v>Accommodation &amp; Food Service </c:v>
                </c:pt>
                <c:pt idx="4">
                  <c:v>Administrative &amp; Support </c:v>
                </c:pt>
                <c:pt idx="5">
                  <c:v>Real estate</c:v>
                </c:pt>
                <c:pt idx="6">
                  <c:v>Financial &amp; Insurance </c:v>
                </c:pt>
                <c:pt idx="7">
                  <c:v>Information &amp; Communication</c:v>
                </c:pt>
                <c:pt idx="8">
                  <c:v>Construction</c:v>
                </c:pt>
                <c:pt idx="9">
                  <c:v>Transportation &amp; Storage</c:v>
                </c:pt>
                <c:pt idx="10">
                  <c:v> Health &amp; Social Work</c:v>
                </c:pt>
                <c:pt idx="11">
                  <c:v>Professional, Scientific </c:v>
                </c:pt>
                <c:pt idx="12">
                  <c:v>Other Services</c:v>
                </c:pt>
                <c:pt idx="13">
                  <c:v>Arts, Entertainment </c:v>
                </c:pt>
                <c:pt idx="14">
                  <c:v>Education</c:v>
                </c:pt>
              </c:strCache>
            </c:strRef>
          </c:cat>
          <c:val>
            <c:numRef>
              <c:f>Sheet1!$S$28:$S$42</c:f>
              <c:numCache>
                <c:formatCode>0.00%</c:formatCode>
                <c:ptCount val="15"/>
                <c:pt idx="0">
                  <c:v>4.8304213771839669E-3</c:v>
                </c:pt>
                <c:pt idx="1">
                  <c:v>4.2851851851851853E-3</c:v>
                </c:pt>
                <c:pt idx="2">
                  <c:v>3.2679151778499992E-3</c:v>
                </c:pt>
                <c:pt idx="3">
                  <c:v>2.267686710359092E-3</c:v>
                </c:pt>
                <c:pt idx="4">
                  <c:v>1.959626962578208E-3</c:v>
                </c:pt>
                <c:pt idx="5">
                  <c:v>1.789775905141877E-3</c:v>
                </c:pt>
                <c:pt idx="6">
                  <c:v>1.7606350498676978E-3</c:v>
                </c:pt>
                <c:pt idx="7">
                  <c:v>1.6946991058903547E-3</c:v>
                </c:pt>
                <c:pt idx="8">
                  <c:v>1.6327066599549145E-3</c:v>
                </c:pt>
                <c:pt idx="9">
                  <c:v>1.5037836097246821E-3</c:v>
                </c:pt>
                <c:pt idx="10">
                  <c:v>1.1738508501570541E-3</c:v>
                </c:pt>
                <c:pt idx="11">
                  <c:v>1.1169103526279204E-3</c:v>
                </c:pt>
                <c:pt idx="12">
                  <c:v>8.6896733326506431E-4</c:v>
                </c:pt>
                <c:pt idx="13">
                  <c:v>6.7584570586332103E-4</c:v>
                </c:pt>
                <c:pt idx="14">
                  <c:v>5.163453478625314E-4</c:v>
                </c:pt>
              </c:numCache>
            </c:numRef>
          </c:val>
          <c:extLst>
            <c:ext xmlns:c16="http://schemas.microsoft.com/office/drawing/2014/chart" uri="{C3380CC4-5D6E-409C-BE32-E72D297353CC}">
              <c16:uniqueId val="{00000000-8BC4-4B60-89AA-9917DA967E5A}"/>
            </c:ext>
          </c:extLst>
        </c:ser>
        <c:dLbls>
          <c:showLegendKey val="0"/>
          <c:showVal val="0"/>
          <c:showCatName val="0"/>
          <c:showSerName val="0"/>
          <c:showPercent val="0"/>
          <c:showBubbleSize val="0"/>
        </c:dLbls>
        <c:gapWidth val="182"/>
        <c:axId val="226164864"/>
        <c:axId val="226155072"/>
      </c:barChart>
      <c:catAx>
        <c:axId val="22616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155072"/>
        <c:crosses val="autoZero"/>
        <c:auto val="1"/>
        <c:lblAlgn val="ctr"/>
        <c:lblOffset val="100"/>
        <c:noMultiLvlLbl val="0"/>
      </c:catAx>
      <c:valAx>
        <c:axId val="226155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businesses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16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14109983240061E-2"/>
          <c:y val="4.656084656084656E-2"/>
          <c:w val="0.88229753660310528"/>
          <c:h val="0.80439445069366333"/>
        </c:manualLayout>
      </c:layout>
      <c:barChart>
        <c:barDir val="col"/>
        <c:grouping val="clustered"/>
        <c:varyColors val="0"/>
        <c:ser>
          <c:idx val="0"/>
          <c:order val="0"/>
          <c:spPr>
            <a:solidFill>
              <a:schemeClr val="accent2"/>
            </a:solidFill>
            <a:ln>
              <a:noFill/>
            </a:ln>
            <a:effectLst/>
          </c:spPr>
          <c:invertIfNegative val="0"/>
          <c:cat>
            <c:strRef>
              <c:f>Sheet1!$J$4:$J$10</c:f>
              <c:strCache>
                <c:ptCount val="7"/>
                <c:pt idx="0">
                  <c:v>2 or less</c:v>
                </c:pt>
                <c:pt idx="1">
                  <c:v>2.01 to 3</c:v>
                </c:pt>
                <c:pt idx="2">
                  <c:v>3.01 to 4</c:v>
                </c:pt>
                <c:pt idx="3">
                  <c:v>4.01 to 5</c:v>
                </c:pt>
                <c:pt idx="4">
                  <c:v>5.01 to 6</c:v>
                </c:pt>
                <c:pt idx="5">
                  <c:v>6.01 to 10</c:v>
                </c:pt>
                <c:pt idx="6">
                  <c:v>Greater than 10</c:v>
                </c:pt>
              </c:strCache>
            </c:strRef>
          </c:cat>
          <c:val>
            <c:numRef>
              <c:f>Sheet1!$K$4:$K$10</c:f>
              <c:numCache>
                <c:formatCode>0.00%</c:formatCode>
                <c:ptCount val="7"/>
                <c:pt idx="0">
                  <c:v>1.7123287671232876E-3</c:v>
                </c:pt>
                <c:pt idx="1">
                  <c:v>1.5050468637346791E-2</c:v>
                </c:pt>
                <c:pt idx="2">
                  <c:v>3.5598413842826242E-2</c:v>
                </c:pt>
                <c:pt idx="3">
                  <c:v>0.10904830569574621</c:v>
                </c:pt>
                <c:pt idx="4">
                  <c:v>4.686373467916366E-2</c:v>
                </c:pt>
                <c:pt idx="5">
                  <c:v>0.47665825522710886</c:v>
                </c:pt>
                <c:pt idx="6">
                  <c:v>0.31506849315068491</c:v>
                </c:pt>
              </c:numCache>
            </c:numRef>
          </c:val>
          <c:extLst>
            <c:ext xmlns:c16="http://schemas.microsoft.com/office/drawing/2014/chart" uri="{C3380CC4-5D6E-409C-BE32-E72D297353CC}">
              <c16:uniqueId val="{00000000-E936-4F7A-8A24-0A9E028A9663}"/>
            </c:ext>
          </c:extLst>
        </c:ser>
        <c:dLbls>
          <c:showLegendKey val="0"/>
          <c:showVal val="0"/>
          <c:showCatName val="0"/>
          <c:showSerName val="0"/>
          <c:showPercent val="0"/>
          <c:showBubbleSize val="0"/>
        </c:dLbls>
        <c:gapWidth val="219"/>
        <c:overlap val="-27"/>
        <c:axId val="315755168"/>
        <c:axId val="551802944"/>
      </c:barChart>
      <c:catAx>
        <c:axId val="3157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51802944"/>
        <c:crosses val="autoZero"/>
        <c:auto val="1"/>
        <c:lblAlgn val="ctr"/>
        <c:lblOffset val="100"/>
        <c:noMultiLvlLbl val="0"/>
      </c:catAx>
      <c:valAx>
        <c:axId val="55180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50"/>
                  <a:t>Percentage of facilities</a:t>
                </a:r>
              </a:p>
            </c:rich>
          </c:tx>
          <c:layout>
            <c:manualLayout>
              <c:xMode val="edge"/>
              <c:yMode val="edge"/>
              <c:x val="4.0160642570281121E-3"/>
              <c:y val="0.22314943965337666"/>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755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892704993337372"/>
          <c:y val="4.1771256770636332E-2"/>
          <c:w val="0.54298750843692012"/>
          <c:h val="0.87013594346378509"/>
        </c:manualLayout>
      </c:layout>
      <c:barChart>
        <c:barDir val="bar"/>
        <c:grouping val="clustered"/>
        <c:varyColors val="0"/>
        <c:ser>
          <c:idx val="0"/>
          <c:order val="0"/>
          <c:tx>
            <c:strRef>
              <c:f>Sheet1!$G$82</c:f>
              <c:strCache>
                <c:ptCount val="1"/>
                <c:pt idx="0">
                  <c:v>Average AER</c:v>
                </c:pt>
              </c:strCache>
            </c:strRef>
          </c:tx>
          <c:spPr>
            <a:solidFill>
              <a:schemeClr val="accent2"/>
            </a:solidFill>
            <a:ln>
              <a:noFill/>
            </a:ln>
            <a:effectLst/>
          </c:spPr>
          <c:invertIfNegative val="0"/>
          <c:dLbls>
            <c:dLbl>
              <c:idx val="6"/>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BF-4AC6-8D98-7545FC20881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Sheet1!$F$83:$F$89</c:f>
              <c:strCache>
                <c:ptCount val="7"/>
                <c:pt idx="0">
                  <c:v>Main bank</c:v>
                </c:pt>
                <c:pt idx="1">
                  <c:v>Bank</c:v>
                </c:pt>
                <c:pt idx="2">
                  <c:v>Alternative finance</c:v>
                </c:pt>
                <c:pt idx="3">
                  <c:v>Fund</c:v>
                </c:pt>
                <c:pt idx="4">
                  <c:v>Property and Development finance</c:v>
                </c:pt>
                <c:pt idx="5">
                  <c:v>Asset backed lender</c:v>
                </c:pt>
                <c:pt idx="6">
                  <c:v>Social lender</c:v>
                </c:pt>
              </c:strCache>
            </c:strRef>
          </c:cat>
          <c:val>
            <c:numRef>
              <c:f>Sheet1!$G$83:$G$89</c:f>
              <c:numCache>
                <c:formatCode>General</c:formatCode>
                <c:ptCount val="7"/>
                <c:pt idx="0">
                  <c:v>5.03</c:v>
                </c:pt>
                <c:pt idx="1">
                  <c:v>7.25</c:v>
                </c:pt>
                <c:pt idx="2">
                  <c:v>10.220000000000001</c:v>
                </c:pt>
                <c:pt idx="3">
                  <c:v>10.35</c:v>
                </c:pt>
                <c:pt idx="4">
                  <c:v>11.26</c:v>
                </c:pt>
                <c:pt idx="5">
                  <c:v>11.45</c:v>
                </c:pt>
                <c:pt idx="6">
                  <c:v>13.88</c:v>
                </c:pt>
              </c:numCache>
            </c:numRef>
          </c:val>
          <c:extLst>
            <c:ext xmlns:c16="http://schemas.microsoft.com/office/drawing/2014/chart" uri="{C3380CC4-5D6E-409C-BE32-E72D297353CC}">
              <c16:uniqueId val="{00000001-DFBF-4AC6-8D98-7545FC208812}"/>
            </c:ext>
          </c:extLst>
        </c:ser>
        <c:dLbls>
          <c:showLegendKey val="0"/>
          <c:showVal val="0"/>
          <c:showCatName val="0"/>
          <c:showSerName val="0"/>
          <c:showPercent val="0"/>
          <c:showBubbleSize val="0"/>
        </c:dLbls>
        <c:gapWidth val="219"/>
        <c:axId val="2035677056"/>
        <c:axId val="139588496"/>
      </c:barChart>
      <c:catAx>
        <c:axId val="203567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9588496"/>
        <c:crosses val="autoZero"/>
        <c:auto val="1"/>
        <c:lblAlgn val="ctr"/>
        <c:lblOffset val="100"/>
        <c:noMultiLvlLbl val="0"/>
      </c:catAx>
      <c:valAx>
        <c:axId val="139588496"/>
        <c:scaling>
          <c:orientation val="minMax"/>
          <c:max val="16"/>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AER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567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BB 1">
      <a:dk1>
        <a:srgbClr val="1D1D1B"/>
      </a:dk1>
      <a:lt1>
        <a:sysClr val="window" lastClr="FFFFFF"/>
      </a:lt1>
      <a:dk2>
        <a:srgbClr val="142855"/>
      </a:dk2>
      <a:lt2>
        <a:srgbClr val="FFFFFF"/>
      </a:lt2>
      <a:accent1>
        <a:srgbClr val="FF3246"/>
      </a:accent1>
      <a:accent2>
        <a:srgbClr val="0054BA"/>
      </a:accent2>
      <a:accent3>
        <a:srgbClr val="7E89C1"/>
      </a:accent3>
      <a:accent4>
        <a:srgbClr val="3C3786"/>
      </a:accent4>
      <a:accent5>
        <a:srgbClr val="025F71"/>
      </a:accent5>
      <a:accent6>
        <a:srgbClr val="F06603"/>
      </a:accent6>
      <a:hlink>
        <a:srgbClr val="FF3246"/>
      </a:hlink>
      <a:folHlink>
        <a:srgbClr val="14285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c7612b2-2ea0-4232-b0e3-3d441e9e94ee">
      <UserInfo>
        <DisplayName>Limited Access System Group For Web 1c7612b2-2ea0-4232-b0e3-3d441e9e94ee</DisplayName>
        <AccountId>18</AccountId>
        <AccountType/>
      </UserInfo>
      <UserInfo>
        <DisplayName>Matt Adey</DisplayName>
        <AccountId>12</AccountId>
        <AccountType/>
      </UserInfo>
      <UserInfo>
        <DisplayName>Jacob Somes</DisplayName>
        <AccountId>20</AccountId>
        <AccountType/>
      </UserInfo>
      <UserInfo>
        <DisplayName>SharingLinks.3660f225-9126-46e0-9fa0-5cde2d5dd397.Flexible.3723e021-3726-44b9-8343-33d81131741d</DisplayName>
        <AccountId>19</AccountId>
        <AccountType/>
      </UserInfo>
      <UserInfo>
        <DisplayName>Richard Bowen</DisplayName>
        <AccountId>15</AccountId>
        <AccountType/>
      </UserInfo>
      <UserInfo>
        <DisplayName>Nicole Cheng</DisplayName>
        <AccountId>24</AccountId>
        <AccountType/>
      </UserInfo>
      <UserInfo>
        <DisplayName>Carol Harrison</DisplayName>
        <AccountId>25</AccountId>
        <AccountType/>
      </UserInfo>
      <UserInfo>
        <DisplayName>Naren Mistry</DisplayName>
        <AccountId>10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B8E737671BBB4BAEBB0714BF860CBD" ma:contentTypeVersion="6" ma:contentTypeDescription="Create a new document." ma:contentTypeScope="" ma:versionID="a2213a5a490e984d92dd87aa41e1743e">
  <xsd:schema xmlns:xsd="http://www.w3.org/2001/XMLSchema" xmlns:xs="http://www.w3.org/2001/XMLSchema" xmlns:p="http://schemas.microsoft.com/office/2006/metadata/properties" xmlns:ns2="f51824a5-6b7e-4807-861c-b76498a7cbd7" xmlns:ns3="1c7612b2-2ea0-4232-b0e3-3d441e9e94ee" targetNamespace="http://schemas.microsoft.com/office/2006/metadata/properties" ma:root="true" ma:fieldsID="0e4daca93604de7e9635ca3ba23f5da3" ns2:_="" ns3:_="">
    <xsd:import namespace="f51824a5-6b7e-4807-861c-b76498a7cbd7"/>
    <xsd:import namespace="1c7612b2-2ea0-4232-b0e3-3d441e9e94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824a5-6b7e-4807-861c-b76498a7c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612b2-2ea0-4232-b0e3-3d441e9e94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9C514A-3417-40EE-9CDB-EF223F5F0A7C}">
  <ds:schemaRefs>
    <ds:schemaRef ds:uri="http://purl.org/dc/elements/1.1/"/>
    <ds:schemaRef ds:uri="http://schemas.microsoft.com/office/2006/metadata/properties"/>
    <ds:schemaRef ds:uri="http://www.w3.org/XML/1998/namespace"/>
    <ds:schemaRef ds:uri="http://schemas.microsoft.com/office/2006/documentManagement/types"/>
    <ds:schemaRef ds:uri="1c7612b2-2ea0-4232-b0e3-3d441e9e94ee"/>
    <ds:schemaRef ds:uri="http://purl.org/dc/dcmitype/"/>
    <ds:schemaRef ds:uri="http://purl.org/dc/terms/"/>
    <ds:schemaRef ds:uri="http://schemas.microsoft.com/office/infopath/2007/PartnerControls"/>
    <ds:schemaRef ds:uri="http://schemas.openxmlformats.org/package/2006/metadata/core-properties"/>
    <ds:schemaRef ds:uri="f51824a5-6b7e-4807-861c-b76498a7cbd7"/>
  </ds:schemaRefs>
</ds:datastoreItem>
</file>

<file path=customXml/itemProps2.xml><?xml version="1.0" encoding="utf-8"?>
<ds:datastoreItem xmlns:ds="http://schemas.openxmlformats.org/officeDocument/2006/customXml" ds:itemID="{1CAC8B9B-2744-4B53-89C1-4551B8997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824a5-6b7e-4807-861c-b76498a7cbd7"/>
    <ds:schemaRef ds:uri="1c7612b2-2ea0-4232-b0e3-3d441e9e9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28D692-4C0A-4AD8-8636-AE0DA45963EC}">
  <ds:schemaRefs>
    <ds:schemaRef ds:uri="http://schemas.openxmlformats.org/officeDocument/2006/bibliography"/>
  </ds:schemaRefs>
</ds:datastoreItem>
</file>

<file path=customXml/itemProps4.xml><?xml version="1.0" encoding="utf-8"?>
<ds:datastoreItem xmlns:ds="http://schemas.openxmlformats.org/officeDocument/2006/customXml" ds:itemID="{36BD8672-08BC-4804-BE26-D7079367E5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32147</Words>
  <Characters>183241</Characters>
  <Application>Microsoft Office Word</Application>
  <DocSecurity>0</DocSecurity>
  <Lines>1527</Lines>
  <Paragraphs>429</Paragraphs>
  <ScaleCrop>false</ScaleCrop>
  <HeadingPairs>
    <vt:vector size="2" baseType="variant">
      <vt:variant>
        <vt:lpstr>Title</vt:lpstr>
      </vt:variant>
      <vt:variant>
        <vt:i4>1</vt:i4>
      </vt:variant>
    </vt:vector>
  </HeadingPairs>
  <TitlesOfParts>
    <vt:vector size="1" baseType="lpstr">
      <vt:lpstr>Evaluation of BBLS CBILS and CLBILS - Process evaluation and early impact assessment</vt:lpstr>
    </vt:vector>
  </TitlesOfParts>
  <Company/>
  <LinksUpToDate>false</LinksUpToDate>
  <CharactersWithSpaces>214959</CharactersWithSpaces>
  <SharedDoc>false</SharedDoc>
  <HLinks>
    <vt:vector size="366" baseType="variant">
      <vt:variant>
        <vt:i4>2883642</vt:i4>
      </vt:variant>
      <vt:variant>
        <vt:i4>564</vt:i4>
      </vt:variant>
      <vt:variant>
        <vt:i4>0</vt:i4>
      </vt:variant>
      <vt:variant>
        <vt:i4>5</vt:i4>
      </vt:variant>
      <vt:variant>
        <vt:lpwstr>http://www.british-business-bank.co.uk/</vt:lpwstr>
      </vt:variant>
      <vt:variant>
        <vt:lpwstr/>
      </vt:variant>
      <vt:variant>
        <vt:i4>7798909</vt:i4>
      </vt:variant>
      <vt:variant>
        <vt:i4>495</vt:i4>
      </vt:variant>
      <vt:variant>
        <vt:i4>0</vt:i4>
      </vt:variant>
      <vt:variant>
        <vt:i4>5</vt:i4>
      </vt:variant>
      <vt:variant>
        <vt:lpwstr>https://ipsos.uk/180452901</vt:lpwstr>
      </vt:variant>
      <vt:variant>
        <vt:lpwstr/>
      </vt:variant>
      <vt:variant>
        <vt:i4>3932217</vt:i4>
      </vt:variant>
      <vt:variant>
        <vt:i4>492</vt:i4>
      </vt:variant>
      <vt:variant>
        <vt:i4>0</vt:i4>
      </vt:variant>
      <vt:variant>
        <vt:i4>5</vt:i4>
      </vt:variant>
      <vt:variant>
        <vt:lpwstr>https://www.british-business-bank.co.uk/about-our-evaluations/</vt:lpwstr>
      </vt:variant>
      <vt:variant>
        <vt:lpwstr/>
      </vt:variant>
      <vt:variant>
        <vt:i4>5636200</vt:i4>
      </vt:variant>
      <vt:variant>
        <vt:i4>489</vt:i4>
      </vt:variant>
      <vt:variant>
        <vt:i4>0</vt:i4>
      </vt:variant>
      <vt:variant>
        <vt:i4>5</vt:i4>
      </vt:variant>
      <vt:variant>
        <vt:lpwstr>mailto:naren.mistry@british-business-bank.co.uk</vt:lpwstr>
      </vt:variant>
      <vt:variant>
        <vt:lpwstr/>
      </vt:variant>
      <vt:variant>
        <vt:i4>1310775</vt:i4>
      </vt:variant>
      <vt:variant>
        <vt:i4>227</vt:i4>
      </vt:variant>
      <vt:variant>
        <vt:i4>0</vt:i4>
      </vt:variant>
      <vt:variant>
        <vt:i4>5</vt:i4>
      </vt:variant>
      <vt:variant>
        <vt:lpwstr/>
      </vt:variant>
      <vt:variant>
        <vt:lpwstr>_Toc161145313</vt:lpwstr>
      </vt:variant>
      <vt:variant>
        <vt:i4>1310775</vt:i4>
      </vt:variant>
      <vt:variant>
        <vt:i4>221</vt:i4>
      </vt:variant>
      <vt:variant>
        <vt:i4>0</vt:i4>
      </vt:variant>
      <vt:variant>
        <vt:i4>5</vt:i4>
      </vt:variant>
      <vt:variant>
        <vt:lpwstr/>
      </vt:variant>
      <vt:variant>
        <vt:lpwstr>_Toc161145312</vt:lpwstr>
      </vt:variant>
      <vt:variant>
        <vt:i4>1310775</vt:i4>
      </vt:variant>
      <vt:variant>
        <vt:i4>215</vt:i4>
      </vt:variant>
      <vt:variant>
        <vt:i4>0</vt:i4>
      </vt:variant>
      <vt:variant>
        <vt:i4>5</vt:i4>
      </vt:variant>
      <vt:variant>
        <vt:lpwstr/>
      </vt:variant>
      <vt:variant>
        <vt:lpwstr>_Toc161145311</vt:lpwstr>
      </vt:variant>
      <vt:variant>
        <vt:i4>1310775</vt:i4>
      </vt:variant>
      <vt:variant>
        <vt:i4>209</vt:i4>
      </vt:variant>
      <vt:variant>
        <vt:i4>0</vt:i4>
      </vt:variant>
      <vt:variant>
        <vt:i4>5</vt:i4>
      </vt:variant>
      <vt:variant>
        <vt:lpwstr/>
      </vt:variant>
      <vt:variant>
        <vt:lpwstr>_Toc161145310</vt:lpwstr>
      </vt:variant>
      <vt:variant>
        <vt:i4>1376311</vt:i4>
      </vt:variant>
      <vt:variant>
        <vt:i4>203</vt:i4>
      </vt:variant>
      <vt:variant>
        <vt:i4>0</vt:i4>
      </vt:variant>
      <vt:variant>
        <vt:i4>5</vt:i4>
      </vt:variant>
      <vt:variant>
        <vt:lpwstr/>
      </vt:variant>
      <vt:variant>
        <vt:lpwstr>_Toc161145309</vt:lpwstr>
      </vt:variant>
      <vt:variant>
        <vt:i4>1376311</vt:i4>
      </vt:variant>
      <vt:variant>
        <vt:i4>197</vt:i4>
      </vt:variant>
      <vt:variant>
        <vt:i4>0</vt:i4>
      </vt:variant>
      <vt:variant>
        <vt:i4>5</vt:i4>
      </vt:variant>
      <vt:variant>
        <vt:lpwstr/>
      </vt:variant>
      <vt:variant>
        <vt:lpwstr>_Toc161145308</vt:lpwstr>
      </vt:variant>
      <vt:variant>
        <vt:i4>1376311</vt:i4>
      </vt:variant>
      <vt:variant>
        <vt:i4>191</vt:i4>
      </vt:variant>
      <vt:variant>
        <vt:i4>0</vt:i4>
      </vt:variant>
      <vt:variant>
        <vt:i4>5</vt:i4>
      </vt:variant>
      <vt:variant>
        <vt:lpwstr/>
      </vt:variant>
      <vt:variant>
        <vt:lpwstr>_Toc161145307</vt:lpwstr>
      </vt:variant>
      <vt:variant>
        <vt:i4>1376311</vt:i4>
      </vt:variant>
      <vt:variant>
        <vt:i4>185</vt:i4>
      </vt:variant>
      <vt:variant>
        <vt:i4>0</vt:i4>
      </vt:variant>
      <vt:variant>
        <vt:i4>5</vt:i4>
      </vt:variant>
      <vt:variant>
        <vt:lpwstr/>
      </vt:variant>
      <vt:variant>
        <vt:lpwstr>_Toc161145306</vt:lpwstr>
      </vt:variant>
      <vt:variant>
        <vt:i4>1376311</vt:i4>
      </vt:variant>
      <vt:variant>
        <vt:i4>179</vt:i4>
      </vt:variant>
      <vt:variant>
        <vt:i4>0</vt:i4>
      </vt:variant>
      <vt:variant>
        <vt:i4>5</vt:i4>
      </vt:variant>
      <vt:variant>
        <vt:lpwstr/>
      </vt:variant>
      <vt:variant>
        <vt:lpwstr>_Toc161145305</vt:lpwstr>
      </vt:variant>
      <vt:variant>
        <vt:i4>1376311</vt:i4>
      </vt:variant>
      <vt:variant>
        <vt:i4>173</vt:i4>
      </vt:variant>
      <vt:variant>
        <vt:i4>0</vt:i4>
      </vt:variant>
      <vt:variant>
        <vt:i4>5</vt:i4>
      </vt:variant>
      <vt:variant>
        <vt:lpwstr/>
      </vt:variant>
      <vt:variant>
        <vt:lpwstr>_Toc161145304</vt:lpwstr>
      </vt:variant>
      <vt:variant>
        <vt:i4>1376311</vt:i4>
      </vt:variant>
      <vt:variant>
        <vt:i4>167</vt:i4>
      </vt:variant>
      <vt:variant>
        <vt:i4>0</vt:i4>
      </vt:variant>
      <vt:variant>
        <vt:i4>5</vt:i4>
      </vt:variant>
      <vt:variant>
        <vt:lpwstr/>
      </vt:variant>
      <vt:variant>
        <vt:lpwstr>_Toc161145303</vt:lpwstr>
      </vt:variant>
      <vt:variant>
        <vt:i4>1376311</vt:i4>
      </vt:variant>
      <vt:variant>
        <vt:i4>161</vt:i4>
      </vt:variant>
      <vt:variant>
        <vt:i4>0</vt:i4>
      </vt:variant>
      <vt:variant>
        <vt:i4>5</vt:i4>
      </vt:variant>
      <vt:variant>
        <vt:lpwstr/>
      </vt:variant>
      <vt:variant>
        <vt:lpwstr>_Toc161145302</vt:lpwstr>
      </vt:variant>
      <vt:variant>
        <vt:i4>1376311</vt:i4>
      </vt:variant>
      <vt:variant>
        <vt:i4>155</vt:i4>
      </vt:variant>
      <vt:variant>
        <vt:i4>0</vt:i4>
      </vt:variant>
      <vt:variant>
        <vt:i4>5</vt:i4>
      </vt:variant>
      <vt:variant>
        <vt:lpwstr/>
      </vt:variant>
      <vt:variant>
        <vt:lpwstr>_Toc161145301</vt:lpwstr>
      </vt:variant>
      <vt:variant>
        <vt:i4>1376311</vt:i4>
      </vt:variant>
      <vt:variant>
        <vt:i4>149</vt:i4>
      </vt:variant>
      <vt:variant>
        <vt:i4>0</vt:i4>
      </vt:variant>
      <vt:variant>
        <vt:i4>5</vt:i4>
      </vt:variant>
      <vt:variant>
        <vt:lpwstr/>
      </vt:variant>
      <vt:variant>
        <vt:lpwstr>_Toc161145300</vt:lpwstr>
      </vt:variant>
      <vt:variant>
        <vt:i4>1835062</vt:i4>
      </vt:variant>
      <vt:variant>
        <vt:i4>143</vt:i4>
      </vt:variant>
      <vt:variant>
        <vt:i4>0</vt:i4>
      </vt:variant>
      <vt:variant>
        <vt:i4>5</vt:i4>
      </vt:variant>
      <vt:variant>
        <vt:lpwstr/>
      </vt:variant>
      <vt:variant>
        <vt:lpwstr>_Toc161145299</vt:lpwstr>
      </vt:variant>
      <vt:variant>
        <vt:i4>1835062</vt:i4>
      </vt:variant>
      <vt:variant>
        <vt:i4>137</vt:i4>
      </vt:variant>
      <vt:variant>
        <vt:i4>0</vt:i4>
      </vt:variant>
      <vt:variant>
        <vt:i4>5</vt:i4>
      </vt:variant>
      <vt:variant>
        <vt:lpwstr/>
      </vt:variant>
      <vt:variant>
        <vt:lpwstr>_Toc161145298</vt:lpwstr>
      </vt:variant>
      <vt:variant>
        <vt:i4>1835062</vt:i4>
      </vt:variant>
      <vt:variant>
        <vt:i4>131</vt:i4>
      </vt:variant>
      <vt:variant>
        <vt:i4>0</vt:i4>
      </vt:variant>
      <vt:variant>
        <vt:i4>5</vt:i4>
      </vt:variant>
      <vt:variant>
        <vt:lpwstr/>
      </vt:variant>
      <vt:variant>
        <vt:lpwstr>_Toc161145297</vt:lpwstr>
      </vt:variant>
      <vt:variant>
        <vt:i4>1835062</vt:i4>
      </vt:variant>
      <vt:variant>
        <vt:i4>125</vt:i4>
      </vt:variant>
      <vt:variant>
        <vt:i4>0</vt:i4>
      </vt:variant>
      <vt:variant>
        <vt:i4>5</vt:i4>
      </vt:variant>
      <vt:variant>
        <vt:lpwstr/>
      </vt:variant>
      <vt:variant>
        <vt:lpwstr>_Toc161145296</vt:lpwstr>
      </vt:variant>
      <vt:variant>
        <vt:i4>1835062</vt:i4>
      </vt:variant>
      <vt:variant>
        <vt:i4>119</vt:i4>
      </vt:variant>
      <vt:variant>
        <vt:i4>0</vt:i4>
      </vt:variant>
      <vt:variant>
        <vt:i4>5</vt:i4>
      </vt:variant>
      <vt:variant>
        <vt:lpwstr/>
      </vt:variant>
      <vt:variant>
        <vt:lpwstr>_Toc161145295</vt:lpwstr>
      </vt:variant>
      <vt:variant>
        <vt:i4>1835062</vt:i4>
      </vt:variant>
      <vt:variant>
        <vt:i4>113</vt:i4>
      </vt:variant>
      <vt:variant>
        <vt:i4>0</vt:i4>
      </vt:variant>
      <vt:variant>
        <vt:i4>5</vt:i4>
      </vt:variant>
      <vt:variant>
        <vt:lpwstr/>
      </vt:variant>
      <vt:variant>
        <vt:lpwstr>_Toc161145294</vt:lpwstr>
      </vt:variant>
      <vt:variant>
        <vt:i4>1835062</vt:i4>
      </vt:variant>
      <vt:variant>
        <vt:i4>107</vt:i4>
      </vt:variant>
      <vt:variant>
        <vt:i4>0</vt:i4>
      </vt:variant>
      <vt:variant>
        <vt:i4>5</vt:i4>
      </vt:variant>
      <vt:variant>
        <vt:lpwstr/>
      </vt:variant>
      <vt:variant>
        <vt:lpwstr>_Toc161145293</vt:lpwstr>
      </vt:variant>
      <vt:variant>
        <vt:i4>1835062</vt:i4>
      </vt:variant>
      <vt:variant>
        <vt:i4>101</vt:i4>
      </vt:variant>
      <vt:variant>
        <vt:i4>0</vt:i4>
      </vt:variant>
      <vt:variant>
        <vt:i4>5</vt:i4>
      </vt:variant>
      <vt:variant>
        <vt:lpwstr/>
      </vt:variant>
      <vt:variant>
        <vt:lpwstr>_Toc161145292</vt:lpwstr>
      </vt:variant>
      <vt:variant>
        <vt:i4>1835062</vt:i4>
      </vt:variant>
      <vt:variant>
        <vt:i4>95</vt:i4>
      </vt:variant>
      <vt:variant>
        <vt:i4>0</vt:i4>
      </vt:variant>
      <vt:variant>
        <vt:i4>5</vt:i4>
      </vt:variant>
      <vt:variant>
        <vt:lpwstr/>
      </vt:variant>
      <vt:variant>
        <vt:lpwstr>_Toc161145291</vt:lpwstr>
      </vt:variant>
      <vt:variant>
        <vt:i4>1835062</vt:i4>
      </vt:variant>
      <vt:variant>
        <vt:i4>89</vt:i4>
      </vt:variant>
      <vt:variant>
        <vt:i4>0</vt:i4>
      </vt:variant>
      <vt:variant>
        <vt:i4>5</vt:i4>
      </vt:variant>
      <vt:variant>
        <vt:lpwstr/>
      </vt:variant>
      <vt:variant>
        <vt:lpwstr>_Toc161145290</vt:lpwstr>
      </vt:variant>
      <vt:variant>
        <vt:i4>1900598</vt:i4>
      </vt:variant>
      <vt:variant>
        <vt:i4>83</vt:i4>
      </vt:variant>
      <vt:variant>
        <vt:i4>0</vt:i4>
      </vt:variant>
      <vt:variant>
        <vt:i4>5</vt:i4>
      </vt:variant>
      <vt:variant>
        <vt:lpwstr/>
      </vt:variant>
      <vt:variant>
        <vt:lpwstr>_Toc161145289</vt:lpwstr>
      </vt:variant>
      <vt:variant>
        <vt:i4>1900598</vt:i4>
      </vt:variant>
      <vt:variant>
        <vt:i4>77</vt:i4>
      </vt:variant>
      <vt:variant>
        <vt:i4>0</vt:i4>
      </vt:variant>
      <vt:variant>
        <vt:i4>5</vt:i4>
      </vt:variant>
      <vt:variant>
        <vt:lpwstr/>
      </vt:variant>
      <vt:variant>
        <vt:lpwstr>_Toc161145288</vt:lpwstr>
      </vt:variant>
      <vt:variant>
        <vt:i4>1900598</vt:i4>
      </vt:variant>
      <vt:variant>
        <vt:i4>71</vt:i4>
      </vt:variant>
      <vt:variant>
        <vt:i4>0</vt:i4>
      </vt:variant>
      <vt:variant>
        <vt:i4>5</vt:i4>
      </vt:variant>
      <vt:variant>
        <vt:lpwstr/>
      </vt:variant>
      <vt:variant>
        <vt:lpwstr>_Toc161145287</vt:lpwstr>
      </vt:variant>
      <vt:variant>
        <vt:i4>1900598</vt:i4>
      </vt:variant>
      <vt:variant>
        <vt:i4>65</vt:i4>
      </vt:variant>
      <vt:variant>
        <vt:i4>0</vt:i4>
      </vt:variant>
      <vt:variant>
        <vt:i4>5</vt:i4>
      </vt:variant>
      <vt:variant>
        <vt:lpwstr/>
      </vt:variant>
      <vt:variant>
        <vt:lpwstr>_Toc161145286</vt:lpwstr>
      </vt:variant>
      <vt:variant>
        <vt:i4>1900598</vt:i4>
      </vt:variant>
      <vt:variant>
        <vt:i4>59</vt:i4>
      </vt:variant>
      <vt:variant>
        <vt:i4>0</vt:i4>
      </vt:variant>
      <vt:variant>
        <vt:i4>5</vt:i4>
      </vt:variant>
      <vt:variant>
        <vt:lpwstr/>
      </vt:variant>
      <vt:variant>
        <vt:lpwstr>_Toc161145285</vt:lpwstr>
      </vt:variant>
      <vt:variant>
        <vt:i4>1900598</vt:i4>
      </vt:variant>
      <vt:variant>
        <vt:i4>53</vt:i4>
      </vt:variant>
      <vt:variant>
        <vt:i4>0</vt:i4>
      </vt:variant>
      <vt:variant>
        <vt:i4>5</vt:i4>
      </vt:variant>
      <vt:variant>
        <vt:lpwstr/>
      </vt:variant>
      <vt:variant>
        <vt:lpwstr>_Toc161145284</vt:lpwstr>
      </vt:variant>
      <vt:variant>
        <vt:i4>1900598</vt:i4>
      </vt:variant>
      <vt:variant>
        <vt:i4>47</vt:i4>
      </vt:variant>
      <vt:variant>
        <vt:i4>0</vt:i4>
      </vt:variant>
      <vt:variant>
        <vt:i4>5</vt:i4>
      </vt:variant>
      <vt:variant>
        <vt:lpwstr/>
      </vt:variant>
      <vt:variant>
        <vt:lpwstr>_Toc161145283</vt:lpwstr>
      </vt:variant>
      <vt:variant>
        <vt:i4>1900598</vt:i4>
      </vt:variant>
      <vt:variant>
        <vt:i4>41</vt:i4>
      </vt:variant>
      <vt:variant>
        <vt:i4>0</vt:i4>
      </vt:variant>
      <vt:variant>
        <vt:i4>5</vt:i4>
      </vt:variant>
      <vt:variant>
        <vt:lpwstr/>
      </vt:variant>
      <vt:variant>
        <vt:lpwstr>_Toc161145282</vt:lpwstr>
      </vt:variant>
      <vt:variant>
        <vt:i4>1900598</vt:i4>
      </vt:variant>
      <vt:variant>
        <vt:i4>35</vt:i4>
      </vt:variant>
      <vt:variant>
        <vt:i4>0</vt:i4>
      </vt:variant>
      <vt:variant>
        <vt:i4>5</vt:i4>
      </vt:variant>
      <vt:variant>
        <vt:lpwstr/>
      </vt:variant>
      <vt:variant>
        <vt:lpwstr>_Toc161145281</vt:lpwstr>
      </vt:variant>
      <vt:variant>
        <vt:i4>1900598</vt:i4>
      </vt:variant>
      <vt:variant>
        <vt:i4>29</vt:i4>
      </vt:variant>
      <vt:variant>
        <vt:i4>0</vt:i4>
      </vt:variant>
      <vt:variant>
        <vt:i4>5</vt:i4>
      </vt:variant>
      <vt:variant>
        <vt:lpwstr/>
      </vt:variant>
      <vt:variant>
        <vt:lpwstr>_Toc161145280</vt:lpwstr>
      </vt:variant>
      <vt:variant>
        <vt:i4>1179702</vt:i4>
      </vt:variant>
      <vt:variant>
        <vt:i4>23</vt:i4>
      </vt:variant>
      <vt:variant>
        <vt:i4>0</vt:i4>
      </vt:variant>
      <vt:variant>
        <vt:i4>5</vt:i4>
      </vt:variant>
      <vt:variant>
        <vt:lpwstr/>
      </vt:variant>
      <vt:variant>
        <vt:lpwstr>_Toc161145279</vt:lpwstr>
      </vt:variant>
      <vt:variant>
        <vt:i4>1179702</vt:i4>
      </vt:variant>
      <vt:variant>
        <vt:i4>17</vt:i4>
      </vt:variant>
      <vt:variant>
        <vt:i4>0</vt:i4>
      </vt:variant>
      <vt:variant>
        <vt:i4>5</vt:i4>
      </vt:variant>
      <vt:variant>
        <vt:lpwstr/>
      </vt:variant>
      <vt:variant>
        <vt:lpwstr>_Toc161145278</vt:lpwstr>
      </vt:variant>
      <vt:variant>
        <vt:i4>1179702</vt:i4>
      </vt:variant>
      <vt:variant>
        <vt:i4>11</vt:i4>
      </vt:variant>
      <vt:variant>
        <vt:i4>0</vt:i4>
      </vt:variant>
      <vt:variant>
        <vt:i4>5</vt:i4>
      </vt:variant>
      <vt:variant>
        <vt:lpwstr/>
      </vt:variant>
      <vt:variant>
        <vt:lpwstr>_Toc161145277</vt:lpwstr>
      </vt:variant>
      <vt:variant>
        <vt:i4>1179702</vt:i4>
      </vt:variant>
      <vt:variant>
        <vt:i4>5</vt:i4>
      </vt:variant>
      <vt:variant>
        <vt:i4>0</vt:i4>
      </vt:variant>
      <vt:variant>
        <vt:i4>5</vt:i4>
      </vt:variant>
      <vt:variant>
        <vt:lpwstr/>
      </vt:variant>
      <vt:variant>
        <vt:lpwstr>_Toc161145276</vt:lpwstr>
      </vt:variant>
      <vt:variant>
        <vt:i4>2883642</vt:i4>
      </vt:variant>
      <vt:variant>
        <vt:i4>0</vt:i4>
      </vt:variant>
      <vt:variant>
        <vt:i4>0</vt:i4>
      </vt:variant>
      <vt:variant>
        <vt:i4>5</vt:i4>
      </vt:variant>
      <vt:variant>
        <vt:lpwstr>http://www.british-business-bank.co.uk/</vt:lpwstr>
      </vt:variant>
      <vt:variant>
        <vt:lpwstr/>
      </vt:variant>
      <vt:variant>
        <vt:i4>2818089</vt:i4>
      </vt:variant>
      <vt:variant>
        <vt:i4>42</vt:i4>
      </vt:variant>
      <vt:variant>
        <vt:i4>0</vt:i4>
      </vt:variant>
      <vt:variant>
        <vt:i4>5</vt:i4>
      </vt:variant>
      <vt:variant>
        <vt:lpwstr>https://www.gov.uk/government/collections/business-population-estimates</vt:lpwstr>
      </vt:variant>
      <vt:variant>
        <vt:lpwstr/>
      </vt:variant>
      <vt:variant>
        <vt:i4>7209074</vt:i4>
      </vt:variant>
      <vt:variant>
        <vt:i4>39</vt:i4>
      </vt:variant>
      <vt:variant>
        <vt:i4>0</vt:i4>
      </vt:variant>
      <vt:variant>
        <vt:i4>5</vt:i4>
      </vt:variant>
      <vt:variant>
        <vt:lpwstr>https://www.ons.gov.uk/economy/economicoutputandproductivity/output/adhocs/15084businessinsightsandconditionssurveywave63adhoctablesresearchanddevelopment</vt:lpwstr>
      </vt:variant>
      <vt:variant>
        <vt:lpwstr/>
      </vt:variant>
      <vt:variant>
        <vt:i4>3211310</vt:i4>
      </vt:variant>
      <vt:variant>
        <vt:i4>24</vt:i4>
      </vt:variant>
      <vt:variant>
        <vt:i4>0</vt:i4>
      </vt:variant>
      <vt:variant>
        <vt:i4>5</vt:i4>
      </vt:variant>
      <vt:variant>
        <vt:lpwstr>https://obr.uk/box/pandemic-risk-scenario-the-emergence-of-a-vaccine-escaping-variant/</vt:lpwstr>
      </vt:variant>
      <vt:variant>
        <vt:lpwstr/>
      </vt:variant>
      <vt:variant>
        <vt:i4>2818089</vt:i4>
      </vt:variant>
      <vt:variant>
        <vt:i4>21</vt:i4>
      </vt:variant>
      <vt:variant>
        <vt:i4>0</vt:i4>
      </vt:variant>
      <vt:variant>
        <vt:i4>5</vt:i4>
      </vt:variant>
      <vt:variant>
        <vt:lpwstr>https://www.gov.uk/government/collections/business-population-estimates</vt:lpwstr>
      </vt:variant>
      <vt:variant>
        <vt:lpwstr/>
      </vt:variant>
      <vt:variant>
        <vt:i4>2949154</vt:i4>
      </vt:variant>
      <vt:variant>
        <vt:i4>15</vt:i4>
      </vt:variant>
      <vt:variant>
        <vt:i4>0</vt:i4>
      </vt:variant>
      <vt:variant>
        <vt:i4>5</vt:i4>
      </vt:variant>
      <vt:variant>
        <vt:lpwstr>https://www.british-business-bank.co.uk/press-release/british-business-bank-confirms-changes-to-undertaking-in-difficulty-guidance/</vt:lpwstr>
      </vt:variant>
      <vt:variant>
        <vt:lpwstr/>
      </vt:variant>
      <vt:variant>
        <vt:i4>3211310</vt:i4>
      </vt:variant>
      <vt:variant>
        <vt:i4>12</vt:i4>
      </vt:variant>
      <vt:variant>
        <vt:i4>0</vt:i4>
      </vt:variant>
      <vt:variant>
        <vt:i4>5</vt:i4>
      </vt:variant>
      <vt:variant>
        <vt:lpwstr>https://obr.uk/box/pandemic-risk-scenario-the-emergence-of-a-vaccine-escaping-variant/</vt:lpwstr>
      </vt:variant>
      <vt:variant>
        <vt:lpwstr/>
      </vt:variant>
      <vt:variant>
        <vt:i4>7209074</vt:i4>
      </vt:variant>
      <vt:variant>
        <vt:i4>9</vt:i4>
      </vt:variant>
      <vt:variant>
        <vt:i4>0</vt:i4>
      </vt:variant>
      <vt:variant>
        <vt:i4>5</vt:i4>
      </vt:variant>
      <vt:variant>
        <vt:lpwstr>https://www.ons.gov.uk/economy/economicoutputandproductivity/output/adhocs/15084businessinsightsandconditionssurveywave63adhoctablesresearchanddevelopment</vt:lpwstr>
      </vt:variant>
      <vt:variant>
        <vt:lpwstr/>
      </vt:variant>
      <vt:variant>
        <vt:i4>2883683</vt:i4>
      </vt:variant>
      <vt:variant>
        <vt:i4>72</vt:i4>
      </vt:variant>
      <vt:variant>
        <vt:i4>0</vt:i4>
      </vt:variant>
      <vt:variant>
        <vt:i4>5</vt:i4>
      </vt:variant>
      <vt:variant>
        <vt:lpwstr>http://british-business-bank.co.uk/</vt:lpwstr>
      </vt:variant>
      <vt:variant>
        <vt:lpwstr/>
      </vt:variant>
      <vt:variant>
        <vt:i4>2883683</vt:i4>
      </vt:variant>
      <vt:variant>
        <vt:i4>63</vt:i4>
      </vt:variant>
      <vt:variant>
        <vt:i4>0</vt:i4>
      </vt:variant>
      <vt:variant>
        <vt:i4>5</vt:i4>
      </vt:variant>
      <vt:variant>
        <vt:lpwstr>http://british-business-bank.co.uk/</vt:lpwstr>
      </vt:variant>
      <vt:variant>
        <vt:lpwstr/>
      </vt:variant>
      <vt:variant>
        <vt:i4>2883683</vt:i4>
      </vt:variant>
      <vt:variant>
        <vt:i4>57</vt:i4>
      </vt:variant>
      <vt:variant>
        <vt:i4>0</vt:i4>
      </vt:variant>
      <vt:variant>
        <vt:i4>5</vt:i4>
      </vt:variant>
      <vt:variant>
        <vt:lpwstr>http://british-business-bank.co.uk/</vt:lpwstr>
      </vt:variant>
      <vt:variant>
        <vt:lpwstr/>
      </vt:variant>
      <vt:variant>
        <vt:i4>2883683</vt:i4>
      </vt:variant>
      <vt:variant>
        <vt:i4>51</vt:i4>
      </vt:variant>
      <vt:variant>
        <vt:i4>0</vt:i4>
      </vt:variant>
      <vt:variant>
        <vt:i4>5</vt:i4>
      </vt:variant>
      <vt:variant>
        <vt:lpwstr>http://british-business-bank.co.uk/</vt:lpwstr>
      </vt:variant>
      <vt:variant>
        <vt:lpwstr/>
      </vt:variant>
      <vt:variant>
        <vt:i4>2883683</vt:i4>
      </vt:variant>
      <vt:variant>
        <vt:i4>45</vt:i4>
      </vt:variant>
      <vt:variant>
        <vt:i4>0</vt:i4>
      </vt:variant>
      <vt:variant>
        <vt:i4>5</vt:i4>
      </vt:variant>
      <vt:variant>
        <vt:lpwstr>http://british-business-bank.co.uk/</vt:lpwstr>
      </vt:variant>
      <vt:variant>
        <vt:lpwstr/>
      </vt:variant>
      <vt:variant>
        <vt:i4>2883683</vt:i4>
      </vt:variant>
      <vt:variant>
        <vt:i4>39</vt:i4>
      </vt:variant>
      <vt:variant>
        <vt:i4>0</vt:i4>
      </vt:variant>
      <vt:variant>
        <vt:i4>5</vt:i4>
      </vt:variant>
      <vt:variant>
        <vt:lpwstr>http://british-business-bank.co.uk/</vt:lpwstr>
      </vt:variant>
      <vt:variant>
        <vt:lpwstr/>
      </vt:variant>
      <vt:variant>
        <vt:i4>2883683</vt:i4>
      </vt:variant>
      <vt:variant>
        <vt:i4>33</vt:i4>
      </vt:variant>
      <vt:variant>
        <vt:i4>0</vt:i4>
      </vt:variant>
      <vt:variant>
        <vt:i4>5</vt:i4>
      </vt:variant>
      <vt:variant>
        <vt:lpwstr>http://british-business-bank.co.uk/</vt:lpwstr>
      </vt:variant>
      <vt:variant>
        <vt:lpwstr/>
      </vt:variant>
      <vt:variant>
        <vt:i4>2883683</vt:i4>
      </vt:variant>
      <vt:variant>
        <vt:i4>24</vt:i4>
      </vt:variant>
      <vt:variant>
        <vt:i4>0</vt:i4>
      </vt:variant>
      <vt:variant>
        <vt:i4>5</vt:i4>
      </vt:variant>
      <vt:variant>
        <vt:lpwstr>http://british-business-bank.co.uk/</vt:lpwstr>
      </vt:variant>
      <vt:variant>
        <vt:lpwstr/>
      </vt:variant>
      <vt:variant>
        <vt:i4>2883683</vt:i4>
      </vt:variant>
      <vt:variant>
        <vt:i4>18</vt:i4>
      </vt:variant>
      <vt:variant>
        <vt:i4>0</vt:i4>
      </vt:variant>
      <vt:variant>
        <vt:i4>5</vt:i4>
      </vt:variant>
      <vt:variant>
        <vt:lpwstr>http://british-business-bank.co.uk/</vt:lpwstr>
      </vt:variant>
      <vt:variant>
        <vt:lpwstr/>
      </vt:variant>
      <vt:variant>
        <vt:i4>2883683</vt:i4>
      </vt:variant>
      <vt:variant>
        <vt:i4>9</vt:i4>
      </vt:variant>
      <vt:variant>
        <vt:i4>0</vt:i4>
      </vt:variant>
      <vt:variant>
        <vt:i4>5</vt:i4>
      </vt:variant>
      <vt:variant>
        <vt:lpwstr>http://british-business-bank.co.uk/</vt:lpwstr>
      </vt:variant>
      <vt:variant>
        <vt:lpwstr/>
      </vt:variant>
      <vt:variant>
        <vt:i4>2883683</vt:i4>
      </vt:variant>
      <vt:variant>
        <vt:i4>3</vt:i4>
      </vt:variant>
      <vt:variant>
        <vt:i4>0</vt:i4>
      </vt:variant>
      <vt:variant>
        <vt:i4>5</vt:i4>
      </vt:variant>
      <vt:variant>
        <vt:lpwstr>http://british-business-bank.co.uk/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BBLS CBILS and CLBILS - Process evaluation and early impact assessment</dc:title>
  <dc:subject/>
  <dc:creator>Jo Harwood</dc:creator>
  <cp:keywords/>
  <dc:description/>
  <cp:lastModifiedBy>Jacob Somes</cp:lastModifiedBy>
  <cp:revision>2</cp:revision>
  <cp:lastPrinted>2022-06-12T07:09:00Z</cp:lastPrinted>
  <dcterms:created xsi:type="dcterms:W3CDTF">2024-03-19T14:50:00Z</dcterms:created>
  <dcterms:modified xsi:type="dcterms:W3CDTF">2024-03-19T14:50:00Z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0x010100A5B8E737671BBB4BAEBB0714BF860CBD</vt:lpwstr>
  </property>
  <property fmtid="{D5CDD505-2E9C-101B-9397-08002B2CF9AE}" pid="3" name="SharedWithUsers">
    <vt:lpwstr>18;#Matt Adey;#12;#Naren Mistry</vt:lpwstr>
  </property>
  <property fmtid="{D5CDD505-2E9C-101B-9397-08002B2CF9AE}" pid="4" name="HMT_DocumentType">
    <vt:lpwstr>13;#Other|c235b5c2-f697-427b-a70a-43d69599f998</vt:lpwstr>
  </property>
  <property fmtid="{D5CDD505-2E9C-101B-9397-08002B2CF9AE}" pid="5" name="HMT_Group">
    <vt:lpwstr>1;#Financial Services|59fac2e4-0e4d-445e-9d2b-b7e636b82ddc</vt:lpwstr>
  </property>
  <property fmtid="{D5CDD505-2E9C-101B-9397-08002B2CF9AE}" pid="6" name="HMT_Category">
    <vt:lpwstr>9;#Policy Document Types|bd4325a7-7f6a-48f9-b0dc-cc3aef626e65</vt:lpwstr>
  </property>
  <property fmtid="{D5CDD505-2E9C-101B-9397-08002B2CF9AE}" pid="7" name="HMT_Classification">
    <vt:lpwstr>4;#Official|0c3401bb-744b-4660-997f-fc50d910db48</vt:lpwstr>
  </property>
  <property fmtid="{D5CDD505-2E9C-101B-9397-08002B2CF9AE}" pid="8" name="HMT_SubTeam">
    <vt:lpwstr/>
  </property>
  <property fmtid="{D5CDD505-2E9C-101B-9397-08002B2CF9AE}" pid="9" name="HMT_Review">
    <vt:bool>false</vt:bool>
  </property>
  <property fmtid="{D5CDD505-2E9C-101B-9397-08002B2CF9AE}" pid="10" name="HMT_Team">
    <vt:lpwstr>8;#Banking and Credit|48c98d37-bf37-4b75-b9d1-98d8afdd038e</vt:lpwstr>
  </property>
  <property fmtid="{D5CDD505-2E9C-101B-9397-08002B2CF9AE}" pid="11" name="_dlc_DocIdItemGuid">
    <vt:lpwstr>755cda57-371d-47ba-ba9e-b32b76aeaae8</vt:lpwstr>
  </property>
  <property fmtid="{D5CDD505-2E9C-101B-9397-08002B2CF9AE}" pid="12" name="Business Unit">
    <vt:lpwstr>3;#BEIS:Science Innovation and Growth:Business Growth - SIG|ed7cbae0-e1d8-4ebe-a479-13f4258b6697</vt:lpwstr>
  </property>
  <property fmtid="{D5CDD505-2E9C-101B-9397-08002B2CF9AE}" pid="13" name="MSIP_Label_ba62f585-b40f-4ab9-bafe-39150f03d124_Enabled">
    <vt:lpwstr>true</vt:lpwstr>
  </property>
  <property fmtid="{D5CDD505-2E9C-101B-9397-08002B2CF9AE}" pid="14" name="MSIP_Label_ba62f585-b40f-4ab9-bafe-39150f03d124_SetDate">
    <vt:lpwstr>2022-01-20T16:00:48Z</vt:lpwstr>
  </property>
  <property fmtid="{D5CDD505-2E9C-101B-9397-08002B2CF9AE}" pid="15" name="MSIP_Label_ba62f585-b40f-4ab9-bafe-39150f03d124_Method">
    <vt:lpwstr>Privileged</vt:lpwstr>
  </property>
  <property fmtid="{D5CDD505-2E9C-101B-9397-08002B2CF9AE}" pid="16" name="MSIP_Label_ba62f585-b40f-4ab9-bafe-39150f03d124_Name">
    <vt:lpwstr>OFFICIAL</vt:lpwstr>
  </property>
  <property fmtid="{D5CDD505-2E9C-101B-9397-08002B2CF9AE}" pid="17" name="MSIP_Label_ba62f585-b40f-4ab9-bafe-39150f03d124_SiteId">
    <vt:lpwstr>cbac7005-02c1-43eb-b497-e6492d1b2dd8</vt:lpwstr>
  </property>
  <property fmtid="{D5CDD505-2E9C-101B-9397-08002B2CF9AE}" pid="18" name="MSIP_Label_ba62f585-b40f-4ab9-bafe-39150f03d124_ActionId">
    <vt:lpwstr>569368c3-db96-4c1f-b0a7-445ab543ad5f</vt:lpwstr>
  </property>
  <property fmtid="{D5CDD505-2E9C-101B-9397-08002B2CF9AE}" pid="19" name="MSIP_Label_ba62f585-b40f-4ab9-bafe-39150f03d124_ContentBits">
    <vt:lpwstr>0</vt:lpwstr>
  </property>
  <property fmtid="{D5CDD505-2E9C-101B-9397-08002B2CF9AE}" pid="20" name="m975189f4ba442ecbf67d4147307b177">
    <vt:lpwstr>BEIS:Science Innovation and Growth:Business Growth - SIG|ed7cbae0-e1d8-4ebe-a479-13f4258b6697</vt:lpwstr>
  </property>
  <property fmtid="{D5CDD505-2E9C-101B-9397-08002B2CF9AE}" pid="21" name="Government Body">
    <vt:lpwstr>BEIS</vt:lpwstr>
  </property>
  <property fmtid="{D5CDD505-2E9C-101B-9397-08002B2CF9AE}" pid="22" name="Date Opened">
    <vt:filetime>2022-02-15T12:13:54Z</vt:filetime>
  </property>
  <property fmtid="{D5CDD505-2E9C-101B-9397-08002B2CF9AE}" pid="23" name="Security Classification">
    <vt:lpwstr>OFFICIAL</vt:lpwstr>
  </property>
  <property fmtid="{D5CDD505-2E9C-101B-9397-08002B2CF9AE}" pid="24" name="MediaServiceImageTags">
    <vt:lpwstr/>
  </property>
  <property fmtid="{D5CDD505-2E9C-101B-9397-08002B2CF9AE}" pid="25" name="MSIP_Label_c1c05e37-788c-4c59-b50e-5c98323c0a70_Enabled">
    <vt:lpwstr>true</vt:lpwstr>
  </property>
  <property fmtid="{D5CDD505-2E9C-101B-9397-08002B2CF9AE}" pid="26" name="MSIP_Label_c1c05e37-788c-4c59-b50e-5c98323c0a70_SetDate">
    <vt:lpwstr>2024-01-09T12:21:14Z</vt:lpwstr>
  </property>
  <property fmtid="{D5CDD505-2E9C-101B-9397-08002B2CF9AE}" pid="27" name="MSIP_Label_c1c05e37-788c-4c59-b50e-5c98323c0a70_Method">
    <vt:lpwstr>Standard</vt:lpwstr>
  </property>
  <property fmtid="{D5CDD505-2E9C-101B-9397-08002B2CF9AE}" pid="28" name="MSIP_Label_c1c05e37-788c-4c59-b50e-5c98323c0a70_Name">
    <vt:lpwstr>OFFICIAL</vt:lpwstr>
  </property>
  <property fmtid="{D5CDD505-2E9C-101B-9397-08002B2CF9AE}" pid="29" name="MSIP_Label_c1c05e37-788c-4c59-b50e-5c98323c0a70_SiteId">
    <vt:lpwstr>8fa217ec-33aa-46fb-ad96-dfe68006bb86</vt:lpwstr>
  </property>
  <property fmtid="{D5CDD505-2E9C-101B-9397-08002B2CF9AE}" pid="30" name="MSIP_Label_c1c05e37-788c-4c59-b50e-5c98323c0a70_ActionId">
    <vt:lpwstr>1116b72d-881f-401f-b3a8-49aa0a086960</vt:lpwstr>
  </property>
  <property fmtid="{D5CDD505-2E9C-101B-9397-08002B2CF9AE}" pid="31" name="MSIP_Label_c1c05e37-788c-4c59-b50e-5c98323c0a70_ContentBits">
    <vt:lpwstr>0</vt:lpwstr>
  </property>
</Properties>
</file>